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header"/>
    <w:bookmarkEnd w:id="9"/>
    <w:bookmarkStart w:id="46" w:name="content"/>
    <w:bookmarkStart w:id="45" w:name="Xcaadb0344f7c4f217811520ea2cea3d6f350c5c"/>
    <w:p>
      <w:pPr>
        <w:pStyle w:val="Heading1"/>
      </w:pPr>
      <w:r>
        <w:t xml:space="preserve">Noah’s “950 Years” in Qur’an 29:14: Exegesis, Human Longevity, and the Consistency of Appeals to Modern Science</w:t>
      </w:r>
    </w:p>
    <w:bookmarkStart w:id="15" w:name="abstract"/>
    <w:p>
      <w:pPr>
        <w:pStyle w:val="Heading2"/>
      </w:pPr>
      <w:r>
        <w:t xml:space="preserve">Abstract</w:t>
      </w:r>
    </w:p>
    <w:p>
      <w:pPr>
        <w:pStyle w:val="FirstParagraph"/>
      </w:pPr>
      <w:r>
        <w:t xml:space="preserve">Qur’an 29:14 states that God sent Noah to his people and that “he remained among them a thousand years less fifty years” before the Flood overtook them. The dominant premodern exegetical reading is remarkably straightforward: the expression denotes an actual period of 950 years. Yet an important qualification is often missed in contemporary discussion: the verse itself does</w:t>
      </w:r>
      <w:r>
        <w:t xml:space="preserve"> </w:t>
      </w:r>
      <w:r>
        <w:rPr>
          <w:b/>
          <w:bCs/>
        </w:rPr>
        <w:t xml:space="preserve">not</w:t>
      </w:r>
      <w:r>
        <w:t xml:space="preserve"> </w:t>
      </w:r>
      <w:r>
        <w:t xml:space="preserve">say that Noah’s total lifespan was 950 years. It says that he</w:t>
      </w:r>
      <w:r>
        <w:t xml:space="preserve"> </w:t>
      </w:r>
      <w:r>
        <w:rPr>
          <w:i/>
          <w:iCs/>
        </w:rPr>
        <w:t xml:space="preserve">labitha fīhim</w:t>
      </w:r>
      <w:r>
        <w:t xml:space="preserve">—“remained among them”—for that period. Al-Ṭabarī, al-Zamakhsharī, al-Bayḍāwī, Ibn Kathīr and others generally understood those 950 years as the period of Noah’s presence or prophetic preaching among his people; several traditions therefore assign him a total life considerably</w:t>
      </w:r>
      <w:r>
        <w:t xml:space="preserve"> </w:t>
      </w:r>
      <w:r>
        <w:rPr>
          <w:b/>
          <w:bCs/>
        </w:rPr>
        <w:t xml:space="preserve">longer</w:t>
      </w:r>
      <w:r>
        <w:t xml:space="preserve"> </w:t>
      </w:r>
      <w:r>
        <w:t xml:space="preserve">than 950 years.</w:t>
      </w:r>
      <w:r>
        <w:t xml:space="preserve"> </w:t>
      </w:r>
      <w:hyperlink r:id="rId10">
        <w:r>
          <w:rPr>
            <w:rStyle w:val="Hyperlink"/>
          </w:rPr>
          <w:t xml:space="preserve">[1]</w:t>
        </w:r>
      </w:hyperlink>
    </w:p>
    <w:p>
      <w:pPr>
        <w:pStyle w:val="BodyText"/>
      </w:pPr>
      <w:r>
        <w:t xml:space="preserve">That traditional interpretation creates a genuine difficulty if the claim is presented as an event occurring within ordinary human biology. Modern gerontology does not know the precise immutable upper limit of human lifespan, and there is real scientific disagreement over whether such a mathematically sharp ceiling even exists. Nevertheless, this disagreement concerns a range around the extreme end of documented human survival—not anything remotely approaching nine centuries. The best-validated human lifespan remains Jeanne Calment’s 122 years and 164 days; contemporary aging research describes a large interconnected set of processes—genomic instability, telomere dysfunction, loss of proteostasis, mitochondrial dysfunction, cellular senescence, stem-cell exhaustion, inflammation and others—that progressively degrade human organisms. Recent demographic research continues to regard “radical” extension even to much more modest ages as biologically formidable.</w:t>
      </w:r>
      <w:r>
        <w:t xml:space="preserve"> </w:t>
      </w:r>
      <w:hyperlink r:id="rId11">
        <w:r>
          <w:rPr>
            <w:rStyle w:val="Hyperlink"/>
          </w:rPr>
          <w:t xml:space="preserve">[2]</w:t>
        </w:r>
      </w:hyperlink>
    </w:p>
    <w:p>
      <w:pPr>
        <w:pStyle w:val="BodyText"/>
      </w:pPr>
      <w:r>
        <w:t xml:space="preserve">There is, however, an equally important philosophical distinction. Biology can say that a naturally functioning</w:t>
      </w:r>
      <w:r>
        <w:t xml:space="preserve"> </w:t>
      </w:r>
      <w:r>
        <w:rPr>
          <w:i/>
          <w:iCs/>
        </w:rPr>
        <w:t xml:space="preserve">Homo sapiens</w:t>
      </w:r>
      <w:r>
        <w:t xml:space="preserve"> </w:t>
      </w:r>
      <w:r>
        <w:t xml:space="preserve">living for 950 years is radically inconsistent with everything known about human aging. Biology cannot experimentally disprove a deliberately defined, one-time supernatural miracle, because a miracle is precisely a claim that ordinary causal regularities were exceptionally overridden or supplemented. Fakhr al-Dīn al-Rāzī already employed essentially this distinction when confronted by physicians of his own period who claimed that human life could not naturally exceed about 120 years: he answered that Noah’s longevity need not have been “natural” but could have been a divine gift.</w:t>
      </w:r>
      <w:r>
        <w:t xml:space="preserve"> </w:t>
      </w:r>
      <w:hyperlink r:id="rId12">
        <w:r>
          <w:rPr>
            <w:rStyle w:val="Hyperlink"/>
          </w:rPr>
          <w:t xml:space="preserve">[3]</w:t>
        </w:r>
      </w:hyperlink>
      <w:r>
        <w:t xml:space="preserve"> </w:t>
      </w:r>
      <w:r>
        <w:t xml:space="preserve">What science does rule out is using ordinary biological science positively when it appears to confirm scripture, while treating contrary biological evidence as scientifically irrelevant</w:t>
      </w:r>
      <w:r>
        <w:t xml:space="preserve"> </w:t>
      </w:r>
      <w:r>
        <w:rPr>
          <w:b/>
          <w:bCs/>
        </w:rPr>
        <w:t xml:space="preserve">without explicitly changing the argument from science to miracle</w:t>
      </w:r>
      <w:r>
        <w:t xml:space="preserve">.</w:t>
      </w:r>
    </w:p>
    <w:p>
      <w:pPr>
        <w:pStyle w:val="BodyText"/>
      </w:pPr>
      <w:r>
        <w:t xml:space="preserve">The exegetical tradition itself offers more room than is sometimes acknowledged. Muḥammad Asad reads the figure as a rhetorical reutilization of the Biblical Noah tradition whose function is to emphasize the extraordinary perseverance of a prophet, rather than to furnish biological chronology. Maulana Muhammad Ali suggests that the 950 years may refer to the endurance of Noah’s dispensation or teaching rather than the lifespan of one individual. By contrast, Abū al-Aʿlā Mawdūdī explicitly denies that the Qur’an says Noah’s</w:t>
      </w:r>
      <w:r>
        <w:t xml:space="preserve"> </w:t>
      </w:r>
      <w:r>
        <w:rPr>
          <w:i/>
          <w:iCs/>
        </w:rPr>
        <w:t xml:space="preserve">total age</w:t>
      </w:r>
      <w:r>
        <w:t xml:space="preserve"> </w:t>
      </w:r>
      <w:r>
        <w:t xml:space="preserve">was 950, but nevertheless accepts 950 literal years of prophetic activity and defends the resulting longevity by appeal to divine power.</w:t>
      </w:r>
      <w:r>
        <w:t xml:space="preserve"> </w:t>
      </w:r>
      <w:hyperlink r:id="rId13">
        <w:r>
          <w:rPr>
            <w:rStyle w:val="Hyperlink"/>
          </w:rPr>
          <w:t xml:space="preserve">[4]</w:t>
        </w:r>
      </w:hyperlink>
      <w:r>
        <w:t xml:space="preserve"> </w:t>
      </w:r>
      <w:r>
        <w:t xml:space="preserve">These interpretations reveal at least three distinct hermeneutical options: literal natural history, literal miracle, and non-biographical/rhetorical reading.</w:t>
      </w:r>
    </w:p>
    <w:p>
      <w:pPr>
        <w:pStyle w:val="BodyText"/>
      </w:pPr>
      <w:r>
        <w:t xml:space="preserve">The most intellectually stable reconciliation with established biology is therefore not to pretend that contemporary longevity science somehow supports a 950-year ordinary human life. It does not. Nor is it necessary to declare Qur’an 29:14 scientifically false. A defensible approach is to recognize the verse’s literary and theological purpose, the semantic distinction between “remaining among his people” and total lifespan, the Qur’an’s frequent use of sacred history for exhortation rather than scientific specification, and the established Islamic principle that interpretation can distinguish a text’s communicative purpose from unnecessary historical or natural-philosophical assumptions imported into it. Such an approach also avoids making the truth of revelation hostage to selective concordism—the practice of invoking modern science as decisive when favorable and suspending its authority when inconvenient. Contemporary scholarship on Qur’an-and-science discourse has itself increasingly warned against precisely this asymmetry.</w:t>
      </w:r>
      <w:r>
        <w:t xml:space="preserve"> </w:t>
      </w:r>
      <w:hyperlink r:id="rId14">
        <w:r>
          <w:rPr>
            <w:rStyle w:val="Hyperlink"/>
          </w:rPr>
          <w:t xml:space="preserve">[5]</w:t>
        </w:r>
      </w:hyperlink>
    </w:p>
    <w:bookmarkEnd w:id="15"/>
    <w:bookmarkStart w:id="20" w:name="what-quran-2914-actually-says"/>
    <w:p>
      <w:pPr>
        <w:pStyle w:val="Heading2"/>
      </w:pPr>
      <w:r>
        <w:t xml:space="preserve">What Qur’an 29:14 Actually Says</w:t>
      </w:r>
    </w:p>
    <w:p>
      <w:pPr>
        <w:pStyle w:val="FirstParagraph"/>
      </w:pPr>
      <w:r>
        <w:t xml:space="preserve">The Arabic is:</w:t>
      </w:r>
    </w:p>
    <w:p>
      <w:pPr>
        <w:pStyle w:val="BlockText"/>
      </w:pPr>
      <w:r>
        <w:rPr>
          <w:b/>
          <w:bCs/>
        </w:rPr>
        <w:t xml:space="preserve">وَلَقَدْ أَرْسَلْنَا نُوحًا إِلَىٰ قَوْمِهِ فَلَبِثَ فِيهِمْ أَلْفَ سَنَةٍ إِلَّا خَمْسِينَ عَامًا فَأَخَذَهُمُ الطُّوفَانُ وَهُمْ ظَالِمُونَ</w:t>
      </w:r>
    </w:p>
    <w:p>
      <w:pPr>
        <w:pStyle w:val="FirstParagraph"/>
      </w:pPr>
      <w:r>
        <w:t xml:space="preserve">The crucial wording is</w:t>
      </w:r>
      <w:r>
        <w:t xml:space="preserve"> </w:t>
      </w:r>
      <w:r>
        <w:rPr>
          <w:i/>
          <w:iCs/>
        </w:rPr>
        <w:t xml:space="preserve">fa-labitha fīhim</w:t>
      </w:r>
      <w:r>
        <w:t xml:space="preserve">—“and he remained/dwelt among them”—followed by “a thousand years except fifty years.” Grammatically, therefore, the explicit numerical predicate concerns Noah’s</w:t>
      </w:r>
      <w:r>
        <w:t xml:space="preserve"> </w:t>
      </w:r>
      <w:r>
        <w:rPr>
          <w:b/>
          <w:bCs/>
        </w:rPr>
        <w:t xml:space="preserve">remaining among his people</w:t>
      </w:r>
      <w:r>
        <w:t xml:space="preserve">, not his birth-to-death age. This point is not a modern escape hatch. It is visible in the classical commentaries themselves. Al-Ṭabarī says Noah remained among his people for that period calling them to monotheism; Ibn Kathīr similarly says that he “remained among his people this period calling them to God,” while al-Bayḍāwī specifies that it was after his prophetic commissioning.</w:t>
      </w:r>
      <w:r>
        <w:t xml:space="preserve"> </w:t>
      </w:r>
      <w:hyperlink r:id="rId10">
        <w:r>
          <w:rPr>
            <w:rStyle w:val="Hyperlink"/>
          </w:rPr>
          <w:t xml:space="preserve">[6]</w:t>
        </w:r>
      </w:hyperlink>
    </w:p>
    <w:p>
      <w:pPr>
        <w:pStyle w:val="BodyText"/>
      </w:pPr>
      <w:r>
        <w:t xml:space="preserve">This actually makes the biological problem</w:t>
      </w:r>
      <w:r>
        <w:t xml:space="preserve"> </w:t>
      </w:r>
      <w:r>
        <w:rPr>
          <w:i/>
          <w:iCs/>
        </w:rPr>
        <w:t xml:space="preserve">larger</w:t>
      </w:r>
      <w:r>
        <w:t xml:space="preserve">, not smaller, under a chronological reading. Ibn Kathīr reports a tradition from Ibn ʿAbbās according to which Noah was commissioned at forty, preached for 950 years and lived another sixty after the Flood, yielding about 1,050 years; other reports give still greater totals. Al-Qurṭubī preserves traditions assigning Noah totals of roughly 1,020, 1,050, 1,400 and even 1,650 years. He does not regard these details as equally reliable, but the range demonstrates that classical exegetes normally distinguished the Qur’an’s 950-year statement from Noah’s total lifespan.</w:t>
      </w:r>
      <w:r>
        <w:t xml:space="preserve"> </w:t>
      </w:r>
      <w:hyperlink r:id="rId16">
        <w:r>
          <w:rPr>
            <w:rStyle w:val="Hyperlink"/>
          </w:rPr>
          <w:t xml:space="preserve">[7]</w:t>
        </w:r>
      </w:hyperlink>
    </w:p>
    <w:p>
      <w:pPr>
        <w:pStyle w:val="BodyText"/>
      </w:pPr>
      <w:r>
        <w:t xml:space="preserve">Al-Zamakhsharī makes the numerical literalness especially explicit. He asks why the Qur’an says “one thousand years except fifty” rather than simply “950 years.” His answer is that the circumlocution removes any suggestion of approximation and rhetorically magnifies Noah’s extraordinary endurance: the listener first hears the great round number “one thousand,” which amplifies the duration, before the exception is supplied. Al-Rāzī adopts much the same rhetorical analysis.</w:t>
      </w:r>
      <w:r>
        <w:t xml:space="preserve"> </w:t>
      </w:r>
      <w:hyperlink r:id="rId17">
        <w:r>
          <w:rPr>
            <w:rStyle w:val="Hyperlink"/>
          </w:rPr>
          <w:t xml:space="preserve">[8]</w:t>
        </w:r>
      </w:hyperlink>
    </w:p>
    <w:p>
      <w:pPr>
        <w:pStyle w:val="BodyText"/>
      </w:pPr>
      <w:r>
        <w:t xml:space="preserve">Yet that rhetorical function is crucial. In context, Sūrat al-ʿAnkabūt has just discussed believers being tested. Classical commentators repeatedly say that Noah is introduced to console and strengthen Muhammad and the early believers: if Noah endured the obstinacy of his people for an unimaginably long period, Muhammad should not despair after a comparatively short period of opposition. Al-Ṭabarī, Ibn Kathīr, al-Zamakhsharī and al-Rāzī all identify perseverance, consolation and the eventual fate of persistent rejection as the passage’s central point.</w:t>
      </w:r>
      <w:r>
        <w:t xml:space="preserve"> </w:t>
      </w:r>
      <w:hyperlink r:id="rId10">
        <w:r>
          <w:rPr>
            <w:rStyle w:val="Hyperlink"/>
          </w:rPr>
          <w:t xml:space="preserve">[9]</w:t>
        </w:r>
      </w:hyperlink>
    </w:p>
    <w:p>
      <w:pPr>
        <w:pStyle w:val="BodyText"/>
      </w:pPr>
      <w:r>
        <w:t xml:space="preserve">That observation matters hermeneutically. Even commentators who considered the number historically exact recognized that</w:t>
      </w:r>
      <w:r>
        <w:t xml:space="preserve"> </w:t>
      </w:r>
      <w:r>
        <w:rPr>
          <w:b/>
          <w:bCs/>
        </w:rPr>
        <w:t xml:space="preserve">the reason the number is narrated is theological and rhetorical, not biological</w:t>
      </w:r>
      <w:r>
        <w:t xml:space="preserve">. The verse is not explaining the physiology of antediluvian humans, not contrasting their genomes with ours, and not offering a theory of senescence. Any biological theory built on the verse is therefore an additional inference rather than something stated by it.</w:t>
      </w:r>
    </w:p>
    <w:p>
      <w:pPr>
        <w:pStyle w:val="BodyText"/>
      </w:pPr>
      <w:r>
        <w:t xml:space="preserve">The distinction between</w:t>
      </w:r>
      <w:r>
        <w:t xml:space="preserve"> </w:t>
      </w:r>
      <w:r>
        <w:rPr>
          <w:i/>
          <w:iCs/>
        </w:rPr>
        <w:t xml:space="preserve">sanah</w:t>
      </w:r>
      <w:r>
        <w:t xml:space="preserve"> </w:t>
      </w:r>
      <w:r>
        <w:t xml:space="preserve">and</w:t>
      </w:r>
      <w:r>
        <w:t xml:space="preserve"> </w:t>
      </w:r>
      <w:r>
        <w:rPr>
          <w:i/>
          <w:iCs/>
        </w:rPr>
        <w:t xml:space="preserve">ʿām</w:t>
      </w:r>
      <w:r>
        <w:t xml:space="preserve">, both translated “year,” has also prompted speculation. Classical Arabic authorities sometimes associate</w:t>
      </w:r>
      <w:r>
        <w:t xml:space="preserve"> </w:t>
      </w:r>
      <w:r>
        <w:rPr>
          <w:i/>
          <w:iCs/>
        </w:rPr>
        <w:t xml:space="preserve">sanah</w:t>
      </w:r>
      <w:r>
        <w:t xml:space="preserve"> </w:t>
      </w:r>
      <w:r>
        <w:t xml:space="preserve">with difficulty and</w:t>
      </w:r>
      <w:r>
        <w:t xml:space="preserve"> </w:t>
      </w:r>
      <w:r>
        <w:rPr>
          <w:i/>
          <w:iCs/>
        </w:rPr>
        <w:t xml:space="preserve">ʿām</w:t>
      </w:r>
      <w:r>
        <w:t xml:space="preserve"> </w:t>
      </w:r>
      <w:r>
        <w:t xml:space="preserve">with prosperity, and later commentators have noticed that 29:14 uses both words. Some popular modern attempts have converted these words into different units of time or suggested that the “years” might really be months or seasons. The classical evidence does</w:t>
      </w:r>
      <w:r>
        <w:t xml:space="preserve"> </w:t>
      </w:r>
      <w:r>
        <w:rPr>
          <w:b/>
          <w:bCs/>
        </w:rPr>
        <w:t xml:space="preserve">not</w:t>
      </w:r>
      <w:r>
        <w:t xml:space="preserve"> </w:t>
      </w:r>
      <w:r>
        <w:t xml:space="preserve">support that maneuver. The exegetical discussions generally regard both terms here as years, with the variation explained stylistically, rhetorically or through associations of hardship and ease.</w:t>
      </w:r>
      <w:r>
        <w:t xml:space="preserve"> </w:t>
      </w:r>
      <w:hyperlink r:id="rId18">
        <w:r>
          <w:rPr>
            <w:rStyle w:val="Hyperlink"/>
          </w:rPr>
          <w:t xml:space="preserve">[10]</w:t>
        </w:r>
      </w:hyperlink>
      <w:r>
        <w:t xml:space="preserve"> </w:t>
      </w:r>
      <w:r>
        <w:t xml:space="preserve">A “950 months” solution, therefore, would remove the biological difficulty only by creating a serious lexical and exegetical one.</w:t>
      </w:r>
    </w:p>
    <w:p>
      <w:pPr>
        <w:pStyle w:val="BodyText"/>
      </w:pPr>
      <w:r>
        <w:t xml:space="preserve">One further chronological qualification is necessary. The Qur’an nowhere dates Noah to “4,000–5,000 years ago.” Attempts to place him in that period usually depend ultimately on compressed Biblical genealogies or later chronological reconstruction. A Ghamidi-associated Al-Mawrid response, for example, explicitly argues that the Biblical genealogies need not enumerate every generation and that the Noachian period cannot confidently be dated from them.</w:t>
      </w:r>
      <w:r>
        <w:t xml:space="preserve"> </w:t>
      </w:r>
      <w:hyperlink r:id="rId19">
        <w:r>
          <w:rPr>
            <w:rStyle w:val="Hyperlink"/>
          </w:rPr>
          <w:t xml:space="preserve">[11]</w:t>
        </w:r>
      </w:hyperlink>
      <w:r>
        <w:t xml:space="preserve"> </w:t>
      </w:r>
      <w:r>
        <w:t xml:space="preserve">Thus the biological question should be separated from an unnecessarily specific date: whether Noah lived five thousand, ten thousand or much more than ten thousand years ago, there is no known phase in anatomically modern human biology in which ordinary individual lifespans approached a millennium.</w:t>
      </w:r>
    </w:p>
    <w:bookmarkEnd w:id="20"/>
    <w:bookmarkStart w:id="25" w:name="X36e3dcc269c66b4a5258e8d56dc835e43afd40a"/>
    <w:p>
      <w:pPr>
        <w:pStyle w:val="Heading2"/>
      </w:pPr>
      <w:r>
        <w:t xml:space="preserve">The Literalist Tradition and Its Different Forms</w:t>
      </w:r>
    </w:p>
    <w:p>
      <w:pPr>
        <w:pStyle w:val="FirstParagraph"/>
      </w:pPr>
      <w:r>
        <w:t xml:space="preserve">“Literalist” should not be treated as a single position, because the sources actually contain several different claims.</w:t>
      </w:r>
    </w:p>
    <w:p>
      <w:pPr>
        <w:pStyle w:val="BodyText"/>
      </w:pPr>
      <w:r>
        <w:t xml:space="preserve">The strongest natural-historical reading holds that people in Noah’s era simply possessed extraordinarily long normal lifespans. This idea appears in later apologetic explanations and in some modern commentarial writing. Sayyid Quṭb, for example, accepts the very long duration and speculates that when humanity was numerically sparse, God may have compensated with exceptional longevity; he analogizes to animal species in which reproductive rate and lifespan differ. This is offered as an explanation rather than as merely an unexplained miracle.</w:t>
      </w:r>
      <w:r>
        <w:t xml:space="preserve"> </w:t>
      </w:r>
      <w:hyperlink r:id="rId21">
        <w:r>
          <w:rPr>
            <w:rStyle w:val="Hyperlink"/>
          </w:rPr>
          <w:t xml:space="preserve">[12]</w:t>
        </w:r>
      </w:hyperlink>
      <w:r>
        <w:t xml:space="preserve"> </w:t>
      </w:r>
      <w:r>
        <w:t xml:space="preserve">From the standpoint of modern evolutionary biology, however, the analogy does not establish the conclusion: differences in lifespan among species arise from evolved life-history strategies, genomic architecture, metabolism, ecology and other species-specific mechanisms; they do not imply that a human population can move from lifespans exceeding 950 years to present human limits over a few thousand generations merely because population density changed. Contemporary aging science describes longevity as arising from complex interacting biological systems, not from a simple inverse law between fecundity and lifespan.</w:t>
      </w:r>
      <w:r>
        <w:t xml:space="preserve"> </w:t>
      </w:r>
      <w:hyperlink r:id="rId22">
        <w:r>
          <w:rPr>
            <w:rStyle w:val="Hyperlink"/>
          </w:rPr>
          <w:t xml:space="preserve">[13]</w:t>
        </w:r>
      </w:hyperlink>
    </w:p>
    <w:p>
      <w:pPr>
        <w:pStyle w:val="BodyText"/>
      </w:pPr>
      <w:r>
        <w:t xml:space="preserve">A second and much more defensible literalist position is</w:t>
      </w:r>
      <w:r>
        <w:t xml:space="preserve"> </w:t>
      </w:r>
      <w:r>
        <w:rPr>
          <w:b/>
          <w:bCs/>
        </w:rPr>
        <w:t xml:space="preserve">miraculous exceptionalism</w:t>
      </w:r>
      <w:r>
        <w:t xml:space="preserve">: 950 literal years happened, but not because ancient human biology normally allowed it. Al-Rāzī gives a striking medieval precedent. He reports physicians claiming that natural human lifespan could not exceed about 120 years. Rather than attempting to show their medical observation wrong on empirical grounds, he distinguishes the “natural” lifespan from an extraordinary life granted by God.</w:t>
      </w:r>
      <w:r>
        <w:t xml:space="preserve"> </w:t>
      </w:r>
      <w:hyperlink r:id="rId12">
        <w:r>
          <w:rPr>
            <w:rStyle w:val="Hyperlink"/>
          </w:rPr>
          <w:t xml:space="preserve">[3]</w:t>
        </w:r>
      </w:hyperlink>
      <w:r>
        <w:t xml:space="preserve"> </w:t>
      </w:r>
      <w:r>
        <w:t xml:space="preserve">A contemporary believer can consistently adopt that position: “biology correctly describes ordinary human aging; Noah was an exception produced by divine action.”</w:t>
      </w:r>
    </w:p>
    <w:p>
      <w:pPr>
        <w:pStyle w:val="BodyText"/>
      </w:pPr>
      <w:r>
        <w:t xml:space="preserve">That position is not a scientific explanation, but it is logically different from rejecting biology. Science operates by investigating repeatable or inferable regularities in nature. A singular miracle defined as exceptional divine causation cannot be falsified simply by showing that no ordinary mechanism is known. Conversely, it also cannot be offered as a result</w:t>
      </w:r>
      <w:r>
        <w:t xml:space="preserve"> </w:t>
      </w:r>
      <w:r>
        <w:rPr>
          <w:i/>
          <w:iCs/>
        </w:rPr>
        <w:t xml:space="preserve">supported by</w:t>
      </w:r>
      <w:r>
        <w:t xml:space="preserve"> </w:t>
      </w:r>
      <w:r>
        <w:t xml:space="preserve">biology. The intellectually clean formulation is therefore:</w:t>
      </w:r>
      <w:r>
        <w:t xml:space="preserve"> </w:t>
      </w:r>
      <w:r>
        <w:rPr>
          <w:b/>
          <w:bCs/>
        </w:rPr>
        <w:t xml:space="preserve">“I accept the science of ordinary human longevity; I additionally believe, for theological reasons, that this one case was miraculous.”</w:t>
      </w:r>
      <w:r>
        <w:t xml:space="preserve"> </w:t>
      </w:r>
      <w:r>
        <w:t xml:space="preserve">That is a science-and-miracle distinction, not a scientific proof.</w:t>
      </w:r>
    </w:p>
    <w:p>
      <w:pPr>
        <w:pStyle w:val="BodyText"/>
      </w:pPr>
      <w:r>
        <w:t xml:space="preserve">Mawdūdī takes essentially this route. He correctly stresses that the Qur’an does not say Noah’s</w:t>
      </w:r>
      <w:r>
        <w:t xml:space="preserve"> </w:t>
      </w:r>
      <w:r>
        <w:rPr>
          <w:i/>
          <w:iCs/>
        </w:rPr>
        <w:t xml:space="preserve">entire lifespan</w:t>
      </w:r>
      <w:r>
        <w:t xml:space="preserve"> </w:t>
      </w:r>
      <w:r>
        <w:t xml:space="preserve">was 950 years, but rather that his post-commission prophetic struggle before the Flood lasted 950 years. He then acknowledges that this implies an even longer total life and argues that divine omnipotence can produce extraordinary exceptions.</w:t>
      </w:r>
      <w:r>
        <w:t xml:space="preserve"> </w:t>
      </w:r>
      <w:hyperlink r:id="rId23">
        <w:r>
          <w:rPr>
            <w:rStyle w:val="Hyperlink"/>
          </w:rPr>
          <w:t xml:space="preserve">[14]</w:t>
        </w:r>
      </w:hyperlink>
      <w:r>
        <w:t xml:space="preserve"> </w:t>
      </w:r>
      <w:r>
        <w:t xml:space="preserve">This interpretation is textually literal but does not claim support from ordinary biology.</w:t>
      </w:r>
    </w:p>
    <w:p>
      <w:pPr>
        <w:pStyle w:val="BodyText"/>
      </w:pPr>
      <w:r>
        <w:t xml:space="preserve">Modern traditionalist answers often do the same. SeekersGuidance notes that the “vast majority” of traditional exegetes understand extraordinarily long Noachian longevity, while IslamQA catalogs early reports ranging well above 950 years and ultimately treats the question as a matter not settled in every biographical detail by revelation.</w:t>
      </w:r>
      <w:r>
        <w:t xml:space="preserve"> </w:t>
      </w:r>
      <w:hyperlink r:id="rId24">
        <w:r>
          <w:rPr>
            <w:rStyle w:val="Hyperlink"/>
          </w:rPr>
          <w:t xml:space="preserve">[15]</w:t>
        </w:r>
      </w:hyperlink>
      <w:r>
        <w:t xml:space="preserve"> </w:t>
      </w:r>
      <w:r>
        <w:t xml:space="preserve">These are useful witnesses to the continuing mainstream traditional tendency, although neither source is itself evidence that biological science supports such longevity.</w:t>
      </w:r>
    </w:p>
    <w:p>
      <w:pPr>
        <w:pStyle w:val="BodyText"/>
      </w:pPr>
      <w:r>
        <w:t xml:space="preserve">A fourth possibility sometimes confused with literalism is “950 years of mission, but not 950 years of age.” That formulation by itself does</w:t>
      </w:r>
      <w:r>
        <w:t xml:space="preserve"> </w:t>
      </w:r>
      <w:r>
        <w:rPr>
          <w:b/>
          <w:bCs/>
        </w:rPr>
        <w:t xml:space="preserve">not</w:t>
      </w:r>
      <w:r>
        <w:t xml:space="preserve"> </w:t>
      </w:r>
      <w:r>
        <w:t xml:space="preserve">solve anything biologically. If an individual preached for 950 years, he necessarily lived at least 950 years. It is only a correction to the claim that the verse explicitly defines his complete lifespan.</w:t>
      </w:r>
    </w:p>
    <w:p>
      <w:pPr>
        <w:pStyle w:val="BodyText"/>
      </w:pPr>
      <w:r>
        <w:t xml:space="preserve">Finally, the literalist tradition should not be portrayed as intellectually naïve simply because its conclusions differ from modern science. Al-Rāzī knew that contemporary physicians regarded such longevity as naturally impossible and addressed the objection directly. The real difference is epistemological: he regarded authenticated revelation as capable of establishing an exception beyond what medicine observes.</w:t>
      </w:r>
      <w:r>
        <w:t xml:space="preserve"> </w:t>
      </w:r>
      <w:hyperlink r:id="rId12">
        <w:r>
          <w:rPr>
            <w:rStyle w:val="Hyperlink"/>
          </w:rPr>
          <w:t xml:space="preserve">[16]</w:t>
        </w:r>
      </w:hyperlink>
      <w:r>
        <w:t xml:space="preserve"> </w:t>
      </w:r>
      <w:r>
        <w:t xml:space="preserve">The modern question is whether scholars who make that move should simultaneously appeal to scientific concordance elsewhere as an independent proof of revelation. That is where a methodological tension can arise.</w:t>
      </w:r>
    </w:p>
    <w:bookmarkEnd w:id="25"/>
    <w:bookmarkStart w:id="27" w:name="Xdf205d8ed4bb34cea788e8ccbba78c47caf9846"/>
    <w:p>
      <w:pPr>
        <w:pStyle w:val="Heading2"/>
      </w:pPr>
      <w:r>
        <w:t xml:space="preserve">Commentators Who Read the Verse Differently</w:t>
      </w:r>
    </w:p>
    <w:p>
      <w:pPr>
        <w:pStyle w:val="FirstParagraph"/>
      </w:pPr>
      <w:r>
        <w:t xml:space="preserve">The most significant nonliteral modern interpretation is Muhammad Asad’s. Asad points out that the same number, 950, appears in Genesis 9:29 as Noah’s lifespan. He argues that the Qur’an’s repetition of this inherited Biblical figure serves a rhetorical purpose: to dramatize the truth that even an extraordinarily long prophetic mission does not guarantee the conversion of those unwilling to believe. He calls the number an element of “Biblical legend” and treats its Qur’anic employment as illustrative rather than as a lesson in chronological biology.</w:t>
      </w:r>
      <w:r>
        <w:t xml:space="preserve"> </w:t>
      </w:r>
      <w:hyperlink r:id="rId13">
        <w:r>
          <w:rPr>
            <w:rStyle w:val="Hyperlink"/>
          </w:rPr>
          <w:t xml:space="preserve">[17]</w:t>
        </w:r>
      </w:hyperlink>
    </w:p>
    <w:p>
      <w:pPr>
        <w:pStyle w:val="BodyText"/>
      </w:pPr>
      <w:r>
        <w:t xml:space="preserve">Asad’s interpretation deserves careful formulation. He is</w:t>
      </w:r>
      <w:r>
        <w:t xml:space="preserve"> </w:t>
      </w:r>
      <w:r>
        <w:rPr>
          <w:b/>
          <w:bCs/>
        </w:rPr>
        <w:t xml:space="preserve">not</w:t>
      </w:r>
      <w:r>
        <w:t xml:space="preserve"> </w:t>
      </w:r>
      <w:r>
        <w:t xml:space="preserve">simply replacing “950” with “a long but biologically normal number.” His claim is more literary: the Qur’an can appropriate a familiar sacred-historical motif for a theological message without making the scientific historicity of every narrative detail the message being asserted. On this reading, the truth claim is principally about Noah’s perseverance, human recalcitrance and divine guidance, not the physiology of a nine-century-old body.</w:t>
      </w:r>
      <w:r>
        <w:t xml:space="preserve"> </w:t>
      </w:r>
      <w:hyperlink r:id="rId13">
        <w:r>
          <w:rPr>
            <w:rStyle w:val="Hyperlink"/>
          </w:rPr>
          <w:t xml:space="preserve">[18]</w:t>
        </w:r>
      </w:hyperlink>
    </w:p>
    <w:p>
      <w:pPr>
        <w:pStyle w:val="BodyText"/>
      </w:pPr>
      <w:r>
        <w:t xml:space="preserve">Maulana Muhammad Ali offers another route. His commentary acknowledges the Biblical 950-year tradition and says an exceptionally long life is not inherently impossible, but then offers what he considers textual indications that the 950 years could refer to</w:t>
      </w:r>
      <w:r>
        <w:t xml:space="preserve"> </w:t>
      </w:r>
      <w:r>
        <w:rPr>
          <w:b/>
          <w:bCs/>
        </w:rPr>
        <w:t xml:space="preserve">the duration of Noah’s law or dispensation</w:t>
      </w:r>
      <w:r>
        <w:t xml:space="preserve">, extending until Abraham, rather than the uninterrupted biological life of a single man. He connects this reading to the immediate transition from Noah to Abraham in the passage.</w:t>
      </w:r>
      <w:r>
        <w:t xml:space="preserve"> </w:t>
      </w:r>
      <w:hyperlink r:id="rId26">
        <w:r>
          <w:rPr>
            <w:rStyle w:val="Hyperlink"/>
          </w:rPr>
          <w:t xml:space="preserve">[19]</w:t>
        </w:r>
      </w:hyperlink>
      <w:r>
        <w:t xml:space="preserve"> </w:t>
      </w:r>
      <w:r>
        <w:t xml:space="preserve">This is a much more revisionary interpretation than Asad’s because it shifts the grammatical subject from Noah’s personal residence toward the endurance of the religious dispensation associated with him.</w:t>
      </w:r>
    </w:p>
    <w:p>
      <w:pPr>
        <w:pStyle w:val="BodyText"/>
      </w:pPr>
      <w:r>
        <w:t xml:space="preserve">The strength of Muhammad Ali’s view is obvious: it removes the biological anomaly while preserving the numerical figure. Its weakness is equally obvious: the surface grammar says</w:t>
      </w:r>
      <w:r>
        <w:t xml:space="preserve"> </w:t>
      </w:r>
      <w:r>
        <w:rPr>
          <w:b/>
          <w:bCs/>
        </w:rPr>
        <w:t xml:space="preserve">Noah himself</w:t>
      </w:r>
      <w:r>
        <w:t xml:space="preserve"> </w:t>
      </w:r>
      <w:r>
        <w:t xml:space="preserve">“remained among them,” not that his law remained. The interpretation therefore depends on metonymy—Noah standing for the religious order he inaugurated. That is a possible literary device, but it has little support in the major premodern commentaries surveyed above. It is best described as a modern reconciliatory proposal, not as a rediscovered classical consensus.</w:t>
      </w:r>
      <w:r>
        <w:t xml:space="preserve"> </w:t>
      </w:r>
      <w:hyperlink r:id="rId10">
        <w:r>
          <w:rPr>
            <w:rStyle w:val="Hyperlink"/>
          </w:rPr>
          <w:t xml:space="preserve">[20]</w:t>
        </w:r>
      </w:hyperlink>
    </w:p>
    <w:p>
      <w:pPr>
        <w:pStyle w:val="BodyText"/>
      </w:pPr>
      <w:r>
        <w:t xml:space="preserve">Muhammad Asad’s approach is hermeneutically less grammatically disruptive because it leaves Noah as the narrative subject and instead asks what kind of discourse the number represents. It resembles the way interpreters often distinguish the theological force of a parable, stylized sacred history or culturally inherited narrative motif from the incidental empirical assumptions through which that force is communicated. Whether a Muslim accepts Asad’s larger theory of Qur’anic narratives is, of course, a theological judgment, but the reading does not require redefining the Arabic word for year.</w:t>
      </w:r>
    </w:p>
    <w:p>
      <w:pPr>
        <w:pStyle w:val="BodyText"/>
      </w:pPr>
      <w:r>
        <w:t xml:space="preserve">It is also revealing that some modern commentators often associated with rationalist approaches nevertheless remain literal here. The Al-Mawrid response connected to the Ghamidi school explicitly says that the Qur’anic assertion that Noah lived 950 years is correct and treats the longevity as potentially miraculous; it rejects attempts to date Noah securely from Biblical genealogies rather than reinterpreting the number itself.</w:t>
      </w:r>
      <w:r>
        <w:t xml:space="preserve"> </w:t>
      </w:r>
      <w:hyperlink r:id="rId19">
        <w:r>
          <w:rPr>
            <w:rStyle w:val="Hyperlink"/>
          </w:rPr>
          <w:t xml:space="preserve">[11]</w:t>
        </w:r>
      </w:hyperlink>
      <w:r>
        <w:t xml:space="preserve"> </w:t>
      </w:r>
      <w:r>
        <w:t xml:space="preserve">Thus “modernist” and “nonliteral” cannot safely be used as synonyms.</w:t>
      </w:r>
    </w:p>
    <w:p>
      <w:pPr>
        <w:pStyle w:val="BodyText"/>
      </w:pPr>
      <w:r>
        <w:t xml:space="preserve">The range of views can be summarized compactly: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Interpreter or tendency</w:t>
            </w:r>
          </w:p>
        </w:tc>
        <w:tc>
          <w:tcPr/>
          <w:p>
            <w:pPr>
              <w:pStyle w:val="Compact"/>
            </w:pPr>
            <w:r>
              <w:t xml:space="preserve">What 950 refers to</w:t>
            </w:r>
          </w:p>
        </w:tc>
        <w:tc>
          <w:tcPr/>
          <w:p>
            <w:pPr>
              <w:pStyle w:val="Compact"/>
            </w:pPr>
            <w:r>
              <w:t xml:space="preserve">Biological implication</w:t>
            </w:r>
          </w:p>
        </w:tc>
      </w:tr>
      <w:tr>
        <w:tc>
          <w:tcPr/>
          <w:p>
            <w:pPr>
              <w:pStyle w:val="Compact"/>
            </w:pPr>
            <w:r>
              <w:t xml:space="preserve">Al-Ṭabarī, al-Zamakhsharī, al-Bayḍāwī, Ibn Kathīr</w:t>
            </w:r>
          </w:p>
        </w:tc>
        <w:tc>
          <w:tcPr/>
          <w:p>
            <w:pPr>
              <w:pStyle w:val="Compact"/>
            </w:pPr>
            <w:r>
              <w:t xml:space="preserve">Literal period Noah remained/preached among his people</w:t>
            </w:r>
          </w:p>
        </w:tc>
        <w:tc>
          <w:tcPr/>
          <w:p>
            <w:pPr>
              <w:pStyle w:val="Compact"/>
            </w:pPr>
            <w:r>
              <w:t xml:space="preserve">Requires lifespan ≥950 years, often &gt;1,000</w:t>
            </w:r>
          </w:p>
        </w:tc>
      </w:tr>
      <w:tr>
        <w:tc>
          <w:tcPr/>
          <w:p>
            <w:pPr>
              <w:pStyle w:val="Compact"/>
            </w:pPr>
            <w:r>
              <w:t xml:space="preserve">Al-Rāzī</w:t>
            </w:r>
          </w:p>
        </w:tc>
        <w:tc>
          <w:tcPr/>
          <w:p>
            <w:pPr>
              <w:pStyle w:val="Compact"/>
            </w:pPr>
            <w:r>
              <w:t xml:space="preserve">Literal period; extraordinary longevity divinely possible</w:t>
            </w:r>
          </w:p>
        </w:tc>
        <w:tc>
          <w:tcPr/>
          <w:p>
            <w:pPr>
              <w:pStyle w:val="Compact"/>
            </w:pPr>
            <w:r>
              <w:t xml:space="preserve">Explicitly distinguishes miracle from “natural” medical lifespan</w:t>
            </w:r>
          </w:p>
        </w:tc>
      </w:tr>
      <w:tr>
        <w:tc>
          <w:tcPr/>
          <w:p>
            <w:pPr>
              <w:pStyle w:val="Compact"/>
            </w:pPr>
            <w:r>
              <w:t xml:space="preserve">Sayyid Quṭb</w:t>
            </w:r>
          </w:p>
        </w:tc>
        <w:tc>
          <w:tcPr/>
          <w:p>
            <w:pPr>
              <w:pStyle w:val="Compact"/>
            </w:pPr>
            <w:r>
              <w:t xml:space="preserve">Literal period, with speculative natural/theological rationale</w:t>
            </w:r>
          </w:p>
        </w:tc>
        <w:tc>
          <w:tcPr/>
          <w:p>
            <w:pPr>
              <w:pStyle w:val="Compact"/>
            </w:pPr>
            <w:r>
              <w:t xml:space="preserve">Attempts partial biological analogy</w:t>
            </w:r>
          </w:p>
        </w:tc>
      </w:tr>
      <w:tr>
        <w:tc>
          <w:tcPr/>
          <w:p>
            <w:pPr>
              <w:pStyle w:val="Compact"/>
            </w:pPr>
            <w:r>
              <w:t xml:space="preserve">Mawdūdī</w:t>
            </w:r>
          </w:p>
        </w:tc>
        <w:tc>
          <w:tcPr/>
          <w:p>
            <w:pPr>
              <w:pStyle w:val="Compact"/>
            </w:pPr>
            <w:r>
              <w:t xml:space="preserve">Literal 950-year prophetic mission, not total age</w:t>
            </w:r>
          </w:p>
        </w:tc>
        <w:tc>
          <w:tcPr/>
          <w:p>
            <w:pPr>
              <w:pStyle w:val="Compact"/>
            </w:pPr>
            <w:r>
              <w:t xml:space="preserve">Accepts extraordinary longevity through divine power</w:t>
            </w:r>
          </w:p>
        </w:tc>
      </w:tr>
      <w:tr>
        <w:tc>
          <w:tcPr/>
          <w:p>
            <w:pPr>
              <w:pStyle w:val="Compact"/>
            </w:pPr>
            <w:r>
              <w:t xml:space="preserve">Muhammad Asad</w:t>
            </w:r>
          </w:p>
        </w:tc>
        <w:tc>
          <w:tcPr/>
          <w:p>
            <w:pPr>
              <w:pStyle w:val="Compact"/>
            </w:pPr>
            <w:r>
              <w:t xml:space="preserve">Rhetorically employed traditional/Biblical figure stressing perseverance</w:t>
            </w:r>
          </w:p>
        </w:tc>
        <w:tc>
          <w:tcPr/>
          <w:p>
            <w:pPr>
              <w:pStyle w:val="Compact"/>
            </w:pPr>
            <w:r>
              <w:t xml:space="preserve">Does not require 950 years as biological chronology</w:t>
            </w:r>
          </w:p>
        </w:tc>
      </w:tr>
      <w:tr>
        <w:tc>
          <w:tcPr/>
          <w:p>
            <w:pPr>
              <w:pStyle w:val="Compact"/>
            </w:pPr>
            <w:r>
              <w:t xml:space="preserve">Maulana Muhammad Ali</w:t>
            </w:r>
          </w:p>
        </w:tc>
        <w:tc>
          <w:tcPr/>
          <w:p>
            <w:pPr>
              <w:pStyle w:val="Compact"/>
            </w:pPr>
            <w:r>
              <w:t xml:space="preserve">Possibly the 950-year endurance of Noah’s dispensation</w:t>
            </w:r>
          </w:p>
        </w:tc>
        <w:tc>
          <w:tcPr/>
          <w:p>
            <w:pPr>
              <w:pStyle w:val="Compact"/>
            </w:pPr>
            <w:r>
              <w:t xml:space="preserve">Avoids individual millennial lifespan</w:t>
            </w:r>
          </w:p>
        </w:tc>
      </w:tr>
      <w:tr>
        <w:tc>
          <w:tcPr/>
          <w:p>
            <w:pPr>
              <w:pStyle w:val="Compact"/>
            </w:pPr>
            <w:r>
              <w:t xml:space="preserve">Ghamidi-associated Al-Mawrid answer</w:t>
            </w:r>
          </w:p>
        </w:tc>
        <w:tc>
          <w:tcPr/>
          <w:p>
            <w:pPr>
              <w:pStyle w:val="Compact"/>
            </w:pPr>
            <w:r>
              <w:t xml:space="preserve">Literal longevity; chronology of Noah uncertain</w:t>
            </w:r>
          </w:p>
        </w:tc>
        <w:tc>
          <w:tcPr/>
          <w:p>
            <w:pPr>
              <w:pStyle w:val="Compact"/>
            </w:pPr>
            <w:r>
              <w:t xml:space="preserve">Treats it as a miracle rather than revising number</w:t>
            </w:r>
          </w:p>
        </w:tc>
      </w:tr>
    </w:tbl>
    <w:p>
      <w:pPr>
        <w:pStyle w:val="BodyText"/>
      </w:pPr>
      <w:r>
        <w:t xml:space="preserve">The existence of these alternatives shows that accepting the Qur’an does not logically entail accepting one particular theory of antediluvian physiology. What remains debated is which hermeneutic best honors the Arabic wording, the classical tradition and the broader theological understanding of Qur’anic narrative.</w:t>
      </w:r>
    </w:p>
    <w:bookmarkEnd w:id="27"/>
    <w:bookmarkStart w:id="35" w:name="X79e658f7e0c1dd431e264bf7afad6b16170831f"/>
    <w:p>
      <w:pPr>
        <w:pStyle w:val="Heading2"/>
      </w:pPr>
      <w:r>
        <w:t xml:space="preserve">What Biology and Medicine Actually Establish</w:t>
      </w:r>
    </w:p>
    <w:p>
      <w:pPr>
        <w:pStyle w:val="FirstParagraph"/>
      </w:pPr>
      <w:r>
        <w:t xml:space="preserve">The biological case should be stated more carefully than “science has proven that no human could ever live 950 years.” Science rarely proves universal metaphysical impossibilities. What it establishes is much stronger than mere present-day unfamiliarity but narrower than logical impossibility:</w:t>
      </w:r>
      <w:r>
        <w:t xml:space="preserve"> </w:t>
      </w:r>
      <w:r>
        <w:rPr>
          <w:b/>
          <w:bCs/>
        </w:rPr>
        <w:t xml:space="preserve">every validated observation of human longevity, every well-supported model of human senescence, and every known mechanism of ordinary human aging is radically inconsistent with a naturally aging human surviving for nine and a half centuries.</w:t>
      </w:r>
      <w:r>
        <w:t xml:space="preserve"> </w:t>
      </w:r>
      <w:hyperlink r:id="rId11">
        <w:r>
          <w:rPr>
            <w:rStyle w:val="Hyperlink"/>
          </w:rPr>
          <w:t xml:space="preserve">[21]</w:t>
        </w:r>
      </w:hyperlink>
    </w:p>
    <w:p>
      <w:pPr>
        <w:pStyle w:val="BodyText"/>
      </w:pPr>
      <w:r>
        <w:t xml:space="preserve">The verified empirical scale is important. Jeanne Calment’s 122 years and 164 days remains the benchmark for validated human longevity; detailed documentary and demographic studies continue to defend that record.</w:t>
      </w:r>
      <w:r>
        <w:t xml:space="preserve"> </w:t>
      </w:r>
      <w:hyperlink r:id="rId11">
        <w:r>
          <w:rPr>
            <w:rStyle w:val="Hyperlink"/>
          </w:rPr>
          <w:t xml:space="preserve">[22]</w:t>
        </w:r>
      </w:hyperlink>
      <w:r>
        <w:t xml:space="preserve"> </w:t>
      </w:r>
      <w:r>
        <w:t xml:space="preserve">The scientific dispute is not whether humans naturally reach 500, 700 or 950. It is whether the current mortality distribution implies a hard ceiling around the 120s, a “soft” practical limit capable of gradual movement, or no mathematically fixed ceiling at all. Vaupel and colleagues, for example, reject the inference that Calment’s record itself proves an absolute upper bound, while Milholland and Vijg defend biological and demographic evidence for a lifespan limit.</w:t>
      </w:r>
      <w:r>
        <w:t xml:space="preserve"> </w:t>
      </w:r>
      <w:hyperlink r:id="rId28">
        <w:r>
          <w:rPr>
            <w:rStyle w:val="Hyperlink"/>
          </w:rPr>
          <w:t xml:space="preserve">[23]</w:t>
        </w:r>
      </w:hyperlink>
    </w:p>
    <w:p>
      <w:pPr>
        <w:pStyle w:val="BodyText"/>
      </w:pPr>
      <w:r>
        <w:t xml:space="preserve">This disagreement is sometimes misunderstood in religious apologetics. Saying “scientists disagree about the maximum human lifespan” does</w:t>
      </w:r>
      <w:r>
        <w:t xml:space="preserve"> </w:t>
      </w:r>
      <w:r>
        <w:rPr>
          <w:b/>
          <w:bCs/>
        </w:rPr>
        <w:t xml:space="preserve">not</w:t>
      </w:r>
      <w:r>
        <w:t xml:space="preserve"> </w:t>
      </w:r>
      <w:r>
        <w:t xml:space="preserve">mean that 950 years is scientifically plausible. The disagreement occupies a comparatively narrow region at the extreme tail of a lifespan distribution centered more than seven centuries below 950. A 2024</w:t>
      </w:r>
      <w:r>
        <w:t xml:space="preserve"> </w:t>
      </w:r>
      <w:r>
        <w:rPr>
          <w:i/>
          <w:iCs/>
        </w:rPr>
        <w:t xml:space="preserve">Nature Aging</w:t>
      </w:r>
      <w:r>
        <w:t xml:space="preserve"> </w:t>
      </w:r>
      <w:r>
        <w:t xml:space="preserve">analysis of the world’s longest-lived populations concluded that radical life extension remains implausible without profound alteration of the biological aging process; even achieving life expectancy of 110 would demand mortality reductions vastly beyond those observed.</w:t>
      </w:r>
      <w:r>
        <w:t xml:space="preserve"> </w:t>
      </w:r>
      <w:hyperlink r:id="rId29">
        <w:r>
          <w:rPr>
            <w:rStyle w:val="Hyperlink"/>
          </w:rPr>
          <w:t xml:space="preserve">[24]</w:t>
        </w:r>
      </w:hyperlink>
      <w:r>
        <w:t xml:space="preserve"> </w:t>
      </w:r>
      <w:r>
        <w:t xml:space="preserve">A 2026 global analysis likewise found evidence compatible with a bounded upper tail near approximately 120 under its baseline modeling assumptions, while properly stressing that the exact numerical boundary is model-dependent rather than a proven biological constant.</w:t>
      </w:r>
      <w:r>
        <w:t xml:space="preserve"> </w:t>
      </w:r>
      <w:hyperlink r:id="rId30">
        <w:r>
          <w:rPr>
            <w:rStyle w:val="Hyperlink"/>
          </w:rPr>
          <w:t xml:space="preserve">[25]</w:t>
        </w:r>
      </w:hyperlink>
    </w:p>
    <w:p>
      <w:pPr>
        <w:pStyle w:val="BodyText"/>
      </w:pPr>
      <w:r>
        <w:t xml:space="preserve">Modern aging biology makes the scale of the problem clearer. The 2023 update of the influential “hallmarks of aging” framework identifies twelve interconnected processes: genomic instability, telomere attrition, epigenetic alterations, loss of proteostasis, disabled macroautophagy, deregulated nutrient sensing, mitochondrial dysfunction, cellular senescence, stem-cell exhaustion, altered intercellular communication, chronic inflammation and dysbiosis. These are not twelve independent clocks whose failure can simply be delayed by better sanitation; they constitute mutually interacting deterioration across cells, tissues and whole organisms.</w:t>
      </w:r>
      <w:r>
        <w:t xml:space="preserve"> </w:t>
      </w:r>
      <w:hyperlink r:id="rId22">
        <w:r>
          <w:rPr>
            <w:rStyle w:val="Hyperlink"/>
          </w:rPr>
          <w:t xml:space="preserve">[26]</w:t>
        </w:r>
      </w:hyperlink>
    </w:p>
    <w:p>
      <w:pPr>
        <w:pStyle w:val="BodyText"/>
      </w:pPr>
      <w:r>
        <w:t xml:space="preserve">Telomere dysfunction illustrates only one component. Telomere shortening and damage can induce cellular senescence and contribute to age-related pathology, but simply preserving telomeres would not abolish aging because genomic damage, cancer risk, epigenetic drift, mitochondrial dysfunction, protein aggregation, immune changes and numerous other processes remain.</w:t>
      </w:r>
      <w:r>
        <w:t xml:space="preserve"> </w:t>
      </w:r>
      <w:hyperlink r:id="rId31">
        <w:r>
          <w:rPr>
            <w:rStyle w:val="Hyperlink"/>
          </w:rPr>
          <w:t xml:space="preserve">[27]</w:t>
        </w:r>
      </w:hyperlink>
      <w:r>
        <w:t xml:space="preserve"> </w:t>
      </w:r>
      <w:r>
        <w:t xml:space="preserve">Likewise, DNA damage increases with age, and inherited defects in DNA repair can produce progeroid syndromes, providing causal evidence that genome maintenance is deeply involved in aging.</w:t>
      </w:r>
      <w:r>
        <w:t xml:space="preserve"> </w:t>
      </w:r>
      <w:hyperlink r:id="rId32">
        <w:r>
          <w:rPr>
            <w:rStyle w:val="Hyperlink"/>
          </w:rPr>
          <w:t xml:space="preserve">[28]</w:t>
        </w:r>
      </w:hyperlink>
    </w:p>
    <w:p>
      <w:pPr>
        <w:pStyle w:val="BodyText"/>
      </w:pPr>
      <w:r>
        <w:t xml:space="preserve">Evolutionary biology supplies another constraint. Natural selection weakens with age after reproductive success, permitting late-acting deleterious effects to persist; contemporary evolutionary-genetic research relates this selection shadow to the architecture of senescence and age-related disease.</w:t>
      </w:r>
      <w:r>
        <w:t xml:space="preserve"> </w:t>
      </w:r>
      <w:hyperlink r:id="rId33">
        <w:r>
          <w:rPr>
            <w:rStyle w:val="Hyperlink"/>
          </w:rPr>
          <w:t xml:space="preserve">[29]</w:t>
        </w:r>
      </w:hyperlink>
      <w:r>
        <w:t xml:space="preserve"> </w:t>
      </w:r>
      <w:r>
        <w:t xml:space="preserve">A lineage in which humans routinely remained physiologically functional for many centuries would therefore be expected to require a dramatically different suite of longevity adaptations from those observed in our species.</w:t>
      </w:r>
    </w:p>
    <w:p>
      <w:pPr>
        <w:pStyle w:val="BodyText"/>
      </w:pPr>
      <w:r>
        <w:t xml:space="preserve">Evidence from nonindustrial and hunter-gatherer populations also undercuts the idea that modern short lifespans are merely an artifact of modern civilization. Recent reviews of human life-history research report modal observed maximum lifespans around 68–79 years in mobile hunter-gatherer populations, with humans already unusually long-lived compared with other great apes.</w:t>
      </w:r>
      <w:r>
        <w:t xml:space="preserve"> </w:t>
      </w:r>
      <w:hyperlink r:id="rId34">
        <w:r>
          <w:rPr>
            <w:rStyle w:val="Hyperlink"/>
          </w:rPr>
          <w:t xml:space="preserve">[30]</w:t>
        </w:r>
      </w:hyperlink>
      <w:r>
        <w:t xml:space="preserve"> </w:t>
      </w:r>
      <w:r>
        <w:t xml:space="preserve">Poor early-life survival makes average lifespan in ancient populations misleadingly low, but even when one distinguishes life expectancy from maximum lifespan, there is no empirical indication of a lost human biological state in which individuals naturally lived for centuries.</w:t>
      </w:r>
    </w:p>
    <w:p>
      <w:pPr>
        <w:pStyle w:val="BodyText"/>
      </w:pPr>
      <w:r>
        <w:t xml:space="preserve">One caveat is essential: skeletal archaeology cannot normally determine whether some particular adult died at 73, 123 or 950 years with the precision that birth certificates allow. Adult age estimation from bones becomes increasingly uncertain after skeletal maturity.</w:t>
      </w:r>
      <w:r>
        <w:t xml:space="preserve"> </w:t>
      </w:r>
      <w:hyperlink r:id="rId34">
        <w:r>
          <w:rPr>
            <w:rStyle w:val="Hyperlink"/>
          </w:rPr>
          <w:t xml:space="preserve">[30]</w:t>
        </w:r>
      </w:hyperlink>
      <w:r>
        <w:t xml:space="preserve"> </w:t>
      </w:r>
      <w:r>
        <w:t xml:space="preserve">Consequently, the absence of a “950-year-old skeleton” is not by itself a decisive archaeological argument. The stronger case comes from the convergence of comparative biology, genetics, cellular aging, evolutionary theory, validated demography and the complete absence of any known human population displaying even a small fraction of the required longevity.</w:t>
      </w:r>
    </w:p>
    <w:p>
      <w:pPr>
        <w:pStyle w:val="BodyText"/>
      </w:pPr>
      <w:r>
        <w:t xml:space="preserve">That is why the appropriate scientific conclusion is not metaphysical:</w:t>
      </w:r>
      <w:r>
        <w:t xml:space="preserve"> </w:t>
      </w:r>
      <w:r>
        <w:rPr>
          <w:b/>
          <w:bCs/>
        </w:rPr>
        <w:t xml:space="preserve">a 950-year naturally aging human belongs far outside the empirically supported biological phenotype of</w:t>
      </w:r>
      <w:r>
        <w:rPr>
          <w:b/>
          <w:bCs/>
        </w:rPr>
        <w:t xml:space="preserve"> </w:t>
      </w:r>
      <w:r>
        <w:rPr>
          <w:b/>
          <w:bCs/>
          <w:i/>
          <w:iCs/>
        </w:rPr>
        <w:t xml:space="preserve">Homo sapiens</w:t>
      </w:r>
      <w:r>
        <w:rPr>
          <w:b/>
          <w:bCs/>
        </w:rPr>
        <w:t xml:space="preserve">.</w:t>
      </w:r>
      <w:r>
        <w:t xml:space="preserve"> </w:t>
      </w:r>
      <w:r>
        <w:t xml:space="preserve">To make it natural would require physiology radically unlike any documented human physiology. To call it miraculous is a theological move beyond the scope of ordinary biological explanation.</w:t>
      </w:r>
    </w:p>
    <w:bookmarkEnd w:id="35"/>
    <w:bookmarkStart w:id="39" w:name="X0e00d3cd4d5fabdd22e597088023b1ba9f13e43"/>
    <w:p>
      <w:pPr>
        <w:pStyle w:val="Heading2"/>
      </w:pPr>
      <w:r>
        <w:t xml:space="preserve">Science, Revelation, and the Problem of Selective Concordism</w:t>
      </w:r>
    </w:p>
    <w:p>
      <w:pPr>
        <w:pStyle w:val="FirstParagraph"/>
      </w:pPr>
      <w:r>
        <w:t xml:space="preserve">The broader concern behind the question is epistemological: may one use science as strong confirmatory evidence for revelation when it appears harmonious with a verse, but dismiss science whenever the apparent implication of another verse conflicts with established scientific understanding?</w:t>
      </w:r>
    </w:p>
    <w:p>
      <w:pPr>
        <w:pStyle w:val="BodyText"/>
      </w:pPr>
      <w:r>
        <w:t xml:space="preserve">Contemporary scholarship on Islamic “scientific miracle” discourse has identified precisely this methodological difficulty. Nidhal Guessoum distinguishes serious engagement between Islam and science from</w:t>
      </w:r>
      <w:r>
        <w:t xml:space="preserve"> </w:t>
      </w:r>
      <w:r>
        <w:rPr>
          <w:i/>
          <w:iCs/>
        </w:rPr>
        <w:t xml:space="preserve">iʿjāz ʿilmī</w:t>
      </w:r>
      <w:r>
        <w:t xml:space="preserve">, the attempt to demonstrate that the Qur’an encoded discoveries unavailable to seventh-century humans. He argues that the stronger miracle discourse often rests on an oversimplified understanding both of modern science and of Qur’anic interpretation, while advocating a “no conflict” approach in which scientific knowledge can inform plausible readings without turning scripture into a scientific encyclopedia.</w:t>
      </w:r>
      <w:r>
        <w:t xml:space="preserve"> </w:t>
      </w:r>
      <w:hyperlink r:id="rId14">
        <w:r>
          <w:rPr>
            <w:rStyle w:val="Hyperlink"/>
          </w:rPr>
          <w:t xml:space="preserve">[31]</w:t>
        </w:r>
      </w:hyperlink>
    </w:p>
    <w:p>
      <w:pPr>
        <w:pStyle w:val="BodyText"/>
      </w:pPr>
      <w:r>
        <w:t xml:space="preserve">Academic histories of the movement similarly show that claims of Qur’anic scientific miraculousness became a major modern apologetic genre and are historically distinct from much classical exegesis. Stefano Bigliardi has argued that some versions slide into pseudoscience because evidence is accepted or rejected asymmetrically, while Majid Daneshgar traces the modern development of the movement as a theological and public apologetic project.</w:t>
      </w:r>
      <w:r>
        <w:t xml:space="preserve"> </w:t>
      </w:r>
      <w:hyperlink r:id="rId36">
        <w:r>
          <w:rPr>
            <w:rStyle w:val="Hyperlink"/>
          </w:rPr>
          <w:t xml:space="preserve">[32]</w:t>
        </w:r>
      </w:hyperlink>
      <w:r>
        <w:t xml:space="preserve"> </w:t>
      </w:r>
      <w:r>
        <w:t xml:space="preserve">A recent Cambridge treatment of Muslim theology and science likewise warns that transforming Qur’anic references to nature into predictions of modern scientific discoveries can substitute eisegesis for the Qur’an’s primary salvific and ethical purposes.</w:t>
      </w:r>
      <w:r>
        <w:t xml:space="preserve"> </w:t>
      </w:r>
      <w:hyperlink r:id="rId37">
        <w:r>
          <w:rPr>
            <w:rStyle w:val="Hyperlink"/>
          </w:rPr>
          <w:t xml:space="preserve">[33]</w:t>
        </w:r>
      </w:hyperlink>
    </w:p>
    <w:p>
      <w:pPr>
        <w:pStyle w:val="BodyText"/>
      </w:pPr>
      <w:r>
        <w:t xml:space="preserve">This does</w:t>
      </w:r>
      <w:r>
        <w:t xml:space="preserve"> </w:t>
      </w:r>
      <w:r>
        <w:rPr>
          <w:b/>
          <w:bCs/>
        </w:rPr>
        <w:t xml:space="preserve">not</w:t>
      </w:r>
      <w:r>
        <w:t xml:space="preserve"> </w:t>
      </w:r>
      <w:r>
        <w:t xml:space="preserve">entail that every claimed Qur’an-science correspondence is false. It means that an argument must employ symmetrical standards. If embryology, cosmology or geology is admitted as authoritative enough to corroborate an interpretation because the relevant science is “well established,” then equally well-established biology must count as evidence when evaluating a competing interpretation. One cannot coherently say:</w:t>
      </w:r>
    </w:p>
    <w:p>
      <w:pPr>
        <w:pStyle w:val="Compact"/>
        <w:numPr>
          <w:ilvl w:val="0"/>
          <w:numId w:val="1001"/>
        </w:numPr>
      </w:pPr>
      <w:r>
        <w:t xml:space="preserve">when modern science agrees with my favored reading, the agreement proves the Qur’an’s supernatural knowledge; but</w:t>
      </w:r>
    </w:p>
    <w:p>
      <w:pPr>
        <w:pStyle w:val="Compact"/>
        <w:numPr>
          <w:ilvl w:val="0"/>
          <w:numId w:val="1001"/>
        </w:numPr>
      </w:pPr>
      <w:r>
        <w:t xml:space="preserve">when modern science strongly conflicts with another favored reading, science has no authority because God can do anything.</w:t>
      </w:r>
    </w:p>
    <w:p>
      <w:pPr>
        <w:pStyle w:val="FirstParagraph"/>
      </w:pPr>
      <w:r>
        <w:t xml:space="preserve">The second proposition may be theologically legitimate as a miracle claim, but once invoked it changes the kind of argument being made. It no longer demonstrates scientific concordance. A consistent methodology has to distinguish at least three categories: established natural regularity, provisional scientific theory and explicit miracle.</w:t>
      </w:r>
    </w:p>
    <w:p>
      <w:pPr>
        <w:pStyle w:val="BodyText"/>
      </w:pPr>
      <w:r>
        <w:t xml:space="preserve">That distinction is already compatible with sophisticated Islamic thought. Al-Rāzī did not need to deny that physicians had discovered something about normal longevity; he could say instead that revelation establishes an extraordinary exception.</w:t>
      </w:r>
      <w:r>
        <w:t xml:space="preserve"> </w:t>
      </w:r>
      <w:hyperlink r:id="rId12">
        <w:r>
          <w:rPr>
            <w:rStyle w:val="Hyperlink"/>
          </w:rPr>
          <w:t xml:space="preserve">[16]</w:t>
        </w:r>
      </w:hyperlink>
      <w:r>
        <w:t xml:space="preserve"> </w:t>
      </w:r>
      <w:r>
        <w:t xml:space="preserve">Conversely, the modern exegete Muḥammad Asad can avoid invoking an exception at all by reading the number according to its narrative function.</w:t>
      </w:r>
      <w:r>
        <w:t xml:space="preserve"> </w:t>
      </w:r>
      <w:hyperlink r:id="rId13">
        <w:r>
          <w:rPr>
            <w:rStyle w:val="Hyperlink"/>
          </w:rPr>
          <w:t xml:space="preserve">[18]</w:t>
        </w:r>
      </w:hyperlink>
      <w:r>
        <w:t xml:space="preserve"> </w:t>
      </w:r>
      <w:r>
        <w:t xml:space="preserve">These are different strategies, but both are methodologically cleaner than manufacturing pseudo-biological explanations for a millennium-long ordinary human life.</w:t>
      </w:r>
    </w:p>
    <w:p>
      <w:pPr>
        <w:pStyle w:val="BodyText"/>
      </w:pPr>
      <w:r>
        <w:t xml:space="preserve">Recent work on scientific tafsīr proposes similarly cautious rules: scientific interpretation should respect Arabic lexical possibilities, context, the cumulative exegetical tradition and the epistemic distinction between what the text actually says and what modern readers import into it. Some modern Muslim theorists of scientific tafsīr themselves insist that only strongly established scientific findings should be employed and warn against strained interpretations.</w:t>
      </w:r>
      <w:r>
        <w:t xml:space="preserve"> </w:t>
      </w:r>
      <w:hyperlink r:id="rId38">
        <w:r>
          <w:rPr>
            <w:rStyle w:val="Hyperlink"/>
          </w:rPr>
          <w:t xml:space="preserve">[34]</w:t>
        </w:r>
      </w:hyperlink>
      <w:r>
        <w:t xml:space="preserve"> </w:t>
      </w:r>
      <w:r>
        <w:t xml:space="preserve">That principle cuts both ways. Established science should constrain fanciful concordist interpretations, but it should also make interpreters reluctant to turn a verse whose purpose is exhortative into a biological assertion unless the language compels them to do so.</w:t>
      </w:r>
    </w:p>
    <w:p>
      <w:pPr>
        <w:pStyle w:val="BodyText"/>
      </w:pPr>
      <w:r>
        <w:t xml:space="preserve">A productive Islamic hermeneutic therefore need not choose between “science always rules scripture” and “science is irrelevant whenever inconvenient.” A more coherent sequence is:</w:t>
      </w:r>
    </w:p>
    <w:p>
      <w:pPr>
        <w:pStyle w:val="Compact"/>
        <w:numPr>
          <w:ilvl w:val="0"/>
          <w:numId w:val="1002"/>
        </w:numPr>
      </w:pPr>
      <w:r>
        <w:t xml:space="preserve">establish what the Arabic can plausibly mean;</w:t>
      </w:r>
    </w:p>
    <w:p>
      <w:pPr>
        <w:pStyle w:val="Compact"/>
        <w:numPr>
          <w:ilvl w:val="0"/>
          <w:numId w:val="1002"/>
        </w:numPr>
      </w:pPr>
      <w:r>
        <w:t xml:space="preserve">determine the verse’s literary and theological function in context;</w:t>
      </w:r>
    </w:p>
    <w:p>
      <w:pPr>
        <w:pStyle w:val="Compact"/>
        <w:numPr>
          <w:ilvl w:val="0"/>
          <w:numId w:val="1002"/>
        </w:numPr>
      </w:pPr>
      <w:r>
        <w:t xml:space="preserve">survey how the exegetical tradition understood it;</w:t>
      </w:r>
    </w:p>
    <w:p>
      <w:pPr>
        <w:pStyle w:val="Compact"/>
        <w:numPr>
          <w:ilvl w:val="0"/>
          <w:numId w:val="1002"/>
        </w:numPr>
      </w:pPr>
      <w:r>
        <w:t xml:space="preserve">distinguish the core assertion from secondary historical assumptions;</w:t>
      </w:r>
    </w:p>
    <w:p>
      <w:pPr>
        <w:pStyle w:val="Compact"/>
        <w:numPr>
          <w:ilvl w:val="0"/>
          <w:numId w:val="1002"/>
        </w:numPr>
      </w:pPr>
      <w:r>
        <w:t xml:space="preserve">use firmly established external knowledge to decide among linguistically and contextually plausible readings;</w:t>
      </w:r>
    </w:p>
    <w:p>
      <w:pPr>
        <w:pStyle w:val="Compact"/>
        <w:numPr>
          <w:ilvl w:val="0"/>
          <w:numId w:val="1002"/>
        </w:numPr>
      </w:pPr>
      <w:r>
        <w:t xml:space="preserve">if one nevertheless accepts a claim that exceeds natural regularities, label it explicitly as miracle rather than science.</w:t>
      </w:r>
    </w:p>
    <w:p>
      <w:pPr>
        <w:pStyle w:val="FirstParagraph"/>
      </w:pPr>
      <w:r>
        <w:t xml:space="preserve">Applied to 29:14, this produces several intellectually honest outcomes. A traditional believer can say, “The number is literal and Noah’s longevity was a unique miracle; modern biology remains correct concerning ordinary humans.” A nonliteral interpreter can follow Asad and say, “The traditional figure functions rhetorically and need not be biological chronology.” A third can explore Muhammad Ali’s dispensation reading, while acknowledging its grammatical costs. What is much harder to sustain is the assertion that ordinary human biology itself makes a 950-year lifespan scientifically plausible.</w:t>
      </w:r>
    </w:p>
    <w:p>
      <w:pPr>
        <w:pStyle w:val="BodyText"/>
      </w:pPr>
      <w:r>
        <w:t xml:space="preserve">There is also an asymmetry worth avoiding in the other direction. Because science cannot currently explain a 950-year human, it does not follow that science has falsified the Qur’an independently of interpretation. That conclusion would presuppose that 29:14 is unambiguously intended as a proposition about ordinary physiology. The exegetical diversity just surveyed demonstrates that this assumption is contestable.</w:t>
      </w:r>
      <w:r>
        <w:t xml:space="preserve"> </w:t>
      </w:r>
      <w:hyperlink r:id="rId13">
        <w:r>
          <w:rPr>
            <w:rStyle w:val="Hyperlink"/>
          </w:rPr>
          <w:t xml:space="preserve">[35]</w:t>
        </w:r>
      </w:hyperlink>
      <w:r>
        <w:t xml:space="preserve"> </w:t>
      </w:r>
      <w:r>
        <w:t xml:space="preserve">The conflict is therefore between</w:t>
      </w:r>
      <w:r>
        <w:t xml:space="preserve"> </w:t>
      </w:r>
      <w:r>
        <w:rPr>
          <w:b/>
          <w:bCs/>
        </w:rPr>
        <w:t xml:space="preserve">one reading</w:t>
      </w:r>
      <w:r>
        <w:t xml:space="preserve"> </w:t>
      </w:r>
      <w:r>
        <w:t xml:space="preserve">of the Qur’an and ordinary biological science, not automatically between the Qur’an and science simpliciter.</w:t>
      </w:r>
    </w:p>
    <w:bookmarkEnd w:id="39"/>
    <w:bookmarkStart w:id="42" w:name="toward-a-more-coherent-reading"/>
    <w:p>
      <w:pPr>
        <w:pStyle w:val="Heading2"/>
      </w:pPr>
      <w:r>
        <w:t xml:space="preserve">Toward a More Coherent Reading</w:t>
      </w:r>
    </w:p>
    <w:p>
      <w:pPr>
        <w:pStyle w:val="FirstParagraph"/>
      </w:pPr>
      <w:r>
        <w:t xml:space="preserve">Among the available interpretations, three can be ranked according to how much interpretive revision they require.</w:t>
      </w:r>
    </w:p>
    <w:p>
      <w:pPr>
        <w:pStyle w:val="BodyText"/>
      </w:pPr>
      <w:r>
        <w:t xml:space="preserve">The</w:t>
      </w:r>
      <w:r>
        <w:t xml:space="preserve"> </w:t>
      </w:r>
      <w:r>
        <w:rPr>
          <w:b/>
          <w:bCs/>
        </w:rPr>
        <w:t xml:space="preserve">miracle reading</w:t>
      </w:r>
      <w:r>
        <w:t xml:space="preserve"> </w:t>
      </w:r>
      <w:r>
        <w:t xml:space="preserve">requires almost no lexical revision. “Nine hundred and fifty years” retains its ordinary numerical meaning and Noah remains the grammatical subject. Its cost is epistemological rather than linguistic: one must accept a biological exception unsupported by ordinary evidence. That is perfectly coherent inside a theology that independently accepts miracles, but it cannot simultaneously be advertised as a natural-scientific account.</w:t>
      </w:r>
    </w:p>
    <w:p>
      <w:pPr>
        <w:pStyle w:val="BodyText"/>
      </w:pPr>
      <w:r>
        <w:t xml:space="preserve">The</w:t>
      </w:r>
      <w:r>
        <w:t xml:space="preserve"> </w:t>
      </w:r>
      <w:r>
        <w:rPr>
          <w:b/>
          <w:bCs/>
        </w:rPr>
        <w:t xml:space="preserve">Asadian rhetorical reading</w:t>
      </w:r>
      <w:r>
        <w:t xml:space="preserve"> </w:t>
      </w:r>
      <w:r>
        <w:t xml:space="preserve">preserves the grammar while revising the genre-level assumption that every inherited narrative number is asserted as scientific chronology. It takes seriously something already emphasized by the classical commentators: the number’s purpose is to communicate the almost unimaginable persistence of Noah and to console Muhammad.</w:t>
      </w:r>
      <w:r>
        <w:t xml:space="preserve"> </w:t>
      </w:r>
      <w:hyperlink r:id="rId40">
        <w:r>
          <w:rPr>
            <w:rStyle w:val="Hyperlink"/>
          </w:rPr>
          <w:t xml:space="preserve">[36]</w:t>
        </w:r>
      </w:hyperlink>
      <w:r>
        <w:t xml:space="preserve"> </w:t>
      </w:r>
      <w:r>
        <w:t xml:space="preserve">Its theological cost depends on one’s doctrine of Qur’anic historical narration. Those who hold that every numerical detail in prophetic history must function as modern-style historiography will reject it; those who permit rhetorical appropriation of inherited sacred history may find it compelling.</w:t>
      </w:r>
    </w:p>
    <w:p>
      <w:pPr>
        <w:pStyle w:val="BodyText"/>
      </w:pPr>
      <w:r>
        <w:t xml:space="preserve">The</w:t>
      </w:r>
      <w:r>
        <w:t xml:space="preserve"> </w:t>
      </w:r>
      <w:r>
        <w:rPr>
          <w:b/>
          <w:bCs/>
        </w:rPr>
        <w:t xml:space="preserve">dispensation reading</w:t>
      </w:r>
      <w:r>
        <w:t xml:space="preserve"> </w:t>
      </w:r>
      <w:r>
        <w:t xml:space="preserve">associated with Muhammad Ali produces the strongest reconciliation with biology but requires the greatest semantic extension, because “he remained among them” must effectively represent the persistence of Noah’s religious law or community rather than Noah’s bodily presence.</w:t>
      </w:r>
      <w:r>
        <w:t xml:space="preserve"> </w:t>
      </w:r>
      <w:hyperlink r:id="rId41">
        <w:r>
          <w:rPr>
            <w:rStyle w:val="Hyperlink"/>
          </w:rPr>
          <w:t xml:space="preserve">[37]</w:t>
        </w:r>
      </w:hyperlink>
      <w:r>
        <w:t xml:space="preserve"> </w:t>
      </w:r>
      <w:r>
        <w:t xml:space="preserve">It is therefore possible, but textually less immediate.</w:t>
      </w:r>
    </w:p>
    <w:p>
      <w:pPr>
        <w:pStyle w:val="BodyText"/>
      </w:pPr>
      <w:r>
        <w:t xml:space="preserve">A fourth possibility is to regard the number as</w:t>
      </w:r>
      <w:r>
        <w:t xml:space="preserve"> </w:t>
      </w:r>
      <w:r>
        <w:rPr>
          <w:b/>
          <w:bCs/>
        </w:rPr>
        <w:t xml:space="preserve">schematic or symbolic hyperbole</w:t>
      </w:r>
      <w:r>
        <w:t xml:space="preserve">: “a thousand less fifty” represents an extraordinarily long period without functioning as modern chronological measurement. The rhetorical observations of al-Zamakhsharī and al-Rāzī—that the construction deliberately magnifies the listener’s sense of duration—show why such a proposal can arise.</w:t>
      </w:r>
      <w:r>
        <w:t xml:space="preserve"> </w:t>
      </w:r>
      <w:hyperlink r:id="rId40">
        <w:r>
          <w:rPr>
            <w:rStyle w:val="Hyperlink"/>
          </w:rPr>
          <w:t xml:space="preserve">[38]</w:t>
        </w:r>
      </w:hyperlink>
      <w:r>
        <w:t xml:space="preserve"> </w:t>
      </w:r>
      <w:r>
        <w:t xml:space="preserve">Yet the same commentators explicitly regarded the subtraction as making the number</w:t>
      </w:r>
      <w:r>
        <w:t xml:space="preserve"> </w:t>
      </w:r>
      <w:r>
        <w:rPr>
          <w:i/>
          <w:iCs/>
        </w:rPr>
        <w:t xml:space="preserve">more exact</w:t>
      </w:r>
      <w:r>
        <w:t xml:space="preserve">, not less. A purely hyperbolic interpretation therefore cannot honestly be presented as the classical reading. It would be a modern hermeneutical development requiring independent justification.</w:t>
      </w:r>
    </w:p>
    <w:p>
      <w:pPr>
        <w:pStyle w:val="BodyText"/>
      </w:pPr>
      <w:r>
        <w:t xml:space="preserve">The suggestion that “year” means a month, season or some shorter ancient unit is much less attractive. The normal Arabic vocabulary, the contrast of</w:t>
      </w:r>
      <w:r>
        <w:t xml:space="preserve"> </w:t>
      </w:r>
      <w:r>
        <w:rPr>
          <w:i/>
          <w:iCs/>
        </w:rPr>
        <w:t xml:space="preserve">sanah</w:t>
      </w:r>
      <w:r>
        <w:t xml:space="preserve"> </w:t>
      </w:r>
      <w:r>
        <w:t xml:space="preserve">and</w:t>
      </w:r>
      <w:r>
        <w:t xml:space="preserve"> </w:t>
      </w:r>
      <w:r>
        <w:rPr>
          <w:i/>
          <w:iCs/>
        </w:rPr>
        <w:t xml:space="preserve">ʿām</w:t>
      </w:r>
      <w:r>
        <w:t xml:space="preserve">, and the classical reception all point to years.</w:t>
      </w:r>
      <w:r>
        <w:t xml:space="preserve"> </w:t>
      </w:r>
      <w:hyperlink r:id="rId18">
        <w:r>
          <w:rPr>
            <w:rStyle w:val="Hyperlink"/>
          </w:rPr>
          <w:t xml:space="preserve">[10]</w:t>
        </w:r>
      </w:hyperlink>
      <w:r>
        <w:t xml:space="preserve"> </w:t>
      </w:r>
      <w:r>
        <w:t xml:space="preserve">Such a solution appears driven principally by the desired biological result and is therefore a good example of the very ad hoc interpretation that a science-sensitive hermeneutic should avoid.</w:t>
      </w:r>
    </w:p>
    <w:p>
      <w:pPr>
        <w:pStyle w:val="BodyText"/>
      </w:pPr>
      <w:r>
        <w:t xml:space="preserve">The strongest overall methodological position may consequently be a form of</w:t>
      </w:r>
      <w:r>
        <w:t xml:space="preserve"> </w:t>
      </w:r>
      <w:r>
        <w:rPr>
          <w:b/>
          <w:bCs/>
        </w:rPr>
        <w:t xml:space="preserve">epistemic restraint</w:t>
      </w:r>
      <w:r>
        <w:t xml:space="preserve">. One can affirm that 29:14 communicates the extraordinary duration and persistence of Noah’s struggle without constructing a speculative biology of antediluvian humans. If one believes the 950 to be chronologically exact, one can identify it explicitly as a miracle. If one has theological reasons to avoid miracle claims where the text’s communicative purpose does not require them, one can adopt a literary reading such as Asad’s. Neither route requires rejecting the findings of gerontology.</w:t>
      </w:r>
    </w:p>
    <w:p>
      <w:pPr>
        <w:pStyle w:val="BodyText"/>
      </w:pPr>
      <w:r>
        <w:t xml:space="preserve">This restraint also improves the broader case for harmony between Islam and science. The Qur’an need not predict every later scientific discovery in order to be compatible with science. Indeed, modern Muslim scholars and academics who are sympathetic to religion have increasingly argued that overclaiming “scientific miracles” makes faith unnecessarily vulnerable: science changes at its frontiers, translations are flexible, and hindsight can make ancient phrases appear more technically precise than they originally were.</w:t>
      </w:r>
      <w:r>
        <w:t xml:space="preserve"> </w:t>
      </w:r>
      <w:hyperlink r:id="rId14">
        <w:r>
          <w:rPr>
            <w:rStyle w:val="Hyperlink"/>
          </w:rPr>
          <w:t xml:space="preserve">[39]</w:t>
        </w:r>
      </w:hyperlink>
      <w:r>
        <w:t xml:space="preserve"> </w:t>
      </w:r>
      <w:r>
        <w:t xml:space="preserve">A doctrine of revelation that depends on constantly finding twentieth- or twenty-first-century textbooks hidden in seventh-century Arabic creates more problems than it solves.</w:t>
      </w:r>
    </w:p>
    <w:p>
      <w:pPr>
        <w:pStyle w:val="BodyText"/>
      </w:pPr>
      <w:r>
        <w:t xml:space="preserve">Conversely, accepting established science as a serious interpretive constraint need not amount to scientism. Science is extraordinarily competent regarding empirical processes—aging, genetics, physiology, planetary history—but it does not settle metaphysical questions such as whether God exists or whether God could act exceptionally. The key is not to make science answer questions outside its domain, and equally not to deprive it of authority inside its domain whenever its answer is inconvenient.</w:t>
      </w:r>
    </w:p>
    <w:bookmarkEnd w:id="42"/>
    <w:bookmarkStart w:id="44" w:name="Xd41a903a97a8747c6c66904c8c489f710d11366"/>
    <w:p>
      <w:pPr>
        <w:pStyle w:val="Heading2"/>
      </w:pPr>
      <w:r>
        <w:t xml:space="preserve">Thematic Epilogue: What the 950 Years Are For</w:t>
      </w:r>
    </w:p>
    <w:p>
      <w:pPr>
        <w:pStyle w:val="FirstParagraph"/>
      </w:pPr>
      <w:r>
        <w:t xml:space="preserve">The most striking feature of Qur’an 29:14 is perhaps what nearly every major commentator—literalist and nonliteralist alike—agrees about. The verse is not primarily about longevity. It is about</w:t>
      </w:r>
      <w:r>
        <w:t xml:space="preserve"> </w:t>
      </w:r>
      <w:r>
        <w:rPr>
          <w:b/>
          <w:bCs/>
        </w:rPr>
        <w:t xml:space="preserve">patience</w:t>
      </w:r>
      <w:r>
        <w:t xml:space="preserve">.</w:t>
      </w:r>
    </w:p>
    <w:p>
      <w:pPr>
        <w:pStyle w:val="BodyText"/>
      </w:pPr>
      <w:r>
        <w:t xml:space="preserve">Al-Ṭabarī reads Noah’s ordeal as consolation for Muhammad in the face of Makkan hostility. Al-Zamakhsharī says that mentioning the thousand and subtracting fifty makes the hearer feel the immense length of Noah’s endurance. Al-Rāzī says the Prophet is being told, in effect, that Noah persevered for almost a millennium despite receiving little response. Ibn Kathīr makes the same point.</w:t>
      </w:r>
      <w:r>
        <w:t xml:space="preserve"> </w:t>
      </w:r>
      <w:hyperlink r:id="rId10">
        <w:r>
          <w:rPr>
            <w:rStyle w:val="Hyperlink"/>
          </w:rPr>
          <w:t xml:space="preserve">[40]</w:t>
        </w:r>
      </w:hyperlink>
      <w:r>
        <w:t xml:space="preserve"> </w:t>
      </w:r>
      <w:r>
        <w:t xml:space="preserve">Muhammad Asad, despite radically revising the historicity assigned to the number, identifies virtually the same theological message: the success of a prophet cannot be measured by how quickly people accept him.</w:t>
      </w:r>
      <w:r>
        <w:t xml:space="preserve"> </w:t>
      </w:r>
      <w:hyperlink r:id="rId13">
        <w:r>
          <w:rPr>
            <w:rStyle w:val="Hyperlink"/>
          </w:rPr>
          <w:t xml:space="preserve">[18]</w:t>
        </w:r>
      </w:hyperlink>
    </w:p>
    <w:p>
      <w:pPr>
        <w:pStyle w:val="BodyText"/>
      </w:pPr>
      <w:r>
        <w:t xml:space="preserve">That convergence may be more important than the disagreement.</w:t>
      </w:r>
    </w:p>
    <w:p>
      <w:pPr>
        <w:pStyle w:val="BodyText"/>
      </w:pPr>
      <w:r>
        <w:t xml:space="preserve">The modern controversy becomes acute only when a verse whose classical purpose was moral and theological is transformed into a proposition in human gerontology. Once that transformation occurs, contemporary biology quite properly enters the discussion—and its verdict regarding ordinary human physiology is overwhelming. Humans possess no known natural machinery remotely capable of sustaining an intact organism for 950 years. The debate over whether our species has a fixed upper lifespan at 120, 125, 130 or no mathematically absolute ceiling should not obscure the enormous gulf between those questions and nine-and-a-half centuries.</w:t>
      </w:r>
      <w:r>
        <w:t xml:space="preserve"> </w:t>
      </w:r>
      <w:hyperlink r:id="rId29">
        <w:r>
          <w:rPr>
            <w:rStyle w:val="Hyperlink"/>
          </w:rPr>
          <w:t xml:space="preserve">[41]</w:t>
        </w:r>
      </w:hyperlink>
    </w:p>
    <w:p>
      <w:pPr>
        <w:pStyle w:val="BodyText"/>
      </w:pPr>
      <w:r>
        <w:t xml:space="preserve">A Muslim can respond by calling Noah’s longevity miraculous. That answer is theologically coherent and has deep roots—al-Rāzī effectively made it eight centuries ago when confronted with the medicine of his own age.</w:t>
      </w:r>
      <w:r>
        <w:t xml:space="preserve"> </w:t>
      </w:r>
      <w:hyperlink r:id="rId43">
        <w:r>
          <w:rPr>
            <w:rStyle w:val="Hyperlink"/>
          </w:rPr>
          <w:t xml:space="preserve">[42]</w:t>
        </w:r>
      </w:hyperlink>
      <w:r>
        <w:t xml:space="preserve"> </w:t>
      </w:r>
      <w:r>
        <w:t xml:space="preserve">But intellectual clarity requires calling it what it is: a claim resting on revelation and divine exceptional action, not a conclusion supported by gerontology.</w:t>
      </w:r>
    </w:p>
    <w:p>
      <w:pPr>
        <w:pStyle w:val="BodyText"/>
      </w:pPr>
      <w:r>
        <w:t xml:space="preserve">Alternatively, a Muslim may decide that the Qur’an’s theological assertion does not require treating the 950 as a modern biographical datum. Muhammad Asad supplies a precedent for a rhetorical reading; Muhammad Ali supplies a precedent, albeit a linguistically more adventurous one, for transferring the duration to the Noachian dispensation.</w:t>
      </w:r>
      <w:r>
        <w:t xml:space="preserve"> </w:t>
      </w:r>
      <w:hyperlink r:id="rId13">
        <w:r>
          <w:rPr>
            <w:rStyle w:val="Hyperlink"/>
          </w:rPr>
          <w:t xml:space="preserve">[35]</w:t>
        </w:r>
      </w:hyperlink>
      <w:r>
        <w:t xml:space="preserve"> </w:t>
      </w:r>
      <w:r>
        <w:t xml:space="preserve">Neither interpretation is the dominant classical view, and intellectual honesty requires saying so. But the existence of such interpretations demonstrates that the choice is not simply “deny biology or deny the Qur’an.”</w:t>
      </w:r>
    </w:p>
    <w:p>
      <w:pPr>
        <w:pStyle w:val="BodyText"/>
      </w:pPr>
      <w:r>
        <w:t xml:space="preserve">The larger lesson concerns the relationship between revelation and scientific knowledge. If science is invoked as a witness for the Qur’an, it cannot be treated like a witness whose testimony counts only for the defense. Scientific evidence must retain the same epistemic weight when it complicates an inherited interpretation. At the same time, science need not be elevated into a comprehensive philosophy capable of ruling on every theological possibility. The more coherent position lies between those extremes: take secure empirical knowledge seriously; take the Arabic text and its rhetorical context seriously; distinguish natural claims from miraculous ones; and revise interpretations rather than facts when the text permits revision.</w:t>
      </w:r>
    </w:p>
    <w:p>
      <w:pPr>
        <w:pStyle w:val="BodyText"/>
      </w:pPr>
      <w:r>
        <w:t xml:space="preserve">That approach does not weaken the Qur’an’s engagement with nature. It may make it stronger. It frees revelation from dependence on fragile concordisms, protects scientific inquiry from apologetic selectivity, and returns Qur’an 29:14 to the theme on which classical and modern commentators unexpectedly converge: not the cellular mechanics of a 950-year body, but the astonishing perseverance of a messenger who continued to speak when almost no one wished to listen.</w:t>
      </w:r>
    </w:p>
    <w:bookmarkEnd w:id="44"/>
    <w:bookmarkEnd w:id="45"/>
    <w:bookmarkEnd w:id="46"/>
    <w:p>
      <w:r>
        <w:pict>
          <v:rect style="width:0;height:1.5pt" o:hralign="center" o:hrstd="t" o:hr="t"/>
        </w:pict>
      </w:r>
    </w:p>
    <w:bookmarkStart w:id="47" w:name="citations"/>
    <w:p>
      <w:pPr>
        <w:pStyle w:val="FirstParagraph"/>
      </w:pPr>
      <w:hyperlink r:id="rId10">
        <w:r>
          <w:rPr>
            <w:rStyle w:val="Hyperlink"/>
          </w:rPr>
          <w:t xml:space="preserve">[1]</w:t>
        </w:r>
      </w:hyperlink>
      <w:r>
        <w:t xml:space="preserve"> </w:t>
      </w:r>
      <w:hyperlink r:id="rId10">
        <w:r>
          <w:rPr>
            <w:rStyle w:val="Hyperlink"/>
          </w:rPr>
          <w:t xml:space="preserve">[6]</w:t>
        </w:r>
      </w:hyperlink>
      <w:r>
        <w:t xml:space="preserve"> </w:t>
      </w:r>
      <w:hyperlink r:id="rId10">
        <w:r>
          <w:rPr>
            <w:rStyle w:val="Hyperlink"/>
          </w:rPr>
          <w:t xml:space="preserve">[9]</w:t>
        </w:r>
      </w:hyperlink>
      <w:r>
        <w:t xml:space="preserve"> </w:t>
      </w:r>
      <w:hyperlink r:id="rId10">
        <w:r>
          <w:rPr>
            <w:rStyle w:val="Hyperlink"/>
          </w:rPr>
          <w:t xml:space="preserve">[20]</w:t>
        </w:r>
      </w:hyperlink>
      <w:r>
        <w:t xml:space="preserve"> </w:t>
      </w:r>
      <w:hyperlink r:id="rId10">
        <w:r>
          <w:rPr>
            <w:rStyle w:val="Hyperlink"/>
          </w:rPr>
          <w:t xml:space="preserve">[40]</w:t>
        </w:r>
      </w:hyperlink>
      <w:r>
        <w:t xml:space="preserve"> </w:t>
      </w:r>
      <w:r>
        <w:t xml:space="preserve">القرآن الكريم - تفسير الطبري - تفسير سورة العنكبوت - الآية 14</w:t>
      </w:r>
    </w:p>
    <w:p>
      <w:pPr>
        <w:pStyle w:val="BodyText"/>
      </w:pPr>
      <w:hyperlink r:id="rId10">
        <w:r>
          <w:rPr>
            <w:rStyle w:val="Hyperlink"/>
          </w:rPr>
          <w:t xml:space="preserve">https://quran.ksu.edu.sa/tafseer/tabary/sura29-aya14.html?utm_source=chatgpt.com</w:t>
        </w:r>
      </w:hyperlink>
    </w:p>
    <w:p>
      <w:pPr>
        <w:pStyle w:val="BodyText"/>
      </w:pPr>
      <w:hyperlink r:id="rId11">
        <w:r>
          <w:rPr>
            <w:rStyle w:val="Hyperlink"/>
          </w:rPr>
          <w:t xml:space="preserve">[2]</w:t>
        </w:r>
      </w:hyperlink>
      <w:r>
        <w:t xml:space="preserve"> </w:t>
      </w:r>
      <w:hyperlink r:id="rId11">
        <w:r>
          <w:rPr>
            <w:rStyle w:val="Hyperlink"/>
          </w:rPr>
          <w:t xml:space="preserve">[21]</w:t>
        </w:r>
      </w:hyperlink>
      <w:r>
        <w:t xml:space="preserve"> </w:t>
      </w:r>
      <w:hyperlink r:id="rId11">
        <w:r>
          <w:rPr>
            <w:rStyle w:val="Hyperlink"/>
          </w:rPr>
          <w:t xml:space="preserve">[22]</w:t>
        </w:r>
      </w:hyperlink>
      <w:r>
        <w:t xml:space="preserve"> </w:t>
      </w:r>
      <w:r>
        <w:t xml:space="preserve">Jeanne Calment's Unique 122-Year Life Span: Facts and Factors; Longevity History in Her Genealogical Tree.</w:t>
      </w:r>
    </w:p>
    <w:p>
      <w:pPr>
        <w:pStyle w:val="BodyText"/>
      </w:pPr>
      <w:hyperlink r:id="rId11">
        <w:r>
          <w:rPr>
            <w:rStyle w:val="Hyperlink"/>
          </w:rPr>
          <w:t xml:space="preserve">https://pubmed.ncbi.nlm.nih.gov/31928146/?utm_source=chatgpt.com</w:t>
        </w:r>
      </w:hyperlink>
    </w:p>
    <w:p>
      <w:pPr>
        <w:pStyle w:val="BodyText"/>
      </w:pPr>
      <w:hyperlink r:id="rId12">
        <w:r>
          <w:rPr>
            <w:rStyle w:val="Hyperlink"/>
          </w:rPr>
          <w:t xml:space="preserve">[3]</w:t>
        </w:r>
      </w:hyperlink>
      <w:r>
        <w:t xml:space="preserve"> </w:t>
      </w:r>
      <w:hyperlink r:id="rId12">
        <w:r>
          <w:rPr>
            <w:rStyle w:val="Hyperlink"/>
          </w:rPr>
          <w:t xml:space="preserve">[16]</w:t>
        </w:r>
      </w:hyperlink>
      <w:r>
        <w:t xml:space="preserve"> </w:t>
      </w:r>
      <w:r>
        <w:t xml:space="preserve">القرآن الكريم - مفاتيح الغيب للرازي - تفسير سورة العنكبوت - الآية 14</w:t>
      </w:r>
    </w:p>
    <w:p>
      <w:pPr>
        <w:pStyle w:val="BodyText"/>
      </w:pPr>
      <w:hyperlink r:id="rId12">
        <w:r>
          <w:rPr>
            <w:rStyle w:val="Hyperlink"/>
          </w:rPr>
          <w:t xml:space="preserve">https://quran-tafsir.net/alrazy/sura29-aya14.html?utm_source=chatgpt.com</w:t>
        </w:r>
      </w:hyperlink>
    </w:p>
    <w:p>
      <w:pPr>
        <w:pStyle w:val="BodyText"/>
      </w:pPr>
      <w:hyperlink r:id="rId13">
        <w:r>
          <w:rPr>
            <w:rStyle w:val="Hyperlink"/>
          </w:rPr>
          <w:t xml:space="preserve">[4]</w:t>
        </w:r>
      </w:hyperlink>
      <w:r>
        <w:t xml:space="preserve"> </w:t>
      </w:r>
      <w:hyperlink r:id="rId13">
        <w:r>
          <w:rPr>
            <w:rStyle w:val="Hyperlink"/>
          </w:rPr>
          <w:t xml:space="preserve">[17]</w:t>
        </w:r>
      </w:hyperlink>
      <w:r>
        <w:t xml:space="preserve"> </w:t>
      </w:r>
      <w:hyperlink r:id="rId13">
        <w:r>
          <w:rPr>
            <w:rStyle w:val="Hyperlink"/>
          </w:rPr>
          <w:t xml:space="preserve">[18]</w:t>
        </w:r>
      </w:hyperlink>
      <w:r>
        <w:t xml:space="preserve"> </w:t>
      </w:r>
      <w:hyperlink r:id="rId13">
        <w:r>
          <w:rPr>
            <w:rStyle w:val="Hyperlink"/>
          </w:rPr>
          <w:t xml:space="preserve">[35]</w:t>
        </w:r>
      </w:hyperlink>
      <w:r>
        <w:t xml:space="preserve"> </w:t>
      </w:r>
      <w:r>
        <w:t xml:space="preserve">Al-Quran (القرآن) — Online Quran Project — Translation and Tafsir</w:t>
      </w:r>
    </w:p>
    <w:p>
      <w:pPr>
        <w:pStyle w:val="BodyText"/>
      </w:pPr>
      <w:hyperlink r:id="rId13">
        <w:r>
          <w:rPr>
            <w:rStyle w:val="Hyperlink"/>
          </w:rPr>
          <w:t xml:space="preserve">https://al-quran.info/29/14/N0?utm_source=chatgpt.com</w:t>
        </w:r>
      </w:hyperlink>
    </w:p>
    <w:p>
      <w:pPr>
        <w:pStyle w:val="BodyText"/>
      </w:pPr>
      <w:hyperlink r:id="rId14">
        <w:r>
          <w:rPr>
            <w:rStyle w:val="Hyperlink"/>
          </w:rPr>
          <w:t xml:space="preserve">[5]</w:t>
        </w:r>
      </w:hyperlink>
      <w:r>
        <w:t xml:space="preserve"> </w:t>
      </w:r>
      <w:hyperlink r:id="rId14">
        <w:r>
          <w:rPr>
            <w:rStyle w:val="Hyperlink"/>
          </w:rPr>
          <w:t xml:space="preserve">[31]</w:t>
        </w:r>
      </w:hyperlink>
      <w:r>
        <w:t xml:space="preserve"> </w:t>
      </w:r>
      <w:hyperlink r:id="rId14">
        <w:r>
          <w:rPr>
            <w:rStyle w:val="Hyperlink"/>
          </w:rPr>
          <w:t xml:space="preserve">[39]</w:t>
        </w:r>
      </w:hyperlink>
      <w:r>
        <w:t xml:space="preserve"> </w:t>
      </w:r>
      <w:r>
        <w:t xml:space="preserve">THE QUR'AN, SCIENCE, AND THE (RELATED) CONTEMPORARY MUSLIM DISCOURSE - Guessoum - 2008 - Zygon® - Wiley Online Library</w:t>
      </w:r>
    </w:p>
    <w:p>
      <w:pPr>
        <w:pStyle w:val="BodyText"/>
      </w:pPr>
      <w:hyperlink r:id="rId14">
        <w:r>
          <w:rPr>
            <w:rStyle w:val="Hyperlink"/>
          </w:rPr>
          <w:t xml:space="preserve">https://onlinelibrary.wiley.com/doi/abs/10.1111/j.1467-9744.2008.00925.x?utm_source=chatgpt.com</w:t>
        </w:r>
      </w:hyperlink>
    </w:p>
    <w:p>
      <w:pPr>
        <w:pStyle w:val="BodyText"/>
      </w:pPr>
      <w:hyperlink r:id="rId16">
        <w:r>
          <w:rPr>
            <w:rStyle w:val="Hyperlink"/>
          </w:rPr>
          <w:t xml:space="preserve">[7]</w:t>
        </w:r>
      </w:hyperlink>
      <w:r>
        <w:t xml:space="preserve"> </w:t>
      </w:r>
      <w:r>
        <w:t xml:space="preserve">القرآن الكريم - تفسير ابن كثير - تفسير سورة العنكبوت - الآية 14</w:t>
      </w:r>
    </w:p>
    <w:p>
      <w:pPr>
        <w:pStyle w:val="BodyText"/>
      </w:pPr>
      <w:hyperlink r:id="rId16">
        <w:r>
          <w:rPr>
            <w:rStyle w:val="Hyperlink"/>
          </w:rPr>
          <w:t xml:space="preserve">https://quran.ksu.edu.sa/tafseer/katheer/sura29-aya14.html?utm_source=chatgpt.com</w:t>
        </w:r>
      </w:hyperlink>
    </w:p>
    <w:p>
      <w:pPr>
        <w:pStyle w:val="BodyText"/>
      </w:pPr>
      <w:hyperlink r:id="rId17">
        <w:r>
          <w:rPr>
            <w:rStyle w:val="Hyperlink"/>
          </w:rPr>
          <w:t xml:space="preserve">[8]</w:t>
        </w:r>
      </w:hyperlink>
      <w:r>
        <w:t xml:space="preserve"> </w:t>
      </w:r>
      <w:r>
        <w:t xml:space="preserve">إسلام ويب - تفسير الكشاف - تفسير سورة العنكبوت - تفسير قوله تعالى ولقد أرسلنا نوحا إلى قومه فلبث فيهم ألف سنة إلا خمسين عاما- الجزء رقم4</w:t>
      </w:r>
    </w:p>
    <w:p>
      <w:pPr>
        <w:pStyle w:val="BodyText"/>
      </w:pPr>
      <w:hyperlink r:id="rId17">
        <w:r>
          <w:rPr>
            <w:rStyle w:val="Hyperlink"/>
          </w:rPr>
          <w:t xml:space="preserve">https://islamweb.net/ar/library/content/204/1949/%D8%AA%D9%81%D8%B3%D9%8A%D8%B1-%D9%82%D9%88%D9%84%D9%87-%D8%AA%D8%B9%D8%A7%D9%84%D9%89-%D9%88%D9%84%D9%82%D8%AF-%D8%A3%D8%B1%D8%B3%D9%84%D9%86%D8%A7-%D9%86%D9%88%D8%AD%D8%A7-%D8%A5%D9%84%D9%89-%D9%82%D9%88%D9%85%D9%87-%D9%81%D9%84%D8%A8%D8%AB-%D9%81%D9%8A%D9%87%D9%85-%D8%A3%D9%84%D9%81-%D8%B3%D9%86%D8%A9-%D8%A5%D9%84%D8%A7-%D8%AE%D9%85%D8%B3%D9%8A%D9%86-%D8%B9%D8%A7%D9%85%D8%A7?utm_source=chatgpt.com</w:t>
        </w:r>
      </w:hyperlink>
    </w:p>
    <w:p>
      <w:pPr>
        <w:pStyle w:val="BodyText"/>
      </w:pPr>
      <w:hyperlink r:id="rId18">
        <w:r>
          <w:rPr>
            <w:rStyle w:val="Hyperlink"/>
          </w:rPr>
          <w:t xml:space="preserve">[10]</w:t>
        </w:r>
      </w:hyperlink>
      <w:r>
        <w:t xml:space="preserve"> </w:t>
      </w:r>
      <w:r>
        <w:t xml:space="preserve">How Long Did Noah Live? - Islam Question &amp; Answer</w:t>
      </w:r>
    </w:p>
    <w:p>
      <w:pPr>
        <w:pStyle w:val="BodyText"/>
      </w:pPr>
      <w:hyperlink r:id="rId18">
        <w:r>
          <w:rPr>
            <w:rStyle w:val="Hyperlink"/>
          </w:rPr>
          <w:t xml:space="preserve">https://islamqa.info/en/answers/105695?utm_source=chatgpt.com</w:t>
        </w:r>
      </w:hyperlink>
    </w:p>
    <w:p>
      <w:pPr>
        <w:pStyle w:val="BodyText"/>
      </w:pPr>
      <w:hyperlink r:id="rId19">
        <w:r>
          <w:rPr>
            <w:rStyle w:val="Hyperlink"/>
          </w:rPr>
          <w:t xml:space="preserve">[11]</w:t>
        </w:r>
      </w:hyperlink>
      <w:r>
        <w:t xml:space="preserve"> </w:t>
      </w:r>
      <w:r>
        <w:t xml:space="preserve">Noah's (sws) Age - Al-Mawrid Queries</w:t>
      </w:r>
    </w:p>
    <w:p>
      <w:pPr>
        <w:pStyle w:val="BodyText"/>
      </w:pPr>
      <w:hyperlink r:id="rId19">
        <w:r>
          <w:rPr>
            <w:rStyle w:val="Hyperlink"/>
          </w:rPr>
          <w:t xml:space="preserve">https://al-mawrid.org/questions-en/noahs-sws-age/?utm_source=chatgpt.com</w:t>
        </w:r>
      </w:hyperlink>
    </w:p>
    <w:p>
      <w:pPr>
        <w:pStyle w:val="BodyText"/>
      </w:pPr>
      <w:hyperlink r:id="rId21">
        <w:r>
          <w:rPr>
            <w:rStyle w:val="Hyperlink"/>
          </w:rPr>
          <w:t xml:space="preserve">[12]</w:t>
        </w:r>
      </w:hyperlink>
      <w:r>
        <w:t xml:space="preserve"> </w:t>
      </w:r>
      <w:r>
        <w:t xml:space="preserve">القرآن الكريم - في ظلال القرآن لسيد قطب - تفسير سورة العنكبوت - الآية 14</w:t>
      </w:r>
    </w:p>
    <w:p>
      <w:pPr>
        <w:pStyle w:val="BodyText"/>
      </w:pPr>
      <w:hyperlink r:id="rId21">
        <w:r>
          <w:rPr>
            <w:rStyle w:val="Hyperlink"/>
          </w:rPr>
          <w:t xml:space="preserve">https://quran-tafsir.net/qotb/sura29-aya14.html?utm_source=chatgpt.com</w:t>
        </w:r>
      </w:hyperlink>
    </w:p>
    <w:p>
      <w:pPr>
        <w:pStyle w:val="BodyText"/>
      </w:pPr>
      <w:hyperlink r:id="rId22">
        <w:r>
          <w:rPr>
            <w:rStyle w:val="Hyperlink"/>
          </w:rPr>
          <w:t xml:space="preserve">[13]</w:t>
        </w:r>
      </w:hyperlink>
      <w:r>
        <w:t xml:space="preserve"> </w:t>
      </w:r>
      <w:hyperlink r:id="rId22">
        <w:r>
          <w:rPr>
            <w:rStyle w:val="Hyperlink"/>
          </w:rPr>
          <w:t xml:space="preserve">[26]</w:t>
        </w:r>
      </w:hyperlink>
      <w:r>
        <w:t xml:space="preserve"> </w:t>
      </w:r>
      <w:r>
        <w:t xml:space="preserve">Hallmarks of aging: An expanding universe.</w:t>
      </w:r>
    </w:p>
    <w:p>
      <w:pPr>
        <w:pStyle w:val="BodyText"/>
      </w:pPr>
      <w:hyperlink r:id="rId22">
        <w:r>
          <w:rPr>
            <w:rStyle w:val="Hyperlink"/>
          </w:rPr>
          <w:t xml:space="preserve">https://pubmed.ncbi.nlm.nih.gov/36599349/?utm_source=chatgpt.com</w:t>
        </w:r>
      </w:hyperlink>
    </w:p>
    <w:p>
      <w:pPr>
        <w:pStyle w:val="BodyText"/>
      </w:pPr>
      <w:hyperlink r:id="rId23">
        <w:r>
          <w:rPr>
            <w:rStyle w:val="Hyperlink"/>
          </w:rPr>
          <w:t xml:space="preserve">[14]</w:t>
        </w:r>
      </w:hyperlink>
      <w:r>
        <w:t xml:space="preserve"> </w:t>
      </w:r>
      <w:r>
        <w:t xml:space="preserve">Surah Al-'Ankabut 29:14-15 - Towards Understanding the Quran - Quran Translation Commentary - Tafheem ul Quran</w:t>
      </w:r>
    </w:p>
    <w:p>
      <w:pPr>
        <w:pStyle w:val="BodyText"/>
      </w:pPr>
      <w:hyperlink r:id="rId23">
        <w:r>
          <w:rPr>
            <w:rStyle w:val="Hyperlink"/>
          </w:rPr>
          <w:t xml:space="preserve">https://islamicstudies.info/tafheem.php?sura=29&amp;to=15&amp;verse=14&amp;utm_source=chatgpt.com</w:t>
        </w:r>
      </w:hyperlink>
    </w:p>
    <w:p>
      <w:pPr>
        <w:pStyle w:val="BodyText"/>
      </w:pPr>
      <w:hyperlink r:id="rId24">
        <w:r>
          <w:rPr>
            <w:rStyle w:val="Hyperlink"/>
          </w:rPr>
          <w:t xml:space="preserve">[15]</w:t>
        </w:r>
      </w:hyperlink>
      <w:r>
        <w:t xml:space="preserve"> </w:t>
      </w:r>
      <w:r>
        <w:t xml:space="preserve">Did People Live for Hundreds of Years?</w:t>
      </w:r>
    </w:p>
    <w:p>
      <w:pPr>
        <w:pStyle w:val="BodyText"/>
      </w:pPr>
      <w:hyperlink r:id="rId24">
        <w:r>
          <w:rPr>
            <w:rStyle w:val="Hyperlink"/>
          </w:rPr>
          <w:t xml:space="preserve">https://seekersguidance.org/answers/islamic-belief/did-people-live-for-hundreds-of-years/?utm_source=chatgpt.com</w:t>
        </w:r>
      </w:hyperlink>
    </w:p>
    <w:p>
      <w:pPr>
        <w:pStyle w:val="BodyText"/>
      </w:pPr>
      <w:hyperlink r:id="rId26">
        <w:r>
          <w:rPr>
            <w:rStyle w:val="Hyperlink"/>
          </w:rPr>
          <w:t xml:space="preserve">[19]</w:t>
        </w:r>
      </w:hyperlink>
      <w:r>
        <w:t xml:space="preserve"> </w:t>
      </w:r>
      <w:r>
        <w:t xml:space="preserve">The Holy Quran, Chapter 29: Al-Ankabut — The Spider (Revealed at Makkah: 7 sections, 69 verses) - Islam Ahmadiyya - alahmadiyya.org</w:t>
      </w:r>
    </w:p>
    <w:p>
      <w:pPr>
        <w:pStyle w:val="BodyText"/>
      </w:pPr>
      <w:hyperlink r:id="rId26">
        <w:r>
          <w:rPr>
            <w:rStyle w:val="Hyperlink"/>
          </w:rPr>
          <w:t xml:space="preserve">https://alahmadiyya.org/holy-quran/english-translation-and-commentary-of-the-holy-quran-1951-2002-by-maulana-muhammad-ali/chapter-29-al-ankabut-spider/?utm_source=chatgpt.com</w:t>
        </w:r>
      </w:hyperlink>
    </w:p>
    <w:p>
      <w:pPr>
        <w:pStyle w:val="BodyText"/>
      </w:pPr>
      <w:hyperlink r:id="rId28">
        <w:r>
          <w:rPr>
            <w:rStyle w:val="Hyperlink"/>
          </w:rPr>
          <w:t xml:space="preserve">[23]</w:t>
        </w:r>
      </w:hyperlink>
      <w:r>
        <w:t xml:space="preserve"> </w:t>
      </w:r>
      <w:r>
        <w:t xml:space="preserve">MPIDR - Publications</w:t>
      </w:r>
    </w:p>
    <w:p>
      <w:pPr>
        <w:pStyle w:val="BodyText"/>
      </w:pPr>
      <w:hyperlink r:id="rId28">
        <w:r>
          <w:rPr>
            <w:rStyle w:val="Hyperlink"/>
          </w:rPr>
          <w:t xml:space="preserve">https://www.demogr.mpg.de/en/publications_databases_6118/publications_1904/book_chapters/the_human_longevity_record_may_hold_for_decades_jeanne_calment_s_extraordinary_record_is_not_evidence_7051/?utm_source=chatgpt.com</w:t>
        </w:r>
      </w:hyperlink>
    </w:p>
    <w:p>
      <w:pPr>
        <w:pStyle w:val="BodyText"/>
      </w:pPr>
      <w:hyperlink r:id="rId29">
        <w:r>
          <w:rPr>
            <w:rStyle w:val="Hyperlink"/>
          </w:rPr>
          <w:t xml:space="preserve">[24]</w:t>
        </w:r>
      </w:hyperlink>
      <w:r>
        <w:t xml:space="preserve"> </w:t>
      </w:r>
      <w:hyperlink r:id="rId29">
        <w:r>
          <w:rPr>
            <w:rStyle w:val="Hyperlink"/>
          </w:rPr>
          <w:t xml:space="preserve">[41]</w:t>
        </w:r>
      </w:hyperlink>
      <w:r>
        <w:t xml:space="preserve"> </w:t>
      </w:r>
      <w:r>
        <w:t xml:space="preserve">Implausibility of radical life extension in humans in the twenty-first century | Nature Aging</w:t>
      </w:r>
    </w:p>
    <w:p>
      <w:pPr>
        <w:pStyle w:val="BodyText"/>
      </w:pPr>
      <w:hyperlink r:id="rId29">
        <w:r>
          <w:rPr>
            <w:rStyle w:val="Hyperlink"/>
          </w:rPr>
          <w:t xml:space="preserve">https://www.nature.com/articles/s43587-024-00702-3?utm_source=chatgpt.com</w:t>
        </w:r>
      </w:hyperlink>
    </w:p>
    <w:p>
      <w:pPr>
        <w:pStyle w:val="BodyText"/>
      </w:pPr>
      <w:hyperlink r:id="rId30">
        <w:r>
          <w:rPr>
            <w:rStyle w:val="Hyperlink"/>
          </w:rPr>
          <w:t xml:space="preserve">[25]</w:t>
        </w:r>
      </w:hyperlink>
      <w:r>
        <w:t xml:space="preserve"> </w:t>
      </w:r>
      <w:r>
        <w:t xml:space="preserve">Global evidence for bounded human lifespan growth.</w:t>
      </w:r>
    </w:p>
    <w:p>
      <w:pPr>
        <w:pStyle w:val="BodyText"/>
      </w:pPr>
      <w:hyperlink r:id="rId30">
        <w:r>
          <w:rPr>
            <w:rStyle w:val="Hyperlink"/>
          </w:rPr>
          <w:t xml:space="preserve">https://pubmed.ncbi.nlm.nih.gov/42690499/?utm_source=chatgpt.com</w:t>
        </w:r>
      </w:hyperlink>
    </w:p>
    <w:p>
      <w:pPr>
        <w:pStyle w:val="BodyText"/>
      </w:pPr>
      <w:hyperlink r:id="rId31">
        <w:r>
          <w:rPr>
            <w:rStyle w:val="Hyperlink"/>
          </w:rPr>
          <w:t xml:space="preserve">[27]</w:t>
        </w:r>
      </w:hyperlink>
      <w:r>
        <w:t xml:space="preserve"> </w:t>
      </w:r>
      <w:r>
        <w:t xml:space="preserve">Telomere dysfunction in ageing and age-related diseases | Nature Cell Biology</w:t>
      </w:r>
    </w:p>
    <w:p>
      <w:pPr>
        <w:pStyle w:val="BodyText"/>
      </w:pPr>
      <w:hyperlink r:id="rId31">
        <w:r>
          <w:rPr>
            <w:rStyle w:val="Hyperlink"/>
          </w:rPr>
          <w:t xml:space="preserve">https://www.nature.com/articles/s41556-022-00842-x?utm_source=chatgpt.com</w:t>
        </w:r>
      </w:hyperlink>
    </w:p>
    <w:p>
      <w:pPr>
        <w:pStyle w:val="BodyText"/>
      </w:pPr>
      <w:hyperlink r:id="rId32">
        <w:r>
          <w:rPr>
            <w:rStyle w:val="Hyperlink"/>
          </w:rPr>
          <w:t xml:space="preserve">[28]</w:t>
        </w:r>
      </w:hyperlink>
      <w:r>
        <w:t xml:space="preserve"> </w:t>
      </w:r>
      <w:r>
        <w:t xml:space="preserve">Nuclear Genomic Instability and Aging | Annual Reviews</w:t>
      </w:r>
    </w:p>
    <w:p>
      <w:pPr>
        <w:pStyle w:val="BodyText"/>
      </w:pPr>
      <w:hyperlink r:id="rId32">
        <w:r>
          <w:rPr>
            <w:rStyle w:val="Hyperlink"/>
          </w:rPr>
          <w:t xml:space="preserve">https://www.annualreviews.org/content/journals/10.1146/annurev-biochem-062917-012239?utm_source=chatgpt.com</w:t>
        </w:r>
      </w:hyperlink>
    </w:p>
    <w:p>
      <w:pPr>
        <w:pStyle w:val="BodyText"/>
      </w:pPr>
      <w:hyperlink r:id="rId33">
        <w:r>
          <w:rPr>
            <w:rStyle w:val="Hyperlink"/>
          </w:rPr>
          <w:t xml:space="preserve">[29]</w:t>
        </w:r>
      </w:hyperlink>
      <w:r>
        <w:t xml:space="preserve"> </w:t>
      </w:r>
      <w:r>
        <w:t xml:space="preserve">Evolutionary genetics of ageing | Nature Reviews Genetics</w:t>
      </w:r>
    </w:p>
    <w:p>
      <w:pPr>
        <w:pStyle w:val="BodyText"/>
      </w:pPr>
      <w:hyperlink r:id="rId33">
        <w:r>
          <w:rPr>
            <w:rStyle w:val="Hyperlink"/>
          </w:rPr>
          <w:t xml:space="preserve">https://www.nature.com/articles/s41576-026-00959-x?utm_source=chatgpt.com</w:t>
        </w:r>
      </w:hyperlink>
    </w:p>
    <w:p>
      <w:pPr>
        <w:pStyle w:val="BodyText"/>
      </w:pPr>
      <w:hyperlink r:id="rId34">
        <w:r>
          <w:rPr>
            <w:rStyle w:val="Hyperlink"/>
          </w:rPr>
          <w:t xml:space="preserve">[30]</w:t>
        </w:r>
      </w:hyperlink>
      <w:r>
        <w:t xml:space="preserve"> </w:t>
      </w:r>
      <w:r>
        <w:t xml:space="preserve">Reading hominin life history in fossil bones and teeth: methods to test hypotheses regarding its evolution - PMC</w:t>
      </w:r>
    </w:p>
    <w:p>
      <w:pPr>
        <w:pStyle w:val="BodyText"/>
      </w:pPr>
      <w:hyperlink r:id="rId34">
        <w:r>
          <w:rPr>
            <w:rStyle w:val="Hyperlink"/>
          </w:rPr>
          <w:t xml:space="preserve">https://pmc.ncbi.nlm.nih.gov/articles/PMC13149746/?utm_source=chatgpt.com</w:t>
        </w:r>
      </w:hyperlink>
    </w:p>
    <w:p>
      <w:pPr>
        <w:pStyle w:val="BodyText"/>
      </w:pPr>
      <w:hyperlink r:id="rId36">
        <w:r>
          <w:rPr>
            <w:rStyle w:val="Hyperlink"/>
          </w:rPr>
          <w:t xml:space="preserve">[32]</w:t>
        </w:r>
      </w:hyperlink>
      <w:r>
        <w:t xml:space="preserve"> </w:t>
      </w:r>
      <w:r>
        <w:t xml:space="preserve">THE QURʾĀN AND SCIENCE, PART III: MAKERS OF THE SCIENTIFIC MIRACULOUSNESS - Daneshgar - 2023 - Zygon® - Wiley Online Library</w:t>
      </w:r>
    </w:p>
    <w:p>
      <w:pPr>
        <w:pStyle w:val="BodyText"/>
      </w:pPr>
      <w:hyperlink r:id="rId36">
        <w:r>
          <w:rPr>
            <w:rStyle w:val="Hyperlink"/>
          </w:rPr>
          <w:t xml:space="preserve">https://onlinelibrary.wiley.com/doi/full/10.1111/zygo.12930?utm_source=chatgpt.com</w:t>
        </w:r>
      </w:hyperlink>
    </w:p>
    <w:p>
      <w:pPr>
        <w:pStyle w:val="BodyText"/>
      </w:pPr>
      <w:hyperlink r:id="rId37">
        <w:r>
          <w:rPr>
            <w:rStyle w:val="Hyperlink"/>
          </w:rPr>
          <w:t xml:space="preserve">[33]</w:t>
        </w:r>
      </w:hyperlink>
      <w:r>
        <w:t xml:space="preserve"> </w:t>
      </w:r>
      <w:r>
        <w:t xml:space="preserve">Muslim Theological Encounters with Science</w:t>
      </w:r>
    </w:p>
    <w:p>
      <w:pPr>
        <w:pStyle w:val="BodyText"/>
      </w:pPr>
      <w:hyperlink r:id="rId37">
        <w:r>
          <w:rPr>
            <w:rStyle w:val="Hyperlink"/>
          </w:rPr>
          <w:t xml:space="preserve">https://www.cambridge.org/core/elements/muslim-theological-encounters-with-science/60A9EBE88E0E634638D43831F338F7B7?utm_source=chatgpt.com</w:t>
        </w:r>
      </w:hyperlink>
    </w:p>
    <w:p>
      <w:pPr>
        <w:pStyle w:val="BodyText"/>
      </w:pPr>
      <w:hyperlink r:id="rId38">
        <w:r>
          <w:rPr>
            <w:rStyle w:val="Hyperlink"/>
          </w:rPr>
          <w:t xml:space="preserve">[34]</w:t>
        </w:r>
      </w:hyperlink>
      <w:r>
        <w:t xml:space="preserve"> </w:t>
      </w:r>
      <w:r>
        <w:t xml:space="preserve">Between Text, Science, and Tradition: A Four-Criterion Hermeneutical Model for Quranic Scientific Exegesis (al-Tafsīr al-ʿIlmī)</w:t>
      </w:r>
    </w:p>
    <w:p>
      <w:pPr>
        <w:pStyle w:val="BodyText"/>
      </w:pPr>
      <w:hyperlink r:id="rId38">
        <w:r>
          <w:rPr>
            <w:rStyle w:val="Hyperlink"/>
          </w:rPr>
          <w:t xml:space="preserve">https://www.mdpi.com/2077-1444/17/11/1240?utm_source=chatgpt.com</w:t>
        </w:r>
      </w:hyperlink>
    </w:p>
    <w:p>
      <w:pPr>
        <w:pStyle w:val="BodyText"/>
      </w:pPr>
      <w:hyperlink r:id="rId40">
        <w:r>
          <w:rPr>
            <w:rStyle w:val="Hyperlink"/>
          </w:rPr>
          <w:t xml:space="preserve">[36]</w:t>
        </w:r>
      </w:hyperlink>
      <w:r>
        <w:t xml:space="preserve"> </w:t>
      </w:r>
      <w:hyperlink r:id="rId40">
        <w:r>
          <w:rPr>
            <w:rStyle w:val="Hyperlink"/>
          </w:rPr>
          <w:t xml:space="preserve">[38]</w:t>
        </w:r>
      </w:hyperlink>
      <w:r>
        <w:t xml:space="preserve"> </w:t>
      </w:r>
      <w:r>
        <w:t xml:space="preserve">الكشاف/ الزمخشري (ت 538 هـ) سورة العنكبوت الآية 14</w:t>
      </w:r>
    </w:p>
    <w:p>
      <w:pPr>
        <w:pStyle w:val="BodyText"/>
      </w:pPr>
      <w:hyperlink r:id="rId40">
        <w:r>
          <w:rPr>
            <w:rStyle w:val="Hyperlink"/>
          </w:rPr>
          <w:t xml:space="preserve">https://www.greattafsirs.com/Tafsir_Library.aspx?AyahNo=14&amp;FromMainTafsir=1&amp;LanguageID=1&amp;MadhabNo=1&amp;SoraNo=29&amp;TafsirNo=2&amp;utm_source=chatgpt.com</w:t>
        </w:r>
      </w:hyperlink>
    </w:p>
    <w:p>
      <w:pPr>
        <w:pStyle w:val="BodyText"/>
      </w:pPr>
      <w:hyperlink r:id="rId41">
        <w:r>
          <w:rPr>
            <w:rStyle w:val="Hyperlink"/>
          </w:rPr>
          <w:t xml:space="preserve">[37]</w:t>
        </w:r>
      </w:hyperlink>
      <w:r>
        <w:t xml:space="preserve"> </w:t>
      </w:r>
      <w:r>
        <w:t xml:space="preserve">The Holy Quran, Chapter 29, Section 2 (Verses 29:14–29:22): Noah and Abraham - Islam Ahmadiyya - alahmadiyya.org</w:t>
      </w:r>
    </w:p>
    <w:p>
      <w:pPr>
        <w:pStyle w:val="BodyText"/>
      </w:pPr>
      <w:hyperlink r:id="rId41">
        <w:r>
          <w:rPr>
            <w:rStyle w:val="Hyperlink"/>
          </w:rPr>
          <w:t xml:space="preserve">https://alahmadiyya.org/holy-quran/english-translation-commentary-holy-quran-2010-maulana-muhammad-ali/chapter-29-al-ankabut-spider/section-2-verses-14-to-22-noah-abraham/?utm_source=chatgpt.com</w:t>
        </w:r>
      </w:hyperlink>
    </w:p>
    <w:p>
      <w:pPr>
        <w:pStyle w:val="BodyText"/>
      </w:pPr>
      <w:hyperlink r:id="rId43">
        <w:r>
          <w:rPr>
            <w:rStyle w:val="Hyperlink"/>
          </w:rPr>
          <w:t xml:space="preserve">[42]</w:t>
        </w:r>
      </w:hyperlink>
      <w:r>
        <w:t xml:space="preserve"> </w:t>
      </w:r>
      <w:r>
        <w:t xml:space="preserve">إسلام ويب - التفسير الكبير - سورة العنكبوت - قوله تعالى ولقد أرسلنا نوحا إلى قومه فلبث فيهم ألف سنة إلا خمسين عاما - الجزء رقم25</w:t>
      </w:r>
    </w:p>
    <w:p>
      <w:pPr>
        <w:pStyle w:val="BodyText"/>
      </w:pPr>
      <w:hyperlink r:id="rId43">
        <w:r>
          <w:rPr>
            <w:rStyle w:val="Hyperlink"/>
          </w:rPr>
          <w:t xml:space="preserve">https://www.islamweb.net/ar/library/content/132/4121/%D9%82%D9%88%D9%84%D9%87-%D8%AA%D8%B9%D8%A7%D9%84%D9%89-%D9%88%D9%84%D9%82%D8%AF-%D8%A3%D8%B1%D8%B3%D9%84%D9%86%D8%A7-%D9%86%D9%88%D8%AD%D8%A7-%D8%A5%D9%84%D9%89-%D9%82%D9%88%D9%85%D9%87-%D9%81%D9%84%D8%A8%D8%AB-%D9%81%D9%8A%D9%87%D9%85-%D8%A3%D9%84%D9%81-%D8%B3%D9%86%D8%A9-%D8%A5%D9%84%D8%A7-%D8%AE%D9%85%D8%B3%D9%8A%D9%86-%D8%B9%D8%A7%D9%85%D8%A7?utm_source=chatgpt.com</w:t>
        </w:r>
      </w:hyperlink>
    </w:p>
    <w:bookmarkEnd w:id="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https://al-mawrid.org/questions-en/noahs-sws-age/?utm_source=chatgpt.com" TargetMode="External" /><Relationship Type="http://schemas.openxmlformats.org/officeDocument/2006/relationships/hyperlink" Id="rId13" Target="https://al-quran.info/29/14/N0?utm_source=chatgpt.com" TargetMode="External" /><Relationship Type="http://schemas.openxmlformats.org/officeDocument/2006/relationships/hyperlink" Id="rId26" Target="https://alahmadiyya.org/holy-quran/english-translation-and-commentary-of-the-holy-quran-1951-2002-by-maulana-muhammad-ali/chapter-29-al-ankabut-spider/?utm_source=chatgpt.com" TargetMode="External" /><Relationship Type="http://schemas.openxmlformats.org/officeDocument/2006/relationships/hyperlink" Id="rId41" Target="https://alahmadiyya.org/holy-quran/english-translation-commentary-holy-quran-2010-maulana-muhammad-ali/chapter-29-al-ankabut-spider/section-2-verses-14-to-22-noah-abraham/?utm_source=chatgpt.com" TargetMode="External" /><Relationship Type="http://schemas.openxmlformats.org/officeDocument/2006/relationships/hyperlink" Id="rId23" Target="https://islamicstudies.info/tafheem.php?sura=29&amp;to=15&amp;verse=14&amp;utm_source=chatgpt.com" TargetMode="External" /><Relationship Type="http://schemas.openxmlformats.org/officeDocument/2006/relationships/hyperlink" Id="rId18" Target="https://islamqa.info/en/answers/105695?utm_source=chatgpt.com" TargetMode="External" /><Relationship Type="http://schemas.openxmlformats.org/officeDocument/2006/relationships/hyperlink" Id="rId17" Target="https://islamweb.net/ar/library/content/204/1949/%D8%AA%D9%81%D8%B3%D9%8A%D8%B1-%D9%82%D9%88%D9%84%D9%87-%D8%AA%D8%B9%D8%A7%D9%84%D9%89-%D9%88%D9%84%D9%82%D8%AF-%D8%A3%D8%B1%D8%B3%D9%84%D9%86%D8%A7-%D9%86%D9%88%D8%AD%D8%A7-%D8%A5%D9%84%D9%89-%D9%82%D9%88%D9%85%D9%87-%D9%81%D9%84%D8%A8%D8%AB-%D9%81%D9%8A%D9%87%D9%85-%D8%A3%D9%84%D9%81-%D8%B3%D9%86%D8%A9-%D8%A5%D9%84%D8%A7-%D8%AE%D9%85%D8%B3%D9%8A%D9%86-%D8%B9%D8%A7%D9%85%D8%A7?utm_source=chatgpt.com" TargetMode="External" /><Relationship Type="http://schemas.openxmlformats.org/officeDocument/2006/relationships/hyperlink" Id="rId14" Target="https://onlinelibrary.wiley.com/doi/abs/10.1111/j.1467-9744.2008.00925.x?utm_source=chatgpt.com" TargetMode="External" /><Relationship Type="http://schemas.openxmlformats.org/officeDocument/2006/relationships/hyperlink" Id="rId36" Target="https://onlinelibrary.wiley.com/doi/full/10.1111/zygo.12930?utm_source=chatgpt.com" TargetMode="External" /><Relationship Type="http://schemas.openxmlformats.org/officeDocument/2006/relationships/hyperlink" Id="rId34" Target="https://pmc.ncbi.nlm.nih.gov/articles/PMC13149746/?utm_source=chatgpt.com" TargetMode="External" /><Relationship Type="http://schemas.openxmlformats.org/officeDocument/2006/relationships/hyperlink" Id="rId11" Target="https://pubmed.ncbi.nlm.nih.gov/31928146/?utm_source=chatgpt.com" TargetMode="External" /><Relationship Type="http://schemas.openxmlformats.org/officeDocument/2006/relationships/hyperlink" Id="rId22" Target="https://pubmed.ncbi.nlm.nih.gov/36599349/?utm_source=chatgpt.com" TargetMode="External" /><Relationship Type="http://schemas.openxmlformats.org/officeDocument/2006/relationships/hyperlink" Id="rId30" Target="https://pubmed.ncbi.nlm.nih.gov/42690499/?utm_source=chatgpt.com" TargetMode="External" /><Relationship Type="http://schemas.openxmlformats.org/officeDocument/2006/relationships/hyperlink" Id="rId12" Target="https://quran-tafsir.net/alrazy/sura29-aya14.html?utm_source=chatgpt.com" TargetMode="External" /><Relationship Type="http://schemas.openxmlformats.org/officeDocument/2006/relationships/hyperlink" Id="rId21" Target="https://quran-tafsir.net/qotb/sura29-aya14.html?utm_source=chatgpt.com" TargetMode="External" /><Relationship Type="http://schemas.openxmlformats.org/officeDocument/2006/relationships/hyperlink" Id="rId16" Target="https://quran.ksu.edu.sa/tafseer/katheer/sura29-aya14.html?utm_source=chatgpt.com" TargetMode="External" /><Relationship Type="http://schemas.openxmlformats.org/officeDocument/2006/relationships/hyperlink" Id="rId10" Target="https://quran.ksu.edu.sa/tafseer/tabary/sura29-aya14.html?utm_source=chatgpt.com" TargetMode="External" /><Relationship Type="http://schemas.openxmlformats.org/officeDocument/2006/relationships/hyperlink" Id="rId24" Target="https://seekersguidance.org/answers/islamic-belief/did-people-live-for-hundreds-of-years/?utm_source=chatgpt.com" TargetMode="External" /><Relationship Type="http://schemas.openxmlformats.org/officeDocument/2006/relationships/hyperlink" Id="rId32" Target="https://www.annualreviews.org/content/journals/10.1146/annurev-biochem-062917-012239?utm_source=chatgpt.com" TargetMode="External" /><Relationship Type="http://schemas.openxmlformats.org/officeDocument/2006/relationships/hyperlink" Id="rId37" Target="https://www.cambridge.org/core/elements/muslim-theological-encounters-with-science/60A9EBE88E0E634638D43831F338F7B7?utm_source=chatgpt.com" TargetMode="External" /><Relationship Type="http://schemas.openxmlformats.org/officeDocument/2006/relationships/hyperlink" Id="rId28" Target="https://www.demogr.mpg.de/en/publications_databases_6118/publications_1904/book_chapters/the_human_longevity_record_may_hold_for_decades_jeanne_calment_s_extraordinary_record_is_not_evidence_7051/?utm_source=chatgpt.com" TargetMode="External" /><Relationship Type="http://schemas.openxmlformats.org/officeDocument/2006/relationships/hyperlink" Id="rId40" Target="https://www.greattafsirs.com/Tafsir_Library.aspx?AyahNo=14&amp;FromMainTafsir=1&amp;LanguageID=1&amp;MadhabNo=1&amp;SoraNo=29&amp;TafsirNo=2&amp;utm_source=chatgpt.com" TargetMode="External" /><Relationship Type="http://schemas.openxmlformats.org/officeDocument/2006/relationships/hyperlink" Id="rId43" Target="https://www.islamweb.net/ar/library/content/132/4121/%D9%82%D9%88%D9%84%D9%87-%D8%AA%D8%B9%D8%A7%D9%84%D9%89-%D9%88%D9%84%D9%82%D8%AF-%D8%A3%D8%B1%D8%B3%D9%84%D9%86%D8%A7-%D9%86%D9%88%D8%AD%D8%A7-%D8%A5%D9%84%D9%89-%D9%82%D9%88%D9%85%D9%87-%D9%81%D9%84%D8%A8%D8%AB-%D9%81%D9%8A%D9%87%D9%85-%D8%A3%D9%84%D9%81-%D8%B3%D9%86%D8%A9-%D8%A5%D9%84%D8%A7-%D8%AE%D9%85%D8%B3%D9%8A%D9%86-%D8%B9%D8%A7%D9%85%D8%A7?utm_source=chatgpt.com" TargetMode="External" /><Relationship Type="http://schemas.openxmlformats.org/officeDocument/2006/relationships/hyperlink" Id="rId38" Target="https://www.mdpi.com/2077-1444/17/11/1240?utm_source=chatgpt.com" TargetMode="External" /><Relationship Type="http://schemas.openxmlformats.org/officeDocument/2006/relationships/hyperlink" Id="rId31" Target="https://www.nature.com/articles/s41556-022-00842-x?utm_source=chatgpt.com" TargetMode="External" /><Relationship Type="http://schemas.openxmlformats.org/officeDocument/2006/relationships/hyperlink" Id="rId33" Target="https://www.nature.com/articles/s41576-026-00959-x?utm_source=chatgpt.com" TargetMode="External" /><Relationship Type="http://schemas.openxmlformats.org/officeDocument/2006/relationships/hyperlink" Id="rId29" Target="https://www.nature.com/articles/s43587-024-00702-3?utm_source=chatgpt.com" TargetMode="External" /></Relationships>
</file>

<file path=word/_rels/footnotes.xml.rels><?xml version="1.0" encoding="UTF-8"?><Relationships xmlns="http://schemas.openxmlformats.org/package/2006/relationships"><Relationship Type="http://schemas.openxmlformats.org/officeDocument/2006/relationships/hyperlink" Id="rId19" Target="https://al-mawrid.org/questions-en/noahs-sws-age/?utm_source=chatgpt.com" TargetMode="External" /><Relationship Type="http://schemas.openxmlformats.org/officeDocument/2006/relationships/hyperlink" Id="rId13" Target="https://al-quran.info/29/14/N0?utm_source=chatgpt.com" TargetMode="External" /><Relationship Type="http://schemas.openxmlformats.org/officeDocument/2006/relationships/hyperlink" Id="rId26" Target="https://alahmadiyya.org/holy-quran/english-translation-and-commentary-of-the-holy-quran-1951-2002-by-maulana-muhammad-ali/chapter-29-al-ankabut-spider/?utm_source=chatgpt.com" TargetMode="External" /><Relationship Type="http://schemas.openxmlformats.org/officeDocument/2006/relationships/hyperlink" Id="rId41" Target="https://alahmadiyya.org/holy-quran/english-translation-commentary-holy-quran-2010-maulana-muhammad-ali/chapter-29-al-ankabut-spider/section-2-verses-14-to-22-noah-abraham/?utm_source=chatgpt.com" TargetMode="External" /><Relationship Type="http://schemas.openxmlformats.org/officeDocument/2006/relationships/hyperlink" Id="rId23" Target="https://islamicstudies.info/tafheem.php?sura=29&amp;to=15&amp;verse=14&amp;utm_source=chatgpt.com" TargetMode="External" /><Relationship Type="http://schemas.openxmlformats.org/officeDocument/2006/relationships/hyperlink" Id="rId18" Target="https://islamqa.info/en/answers/105695?utm_source=chatgpt.com" TargetMode="External" /><Relationship Type="http://schemas.openxmlformats.org/officeDocument/2006/relationships/hyperlink" Id="rId17" Target="https://islamweb.net/ar/library/content/204/1949/%D8%AA%D9%81%D8%B3%D9%8A%D8%B1-%D9%82%D9%88%D9%84%D9%87-%D8%AA%D8%B9%D8%A7%D9%84%D9%89-%D9%88%D9%84%D9%82%D8%AF-%D8%A3%D8%B1%D8%B3%D9%84%D9%86%D8%A7-%D9%86%D9%88%D8%AD%D8%A7-%D8%A5%D9%84%D9%89-%D9%82%D9%88%D9%85%D9%87-%D9%81%D9%84%D8%A8%D8%AB-%D9%81%D9%8A%D9%87%D9%85-%D8%A3%D9%84%D9%81-%D8%B3%D9%86%D8%A9-%D8%A5%D9%84%D8%A7-%D8%AE%D9%85%D8%B3%D9%8A%D9%86-%D8%B9%D8%A7%D9%85%D8%A7?utm_source=chatgpt.com" TargetMode="External" /><Relationship Type="http://schemas.openxmlformats.org/officeDocument/2006/relationships/hyperlink" Id="rId14" Target="https://onlinelibrary.wiley.com/doi/abs/10.1111/j.1467-9744.2008.00925.x?utm_source=chatgpt.com" TargetMode="External" /><Relationship Type="http://schemas.openxmlformats.org/officeDocument/2006/relationships/hyperlink" Id="rId36" Target="https://onlinelibrary.wiley.com/doi/full/10.1111/zygo.12930?utm_source=chatgpt.com" TargetMode="External" /><Relationship Type="http://schemas.openxmlformats.org/officeDocument/2006/relationships/hyperlink" Id="rId34" Target="https://pmc.ncbi.nlm.nih.gov/articles/PMC13149746/?utm_source=chatgpt.com" TargetMode="External" /><Relationship Type="http://schemas.openxmlformats.org/officeDocument/2006/relationships/hyperlink" Id="rId11" Target="https://pubmed.ncbi.nlm.nih.gov/31928146/?utm_source=chatgpt.com" TargetMode="External" /><Relationship Type="http://schemas.openxmlformats.org/officeDocument/2006/relationships/hyperlink" Id="rId22" Target="https://pubmed.ncbi.nlm.nih.gov/36599349/?utm_source=chatgpt.com" TargetMode="External" /><Relationship Type="http://schemas.openxmlformats.org/officeDocument/2006/relationships/hyperlink" Id="rId30" Target="https://pubmed.ncbi.nlm.nih.gov/42690499/?utm_source=chatgpt.com" TargetMode="External" /><Relationship Type="http://schemas.openxmlformats.org/officeDocument/2006/relationships/hyperlink" Id="rId12" Target="https://quran-tafsir.net/alrazy/sura29-aya14.html?utm_source=chatgpt.com" TargetMode="External" /><Relationship Type="http://schemas.openxmlformats.org/officeDocument/2006/relationships/hyperlink" Id="rId21" Target="https://quran-tafsir.net/qotb/sura29-aya14.html?utm_source=chatgpt.com" TargetMode="External" /><Relationship Type="http://schemas.openxmlformats.org/officeDocument/2006/relationships/hyperlink" Id="rId16" Target="https://quran.ksu.edu.sa/tafseer/katheer/sura29-aya14.html?utm_source=chatgpt.com" TargetMode="External" /><Relationship Type="http://schemas.openxmlformats.org/officeDocument/2006/relationships/hyperlink" Id="rId10" Target="https://quran.ksu.edu.sa/tafseer/tabary/sura29-aya14.html?utm_source=chatgpt.com" TargetMode="External" /><Relationship Type="http://schemas.openxmlformats.org/officeDocument/2006/relationships/hyperlink" Id="rId24" Target="https://seekersguidance.org/answers/islamic-belief/did-people-live-for-hundreds-of-years/?utm_source=chatgpt.com" TargetMode="External" /><Relationship Type="http://schemas.openxmlformats.org/officeDocument/2006/relationships/hyperlink" Id="rId32" Target="https://www.annualreviews.org/content/journals/10.1146/annurev-biochem-062917-012239?utm_source=chatgpt.com" TargetMode="External" /><Relationship Type="http://schemas.openxmlformats.org/officeDocument/2006/relationships/hyperlink" Id="rId37" Target="https://www.cambridge.org/core/elements/muslim-theological-encounters-with-science/60A9EBE88E0E634638D43831F338F7B7?utm_source=chatgpt.com" TargetMode="External" /><Relationship Type="http://schemas.openxmlformats.org/officeDocument/2006/relationships/hyperlink" Id="rId28" Target="https://www.demogr.mpg.de/en/publications_databases_6118/publications_1904/book_chapters/the_human_longevity_record_may_hold_for_decades_jeanne_calment_s_extraordinary_record_is_not_evidence_7051/?utm_source=chatgpt.com" TargetMode="External" /><Relationship Type="http://schemas.openxmlformats.org/officeDocument/2006/relationships/hyperlink" Id="rId40" Target="https://www.greattafsirs.com/Tafsir_Library.aspx?AyahNo=14&amp;FromMainTafsir=1&amp;LanguageID=1&amp;MadhabNo=1&amp;SoraNo=29&amp;TafsirNo=2&amp;utm_source=chatgpt.com" TargetMode="External" /><Relationship Type="http://schemas.openxmlformats.org/officeDocument/2006/relationships/hyperlink" Id="rId43" Target="https://www.islamweb.net/ar/library/content/132/4121/%D9%82%D9%88%D9%84%D9%87-%D8%AA%D8%B9%D8%A7%D9%84%D9%89-%D9%88%D9%84%D9%82%D8%AF-%D8%A3%D8%B1%D8%B3%D9%84%D9%86%D8%A7-%D9%86%D9%88%D8%AD%D8%A7-%D8%A5%D9%84%D9%89-%D9%82%D9%88%D9%85%D9%87-%D9%81%D9%84%D8%A8%D8%AB-%D9%81%D9%8A%D9%87%D9%85-%D8%A3%D9%84%D9%81-%D8%B3%D9%86%D8%A9-%D8%A5%D9%84%D8%A7-%D8%AE%D9%85%D8%B3%D9%8A%D9%86-%D8%B9%D8%A7%D9%85%D8%A7?utm_source=chatgpt.com" TargetMode="External" /><Relationship Type="http://schemas.openxmlformats.org/officeDocument/2006/relationships/hyperlink" Id="rId38" Target="https://www.mdpi.com/2077-1444/17/11/1240?utm_source=chatgpt.com" TargetMode="External" /><Relationship Type="http://schemas.openxmlformats.org/officeDocument/2006/relationships/hyperlink" Id="rId31" Target="https://www.nature.com/articles/s41556-022-00842-x?utm_source=chatgpt.com" TargetMode="External" /><Relationship Type="http://schemas.openxmlformats.org/officeDocument/2006/relationships/hyperlink" Id="rId33" Target="https://www.nature.com/articles/s41576-026-00959-x?utm_source=chatgpt.com" TargetMode="External" /><Relationship Type="http://schemas.openxmlformats.org/officeDocument/2006/relationships/hyperlink" Id="rId29" Target="https://www.nature.com/articles/s43587-024-00702-3?utm_source=chatgp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ChatGPT Deep Research</vt:lpwstr>
  </property>
</Properties>
</file>