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after="0"/>
        <w:jc w:val="center"/>
      </w:pPr>
      <w:r>
        <w:rPr>
          <w:rFonts w:ascii="Calibri" w:hAnsi="Calibri" w:cs="Calibri"/>
          <w:b/>
          <w:color w:val="B58B2A"/>
          <w:sz w:val="21"/>
        </w:rPr>
        <w:t>PHILOSOPHICAL–THEOLOGICAL COMMENTARY</w:t>
      </w:r>
    </w:p>
    <w:p>
      <w:pPr>
        <w:spacing w:before="2200" w:after="200"/>
        <w:jc w:val="center"/>
      </w:pPr>
      <w:r>
        <w:rPr>
          <w:rFonts w:ascii="Calibri" w:hAnsi="Calibri" w:cs="Calibri"/>
          <w:b/>
          <w:color w:val="203748"/>
          <w:sz w:val="58"/>
        </w:rPr>
        <w:t>THE MORAL GRAVITY</w:t>
        <w:br/>
        <w:t>OF SURRENDER</w:t>
      </w:r>
    </w:p>
    <w:p>
      <w:pPr>
        <w:spacing w:after="360"/>
        <w:jc w:val="center"/>
      </w:pPr>
      <w:r>
        <w:rPr>
          <w:rFonts w:ascii="Calibri" w:hAnsi="Calibri" w:cs="Calibri"/>
          <w:color w:val="2E74B5"/>
          <w:sz w:val="32"/>
        </w:rPr>
        <w:t>Qur’an 22:31–32 and 3:83</w:t>
      </w:r>
    </w:p>
    <w:p>
      <w:pPr>
        <w:spacing w:after="1160"/>
        <w:jc w:val="center"/>
      </w:pPr>
      <w:r>
        <w:rPr>
          <w:rFonts w:ascii="Calibri" w:hAnsi="Calibri" w:cs="Calibri"/>
          <w:i/>
          <w:color w:val="5A6872"/>
          <w:sz w:val="23"/>
        </w:rPr>
        <w:t>Classical Exegesis • Contemporary Theology • Moral Realism</w:t>
      </w:r>
    </w:p>
    <w:p>
      <w:pPr>
        <w:spacing w:after="100"/>
        <w:jc w:val="center"/>
      </w:pPr>
      <w:r>
        <w:rPr>
          <w:rFonts w:ascii="Calibri" w:hAnsi="Calibri" w:cs="Calibri"/>
          <w:b/>
          <w:color w:val="203748"/>
          <w:sz w:val="22"/>
        </w:rPr>
        <w:t>Prepared for Dr. Zia H. Shah</w:t>
      </w:r>
    </w:p>
    <w:p>
      <w:pPr>
        <w:jc w:val="center"/>
      </w:pPr>
      <w:r>
        <w:rPr>
          <w:rFonts w:ascii="Calibri" w:hAnsi="Calibri" w:cs="Calibri"/>
          <w:color w:val="5A6872"/>
          <w:sz w:val="19"/>
        </w:rPr>
        <w:t>Research current to 4 September 2026</w:t>
      </w:r>
    </w:p>
    <w:p>
      <w:pPr>
        <w:sectPr>
          <w:pgSz w:w="12240" w:h="15840"/>
          <w:pgMar w:top="1440" w:right="1440" w:bottom="1440" w:left="1440" w:header="708" w:footer="708" w:gutter="0"/>
          <w:cols w:space="720"/>
          <w:titlePg/>
          <w:docGrid w:linePitch="360"/>
        </w:sectPr>
      </w:pPr>
    </w:p>
    <w:p>
      <w:pPr>
        <w:pStyle w:val="Heading1"/>
      </w:pPr>
      <w:r>
        <w:rPr>
          <w:rFonts w:ascii="Calibri" w:hAnsi="Calibri" w:cs="Calibri"/>
          <w:b/>
          <w:i w:val="0"/>
          <w:color w:val="2E74B5"/>
          <w:sz w:val="32"/>
        </w:rPr>
        <w:t>Abstract</w:t>
      </w:r>
    </w:p>
    <w:p>
      <w:pPr>
        <w:pStyle w:val="AbstractCallout"/>
        <w:shd w:fill="F4F6F9"/>
        <w:pBdr>
          <w:left w:val="single" w:sz="16" w:space="8" w:color="2E74B5"/>
        </w:pBdr>
      </w:pPr>
      <w:r>
        <w:rPr>
          <w:rFonts w:ascii="Calibri" w:hAnsi="Calibri" w:cs="Calibri"/>
          <w:b w:val="0"/>
          <w:i w:val="0"/>
          <w:color w:val="203748"/>
          <w:sz w:val="21"/>
        </w:rPr>
        <w:t xml:space="preserve">Read together, Qur’an 22:31–32 and 3:83 describe a single moral universe from three perspectives. Verse 3:83 gives the ontological horizon: everything in the heavens and earth already belongs to an order of dependence upon God and will return to Him. Verse 22:31 gives the moral crisis of the free creature: to divide ultimate allegiance is to lose one’s center, figured as a fall from the sky into dispersion or exile. Verse 22:32 gives the constructive response: reverence for God’s appointed signs is not empty conventionalism but the embodied expression of </w:t>
      </w:r>
      <w:r>
        <w:rPr>
          <w:rFonts w:ascii="Calibri" w:hAnsi="Calibri" w:cs="Calibri"/>
          <w:b w:val="0"/>
          <w:i/>
          <w:color w:val="203748"/>
          <w:sz w:val="21"/>
        </w:rPr>
        <w:t>taqwā</w:t>
      </w:r>
      <w:r>
        <w:rPr>
          <w:rFonts w:ascii="Calibri" w:hAnsi="Calibri" w:cs="Calibri"/>
          <w:b w:val="0"/>
          <w:i w:val="0"/>
          <w:color w:val="203748"/>
          <w:sz w:val="21"/>
        </w:rPr>
        <w:t xml:space="preserve"> in the heart. Classical exegetes consistently locate these verses in tawḥīd, pilgrimage, moral sincerity, creaturely dependence, and final accountability. Contemporary commentators draw out their psychological, social, and civilizational implications.</w:t>
      </w:r>
    </w:p>
    <w:p>
      <w:pPr/>
      <w:r>
        <w:rPr>
          <w:rFonts w:ascii="Calibri" w:hAnsi="Calibri" w:cs="Calibri"/>
          <w:b w:val="0"/>
          <w:i w:val="0"/>
          <w:color w:val="1E252B"/>
          <w:sz w:val="22"/>
        </w:rPr>
        <w:t>This commentary places that exegetical synthesis in conversation with moral realism: the view that at least some moral propositions are true and that their truth is not created by human approval, emotion, convention, or power. The latest large general PhilPapers survey located as of September 2026—the 2020 survey—found that 62.07 percent of its target-group respondents accepted or leaned toward moral realism, compared with 26.12 percent toward anti-realism. That is evidence of the contemporary intellectual landscape, not a vote that settles truth. The stronger case rests on moral experience, rational deliberation, epistemic normativity, moral progress, and the failure of genealogical or evolutionary explanations to entail that their objects are false.</w:t>
      </w:r>
    </w:p>
    <w:p>
      <w:pPr/>
      <w:r>
        <w:rPr>
          <w:rFonts w:ascii="Calibri" w:hAnsi="Calibri" w:cs="Calibri"/>
          <w:b w:val="0"/>
          <w:i w:val="0"/>
          <w:color w:val="1E252B"/>
          <w:sz w:val="22"/>
        </w:rPr>
        <w:t xml:space="preserve">The Qur’anic position is best described as </w:t>
      </w:r>
      <w:r>
        <w:rPr>
          <w:rFonts w:ascii="Calibri" w:hAnsi="Calibri" w:cs="Calibri"/>
          <w:b/>
          <w:i w:val="0"/>
          <w:color w:val="1E252B"/>
          <w:sz w:val="22"/>
        </w:rPr>
        <w:t>creaturely stance-independent theistic realism</w:t>
      </w:r>
      <w:r>
        <w:rPr>
          <w:rFonts w:ascii="Calibri" w:hAnsi="Calibri" w:cs="Calibri"/>
          <w:b w:val="0"/>
          <w:i w:val="0"/>
          <w:color w:val="1E252B"/>
          <w:sz w:val="22"/>
        </w:rPr>
        <w:t>. Moral truth does not depend on what human beings or societies happen to desire, yet neither does it inhabit a Platonic realm over God. It is grounded in the necessary truth, wisdom, justice, and mercy of God—</w:t>
      </w:r>
      <w:r>
        <w:rPr>
          <w:rFonts w:ascii="Calibri" w:hAnsi="Calibri" w:cs="Calibri"/>
          <w:b w:val="0"/>
          <w:i/>
          <w:color w:val="1E252B"/>
          <w:sz w:val="22"/>
        </w:rPr>
        <w:t>al-Ḥaqq</w:t>
      </w:r>
      <w:r>
        <w:rPr>
          <w:rFonts w:ascii="Calibri" w:hAnsi="Calibri" w:cs="Calibri"/>
          <w:b w:val="0"/>
          <w:i w:val="0"/>
          <w:color w:val="1E252B"/>
          <w:sz w:val="22"/>
        </w:rPr>
        <w:t xml:space="preserve">—and disclosed through reason, </w:t>
      </w:r>
      <w:r>
        <w:rPr>
          <w:rFonts w:ascii="Calibri" w:hAnsi="Calibri" w:cs="Calibri"/>
          <w:b w:val="0"/>
          <w:i/>
          <w:color w:val="1E252B"/>
          <w:sz w:val="22"/>
        </w:rPr>
        <w:t>fiṭra</w:t>
      </w:r>
      <w:r>
        <w:rPr>
          <w:rFonts w:ascii="Calibri" w:hAnsi="Calibri" w:cs="Calibri"/>
          <w:b w:val="0"/>
          <w:i w:val="0"/>
          <w:color w:val="1E252B"/>
          <w:sz w:val="22"/>
        </w:rPr>
        <w:t>, revelation, conscience, and ethically formative practice. This account rebuts anti-realism without caricature: Hume’s psychology does not abolish truth, Nietzsche’s genealogy does not refute validity, Ayer’s verificationism cannot verify itself, Mackie’s “queerness” presupposes a restrictive ontology, and sophisticated expressivism often recovers the very logical and objective-looking structure it set out to explain away. The verses therefore present morality neither as private feeling nor as brute command, but as willing alignment with reality.</w:t>
      </w:r>
    </w:p>
    <w:p>
      <w:pPr>
        <w:pStyle w:val="Heading1"/>
      </w:pPr>
      <w:r>
        <w:rPr>
          <w:rFonts w:ascii="Calibri" w:hAnsi="Calibri" w:cs="Calibri"/>
          <w:b/>
          <w:i w:val="0"/>
          <w:color w:val="2E74B5"/>
          <w:sz w:val="32"/>
        </w:rPr>
        <w:t>1. The Contemporary Philosophical Landscape</w:t>
      </w:r>
    </w:p>
    <w:p>
      <w:pPr>
        <w:pStyle w:val="Heading2"/>
      </w:pPr>
      <w:r>
        <w:rPr>
          <w:rFonts w:ascii="Calibri" w:hAnsi="Calibri" w:cs="Calibri"/>
          <w:b/>
          <w:i w:val="0"/>
          <w:color w:val="2E74B5"/>
          <w:sz w:val="26"/>
        </w:rPr>
        <w:t>1.1 What philosophers report believing</w:t>
      </w:r>
    </w:p>
    <w:p>
      <w:pPr/>
      <w:r>
        <w:rPr>
          <w:rFonts w:ascii="Calibri" w:hAnsi="Calibri" w:cs="Calibri"/>
          <w:b w:val="0"/>
          <w:i w:val="0"/>
          <w:color w:val="1E252B"/>
          <w:sz w:val="22"/>
        </w:rPr>
        <w:t xml:space="preserve">The </w:t>
      </w:r>
      <w:hyperlink r:id="rId11">
        <w:r>
          <w:rPr>
            <w:rFonts w:ascii="Calibri" w:hAnsi="Calibri"/>
            <w:color w:val="2E74B5"/>
            <w:u w:val="single"/>
            <w:sz w:val="22"/>
          </w:rPr>
          <w:t>2020 PhilPapers Survey</w:t>
        </w:r>
      </w:hyperlink>
      <w:r>
        <w:rPr>
          <w:rFonts w:ascii="Calibri" w:hAnsi="Calibri" w:cs="Calibri"/>
          <w:b w:val="0"/>
          <w:i w:val="0"/>
          <w:color w:val="1E252B"/>
          <w:sz w:val="22"/>
        </w:rPr>
        <w:t xml:space="preserve"> asked professional philosophers whether they accepted or leaned toward moral realism or moral anti-realism. Among the target group, </w:t>
      </w:r>
      <w:r>
        <w:rPr>
          <w:rFonts w:ascii="Calibri" w:hAnsi="Calibri" w:cs="Calibri"/>
          <w:b/>
          <w:i w:val="0"/>
          <w:color w:val="1E252B"/>
          <w:sz w:val="22"/>
        </w:rPr>
        <w:t>62.07%</w:t>
      </w:r>
      <w:r>
        <w:rPr>
          <w:rFonts w:ascii="Calibri" w:hAnsi="Calibri" w:cs="Calibri"/>
          <w:b w:val="0"/>
          <w:i w:val="0"/>
          <w:color w:val="1E252B"/>
          <w:sz w:val="22"/>
        </w:rPr>
        <w:t xml:space="preserve"> selected realism and </w:t>
      </w:r>
      <w:r>
        <w:rPr>
          <w:rFonts w:ascii="Calibri" w:hAnsi="Calibri" w:cs="Calibri"/>
          <w:b/>
          <w:i w:val="0"/>
          <w:color w:val="1E252B"/>
          <w:sz w:val="22"/>
        </w:rPr>
        <w:t>26.12%</w:t>
      </w:r>
      <w:r>
        <w:rPr>
          <w:rFonts w:ascii="Calibri" w:hAnsi="Calibri" w:cs="Calibri"/>
          <w:b w:val="0"/>
          <w:i w:val="0"/>
          <w:color w:val="1E252B"/>
          <w:sz w:val="22"/>
        </w:rPr>
        <w:t xml:space="preserve"> selected anti-realism; the exclusive-choice figures were </w:t>
      </w:r>
      <w:r>
        <w:rPr>
          <w:rFonts w:ascii="Calibri" w:hAnsi="Calibri" w:cs="Calibri"/>
          <w:b/>
          <w:i w:val="0"/>
          <w:color w:val="1E252B"/>
          <w:sz w:val="22"/>
        </w:rPr>
        <w:t>61.55%</w:t>
      </w:r>
      <w:r>
        <w:rPr>
          <w:rFonts w:ascii="Calibri" w:hAnsi="Calibri" w:cs="Calibri"/>
          <w:b w:val="0"/>
          <w:i w:val="0"/>
          <w:color w:val="1E252B"/>
          <w:sz w:val="22"/>
        </w:rPr>
        <w:t xml:space="preserve"> and </w:t>
      </w:r>
      <w:r>
        <w:rPr>
          <w:rFonts w:ascii="Calibri" w:hAnsi="Calibri" w:cs="Calibri"/>
          <w:b/>
          <w:i w:val="0"/>
          <w:color w:val="1E252B"/>
          <w:sz w:val="22"/>
        </w:rPr>
        <w:t>25.77%</w:t>
      </w:r>
      <w:r>
        <w:rPr>
          <w:rFonts w:ascii="Calibri" w:hAnsi="Calibri" w:cs="Calibri"/>
          <w:b w:val="0"/>
          <w:i w:val="0"/>
          <w:color w:val="1E252B"/>
          <w:sz w:val="22"/>
        </w:rPr>
        <w:t xml:space="preserve">, respectively. The question had </w:t>
      </w:r>
      <w:r>
        <w:rPr>
          <w:rFonts w:ascii="Calibri" w:hAnsi="Calibri" w:cs="Calibri"/>
          <w:b/>
          <w:i w:val="0"/>
          <w:color w:val="1E252B"/>
          <w:sz w:val="22"/>
        </w:rPr>
        <w:t>N = 1,719</w:t>
      </w:r>
      <w:r>
        <w:rPr>
          <w:rFonts w:ascii="Calibri" w:hAnsi="Calibri" w:cs="Calibri"/>
          <w:b w:val="0"/>
          <w:i w:val="0"/>
          <w:color w:val="1E252B"/>
          <w:sz w:val="22"/>
        </w:rPr>
        <w:t>, excluding 66 respondents who skipped it or reported insufficient familiarity. Because the survey permitted some combinations and alternatives, the displayed categories are not simply two exhaustive bins.</w:t>
      </w:r>
    </w:p>
    <w:p>
      <w:pPr/>
      <w:r>
        <w:rPr>
          <w:rFonts w:ascii="Calibri" w:hAnsi="Calibri" w:cs="Calibri"/>
          <w:b w:val="0"/>
          <w:i w:val="0"/>
          <w:color w:val="1E252B"/>
          <w:sz w:val="22"/>
        </w:rPr>
        <w:t xml:space="preserve">The longitudinal comparison among departments sampled in both major surveys also moved modestly toward realism: </w:t>
      </w:r>
      <w:r>
        <w:rPr>
          <w:rFonts w:ascii="Calibri" w:hAnsi="Calibri" w:cs="Calibri"/>
          <w:b/>
          <w:i w:val="0"/>
          <w:color w:val="1E252B"/>
          <w:sz w:val="22"/>
        </w:rPr>
        <w:t>56.39% in 2009</w:t>
      </w:r>
      <w:r>
        <w:rPr>
          <w:rFonts w:ascii="Calibri" w:hAnsi="Calibri" w:cs="Calibri"/>
          <w:b w:val="0"/>
          <w:i w:val="0"/>
          <w:color w:val="1E252B"/>
          <w:sz w:val="22"/>
        </w:rPr>
        <w:t xml:space="preserve"> to </w:t>
      </w:r>
      <w:r>
        <w:rPr>
          <w:rFonts w:ascii="Calibri" w:hAnsi="Calibri" w:cs="Calibri"/>
          <w:b/>
          <w:i w:val="0"/>
          <w:color w:val="1E252B"/>
          <w:sz w:val="22"/>
        </w:rPr>
        <w:t>59.88% in 2020</w:t>
      </w:r>
      <w:r>
        <w:rPr>
          <w:rFonts w:ascii="Calibri" w:hAnsi="Calibri" w:cs="Calibri"/>
          <w:b w:val="0"/>
          <w:i w:val="0"/>
          <w:color w:val="1E252B"/>
          <w:sz w:val="22"/>
        </w:rPr>
        <w:t xml:space="preserve">, while anti-realism moved from </w:t>
      </w:r>
      <w:r>
        <w:rPr>
          <w:rFonts w:ascii="Calibri" w:hAnsi="Calibri" w:cs="Calibri"/>
          <w:b/>
          <w:i w:val="0"/>
          <w:color w:val="1E252B"/>
          <w:sz w:val="22"/>
        </w:rPr>
        <w:t>27.71%</w:t>
      </w:r>
      <w:r>
        <w:rPr>
          <w:rFonts w:ascii="Calibri" w:hAnsi="Calibri" w:cs="Calibri"/>
          <w:b w:val="0"/>
          <w:i w:val="0"/>
          <w:color w:val="1E252B"/>
          <w:sz w:val="22"/>
        </w:rPr>
        <w:t xml:space="preserve"> to </w:t>
      </w:r>
      <w:r>
        <w:rPr>
          <w:rFonts w:ascii="Calibri" w:hAnsi="Calibri" w:cs="Calibri"/>
          <w:b/>
          <w:i w:val="0"/>
          <w:color w:val="1E252B"/>
          <w:sz w:val="22"/>
        </w:rPr>
        <w:t>25.77%</w:t>
      </w:r>
      <w:r>
        <w:rPr>
          <w:rFonts w:ascii="Calibri" w:hAnsi="Calibri" w:cs="Calibri"/>
          <w:b w:val="0"/>
          <w:i w:val="0"/>
          <w:color w:val="1E252B"/>
          <w:sz w:val="22"/>
        </w:rPr>
        <w:t>. The shift is interesting but not decisive; philosophical truth is not established by plebiscite.</w:t>
      </w:r>
    </w:p>
    <w:p>
      <w:pPr/>
      <w:r>
        <w:rPr>
          <w:rFonts w:ascii="Calibri" w:hAnsi="Calibri" w:cs="Calibri"/>
          <w:b w:val="0"/>
          <w:i w:val="0"/>
          <w:color w:val="1E252B"/>
          <w:sz w:val="22"/>
        </w:rPr>
        <w:t xml:space="preserve">The demographics require emphasis. The </w:t>
      </w:r>
      <w:hyperlink r:id="rId12">
        <w:r>
          <w:rPr>
            <w:rFonts w:ascii="Calibri" w:hAnsi="Calibri"/>
            <w:color w:val="2E74B5"/>
            <w:u w:val="single"/>
            <w:sz w:val="22"/>
          </w:rPr>
          <w:t>survey’s target population</w:t>
        </w:r>
      </w:hyperlink>
      <w:r>
        <w:rPr>
          <w:rFonts w:ascii="Calibri" w:hAnsi="Calibri" w:cs="Calibri"/>
          <w:b w:val="0"/>
          <w:i w:val="0"/>
          <w:color w:val="1E252B"/>
          <w:sz w:val="22"/>
        </w:rPr>
        <w:t xml:space="preserve"> comprised 7,685 philosophers: 6,112 regular faculty in philosophy departments granting bachelor’s degrees in Australia, Canada, Ireland, New Zealand, the United Kingdom, and the United States, plus 1,573 philosophers in other countries who published substantially in English. Among all 1,785 respondents, the </w:t>
      </w:r>
      <w:hyperlink r:id="rId13">
        <w:r>
          <w:rPr>
            <w:rFonts w:ascii="Calibri" w:hAnsi="Calibri"/>
            <w:color w:val="2E74B5"/>
            <w:u w:val="single"/>
            <w:sz w:val="22"/>
          </w:rPr>
          <w:t>demographic results</w:t>
        </w:r>
      </w:hyperlink>
      <w:r>
        <w:rPr>
          <w:rFonts w:ascii="Calibri" w:hAnsi="Calibri" w:cs="Calibri"/>
          <w:b w:val="0"/>
          <w:i w:val="0"/>
          <w:color w:val="1E252B"/>
          <w:sz w:val="22"/>
        </w:rPr>
        <w:t xml:space="preserve"> counted 1,430 as working in the analytic tradition, 113 in the continental tradition, 169 in another tradition, and 17 in both analytic and continental traditions. The survey therefore maps a large, influential, but Anglophone and analytic-weighted professional population. It is not a census of philosophers worldwide, much less of theologians, jurists, or Muslim intellectual traditions.</w:t>
      </w:r>
    </w:p>
    <w:p>
      <w:pPr>
        <w:pStyle w:val="Heading2"/>
      </w:pPr>
      <w:r>
        <w:rPr>
          <w:rFonts w:ascii="Calibri" w:hAnsi="Calibri" w:cs="Calibri"/>
          <w:b/>
          <w:i w:val="0"/>
          <w:color w:val="2E74B5"/>
          <w:sz w:val="26"/>
        </w:rPr>
        <w:t>1.2 What the numbers do—and do not—show</w:t>
      </w:r>
    </w:p>
    <w:p>
      <w:pPr/>
      <w:r>
        <w:rPr>
          <w:rFonts w:ascii="Calibri" w:hAnsi="Calibri" w:cs="Calibri"/>
          <w:b w:val="0"/>
          <w:i w:val="0"/>
          <w:color w:val="1E252B"/>
          <w:sz w:val="22"/>
        </w:rPr>
        <w:t>The majority position matters sociologically. It rebuts the casual impression that educated modern philosophy has simply “outgrown” objective morality. It also shows that realism is compatible with many metaphysical packages: naturalism, non-naturalism, theism, secularism, consequentialism, deontology, and virtue ethics. But no demographic fact can substitute for argument. A minority may be right; a majority may be wrong. The survey belongs at the beginning as intellectual orientation, not at the end as proof.</w:t>
      </w:r>
    </w:p>
    <w:p>
      <w:pPr/>
      <w:r>
        <w:rPr>
          <w:rFonts w:ascii="Calibri" w:hAnsi="Calibri" w:cs="Calibri"/>
          <w:b w:val="0"/>
          <w:i w:val="0"/>
          <w:color w:val="1E252B"/>
          <w:sz w:val="22"/>
        </w:rPr>
        <w:t xml:space="preserve">For precision, </w:t>
      </w:r>
      <w:hyperlink r:id="rId14">
        <w:r>
          <w:rPr>
            <w:rFonts w:ascii="Calibri" w:hAnsi="Calibri"/>
            <w:color w:val="2E74B5"/>
            <w:u w:val="single"/>
            <w:sz w:val="22"/>
          </w:rPr>
          <w:t>the Stanford Encyclopedia’s account of moral realism</w:t>
        </w:r>
      </w:hyperlink>
      <w:r>
        <w:rPr>
          <w:rFonts w:ascii="Calibri" w:hAnsi="Calibri" w:cs="Calibri"/>
          <w:b w:val="0"/>
          <w:i w:val="0"/>
          <w:color w:val="1E252B"/>
          <w:sz w:val="22"/>
        </w:rPr>
        <w:t xml:space="preserve"> treats realism as involving truth-apt moral claims and at least some true moral claims, with a suitable form of objectivity or independence. </w:t>
      </w:r>
      <w:hyperlink r:id="rId15">
        <w:r>
          <w:rPr>
            <w:rFonts w:ascii="Calibri" w:hAnsi="Calibri"/>
            <w:color w:val="2E74B5"/>
            <w:u w:val="single"/>
            <w:sz w:val="22"/>
          </w:rPr>
          <w:t>Moral anti-realism</w:t>
        </w:r>
      </w:hyperlink>
      <w:r>
        <w:rPr>
          <w:rFonts w:ascii="Calibri" w:hAnsi="Calibri" w:cs="Calibri"/>
          <w:b w:val="0"/>
          <w:i w:val="0"/>
          <w:color w:val="1E252B"/>
          <w:sz w:val="22"/>
        </w:rPr>
        <w:t xml:space="preserve"> is a family rather than a single doctrine: non-cognitivists deny that ordinary moral assertions straightforwardly state facts; error theorists say they try to do so but systematically fail; non-objectivists make their truth depend on attitudes, practices, or standards. This taxonomy matters because arguments effective against Ayer’s emotivism may not answer Mackie’s error theory, and neither automatically answers Blackburn’s quasi-realism.</w:t>
      </w:r>
    </w:p>
    <w:p>
      <w:pPr>
        <w:pStyle w:val="Heading1"/>
        <w:pageBreakBefore/>
      </w:pPr>
      <w:r>
        <w:rPr>
          <w:rFonts w:ascii="Calibri" w:hAnsi="Calibri" w:cs="Calibri"/>
          <w:b/>
          <w:i w:val="0"/>
          <w:color w:val="2E74B5"/>
          <w:sz w:val="32"/>
        </w:rPr>
        <w:t>2. The Qur’anic Text</w:t>
      </w:r>
    </w:p>
    <w:p>
      <w:pPr>
        <w:pStyle w:val="Heading2"/>
      </w:pPr>
      <w:r>
        <w:rPr>
          <w:rFonts w:ascii="Calibri" w:hAnsi="Calibri" w:cs="Calibri"/>
          <w:b/>
          <w:i w:val="0"/>
          <w:color w:val="2E74B5"/>
          <w:sz w:val="26"/>
        </w:rPr>
        <w:t>2.1 Sūrat al-Ḥajj 22:31</w:t>
      </w:r>
    </w:p>
    <w:p>
      <w:pPr/>
      <w:r>
        <w:rPr>
          <w:rFonts w:ascii="Calibri" w:hAnsi="Calibri" w:cs="Calibri"/>
          <w:b/>
          <w:i w:val="0"/>
          <w:color w:val="1E252B"/>
          <w:sz w:val="22"/>
        </w:rPr>
        <w:t>Arabic</w:t>
      </w:r>
    </w:p>
    <w:p>
      <w:pPr>
        <w:pStyle w:val="ArabicVerse"/>
        <w:bidi w:val="1"/>
      </w:pPr>
      <w:r>
        <w:rPr>
          <w:rFonts w:ascii="Calibri" w:hAnsi="Calibri" w:cs="Calibri"/>
          <w:b/>
          <w:i w:val="0"/>
          <w:color w:val="203748"/>
          <w:sz w:val="30"/>
        </w:rPr>
        <w:t>حُنَفَاءَ لِلَّهِ غَيْرَ مُشْرِكِينَ بِهِ ۚ وَمَن يُشْرِكْ بِاللَّهِ فَكَأَنَّمَا خَرَّ مِنَ السَّمَاءِ فَتَخْطَفُهُ الطَّيْرُ أَوْ تَهْوِي بِهِ الرِّيحُ فِي مَكَانٍ سَحِيقٍ</w:t>
      </w:r>
    </w:p>
    <w:p>
      <w:pPr/>
      <w:r>
        <w:rPr>
          <w:rFonts w:ascii="Calibri" w:hAnsi="Calibri" w:cs="Calibri"/>
          <w:b/>
          <w:i w:val="0"/>
          <w:color w:val="1E252B"/>
          <w:sz w:val="22"/>
        </w:rPr>
        <w:t>Fresh literal rendering for this commentary</w:t>
      </w:r>
    </w:p>
    <w:p>
      <w:pPr>
        <w:pStyle w:val="VerseTranslation"/>
      </w:pPr>
      <w:r>
        <w:rPr>
          <w:rFonts w:ascii="Calibri" w:hAnsi="Calibri" w:cs="Calibri"/>
          <w:b w:val="0"/>
          <w:i/>
          <w:color w:val="203748"/>
          <w:sz w:val="23"/>
        </w:rPr>
        <w:t>Be uprightly devoted to God, associating nothing with Him. Whoever associates partners with God is as though he has fallen from the sky: the birds seize him, or the wind casts him into a far-off place.</w:t>
      </w:r>
    </w:p>
    <w:p>
      <w:pPr>
        <w:pStyle w:val="Heading2"/>
      </w:pPr>
      <w:r>
        <w:rPr>
          <w:rFonts w:ascii="Calibri" w:hAnsi="Calibri" w:cs="Calibri"/>
          <w:b/>
          <w:i w:val="0"/>
          <w:color w:val="2E74B5"/>
          <w:sz w:val="26"/>
        </w:rPr>
        <w:t>2.2 Sūrat al-Ḥajj 22:32</w:t>
      </w:r>
    </w:p>
    <w:p>
      <w:pPr/>
      <w:r>
        <w:rPr>
          <w:rFonts w:ascii="Calibri" w:hAnsi="Calibri" w:cs="Calibri"/>
          <w:b/>
          <w:i w:val="0"/>
          <w:color w:val="1E252B"/>
          <w:sz w:val="22"/>
        </w:rPr>
        <w:t>Arabic</w:t>
      </w:r>
    </w:p>
    <w:p>
      <w:pPr>
        <w:pStyle w:val="ArabicVerse"/>
        <w:bidi w:val="1"/>
      </w:pPr>
      <w:r>
        <w:rPr>
          <w:rFonts w:ascii="Calibri" w:hAnsi="Calibri" w:cs="Calibri"/>
          <w:b/>
          <w:i w:val="0"/>
          <w:color w:val="203748"/>
          <w:sz w:val="30"/>
        </w:rPr>
        <w:t>ذَٰلِكَ وَمَن يُعَظِّمْ شَعَائِرَ اللَّهِ فَإِنَّهَا مِن تَقْوَى الْقُلُوبِ</w:t>
      </w:r>
    </w:p>
    <w:p>
      <w:pPr/>
      <w:r>
        <w:rPr>
          <w:rFonts w:ascii="Calibri" w:hAnsi="Calibri" w:cs="Calibri"/>
          <w:b/>
          <w:i w:val="0"/>
          <w:color w:val="1E252B"/>
          <w:sz w:val="22"/>
        </w:rPr>
        <w:t>Fresh literal rendering for this commentary</w:t>
      </w:r>
    </w:p>
    <w:p>
      <w:pPr>
        <w:pStyle w:val="VerseTranslation"/>
      </w:pPr>
      <w:r>
        <w:rPr>
          <w:rFonts w:ascii="Calibri" w:hAnsi="Calibri" w:cs="Calibri"/>
          <w:b w:val="0"/>
          <w:i/>
          <w:color w:val="203748"/>
          <w:sz w:val="23"/>
        </w:rPr>
        <w:t>So it is. Whoever magnifies the sacred signs of God—surely that arises from the God-consciousness of hearts.</w:t>
      </w:r>
    </w:p>
    <w:p>
      <w:pPr>
        <w:pStyle w:val="Heading2"/>
      </w:pPr>
      <w:r>
        <w:rPr>
          <w:rFonts w:ascii="Calibri" w:hAnsi="Calibri" w:cs="Calibri"/>
          <w:b/>
          <w:i w:val="0"/>
          <w:color w:val="2E74B5"/>
          <w:sz w:val="26"/>
        </w:rPr>
        <w:t>2.3 Sūrat Āl ʿImrān 3:83</w:t>
      </w:r>
    </w:p>
    <w:p>
      <w:pPr/>
      <w:r>
        <w:rPr>
          <w:rFonts w:ascii="Calibri" w:hAnsi="Calibri" w:cs="Calibri"/>
          <w:b/>
          <w:i w:val="0"/>
          <w:color w:val="1E252B"/>
          <w:sz w:val="22"/>
        </w:rPr>
        <w:t>Arabic</w:t>
      </w:r>
    </w:p>
    <w:p>
      <w:pPr>
        <w:pStyle w:val="ArabicVerse"/>
        <w:bidi w:val="1"/>
      </w:pPr>
      <w:r>
        <w:rPr>
          <w:rFonts w:ascii="Calibri" w:hAnsi="Calibri" w:cs="Calibri"/>
          <w:b/>
          <w:i w:val="0"/>
          <w:color w:val="203748"/>
          <w:sz w:val="30"/>
        </w:rPr>
        <w:t>أَفَغَيْرَ دِينِ اللَّهِ يَبْغُونَ وَلَهُ أَسْلَمَ مَن فِي السَّمَاوَاتِ وَالْأَرْضِ طَوْعًا وَكَرْهًا وَإِلَيْهِ يُرْجَعُونَ</w:t>
      </w:r>
    </w:p>
    <w:p>
      <w:pPr/>
      <w:r>
        <w:rPr>
          <w:rFonts w:ascii="Calibri" w:hAnsi="Calibri" w:cs="Calibri"/>
          <w:b/>
          <w:i w:val="0"/>
          <w:color w:val="1E252B"/>
          <w:sz w:val="22"/>
        </w:rPr>
        <w:t>Fresh literal rendering for this commentary</w:t>
      </w:r>
    </w:p>
    <w:p>
      <w:pPr>
        <w:pStyle w:val="VerseTranslation"/>
      </w:pPr>
      <w:r>
        <w:rPr>
          <w:rFonts w:ascii="Calibri" w:hAnsi="Calibri" w:cs="Calibri"/>
          <w:b w:val="0"/>
          <w:i/>
          <w:color w:val="203748"/>
          <w:sz w:val="23"/>
        </w:rPr>
        <w:t>Do they seek a way other than God’s, when whoever is in the heavens and the earth has submitted to Him, willingly or unwillingly, and to Him they shall be returned?</w:t>
      </w:r>
    </w:p>
    <w:p>
      <w:pPr>
        <w:pStyle w:val="Heading2"/>
      </w:pPr>
      <w:r>
        <w:rPr>
          <w:rFonts w:ascii="Calibri" w:hAnsi="Calibri" w:cs="Calibri"/>
          <w:b/>
          <w:i w:val="0"/>
          <w:color w:val="2E74B5"/>
          <w:sz w:val="26"/>
        </w:rPr>
        <w:t>2.4 Six popular English translations: key wording and full-sense synopsis</w:t>
      </w:r>
    </w:p>
    <w:p>
      <w:pPr/>
      <w:r>
        <w:rPr>
          <w:rFonts w:ascii="Calibri" w:hAnsi="Calibri" w:cs="Calibri"/>
          <w:b w:val="0"/>
          <w:i w:val="0"/>
          <w:color w:val="1E252B"/>
          <w:sz w:val="22"/>
        </w:rPr>
        <w:t>Modern English translations are generally copyrighted. Accordingly, the comparison below gives one short signature excerpt from each translation and then paraphrases how that translation handles the complete three-verse set. The links lead to the published renderings.</w:t>
      </w:r>
    </w:p>
    <w:tbl>
      <w:tblPr>
        <w:tblW w:type="dxa" w:w="9360"/>
        <w:jc w:val="left"/>
        <w:tblLayout w:type="fixed"/>
        <w:tblLook w:firstColumn="1" w:firstRow="1" w:lastColumn="0" w:lastRow="0" w:noHBand="0" w:noVBand="1" w:val="04A0"/>
        <w:tblInd w:w="120" w:type="dxa"/>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Pr>
      <w:tblGrid>
        <w:gridCol w:w="1940"/>
        <w:gridCol w:w="2380"/>
        <w:gridCol w:w="5040"/>
      </w:tblGrid>
      <w:tr>
        <w:trPr>
          <w:cantSplit/>
          <w:tblHeader w:val="true"/>
        </w:trPr>
        <w:tc>
          <w:tcPr>
            <w:tcW w:type="dxa" w:w="1940"/>
            <w:tcMar>
              <w:top w:w="80" w:type="dxa"/>
              <w:bottom w:w="80" w:type="dxa"/>
              <w:start w:w="120" w:type="dxa"/>
              <w:end w:w="120" w:type="dxa"/>
            </w:tcMar>
            <w:vAlign w:val="top"/>
            <w:shd w:fill="EAF1F7"/>
          </w:tcPr>
          <w:p>
            <w:pPr>
              <w:pStyle w:val="TableText"/>
            </w:pPr>
            <w:r>
              <w:rPr>
                <w:rFonts w:ascii="Calibri" w:hAnsi="Calibri" w:cs="Calibri"/>
                <w:b/>
                <w:i w:val="0"/>
                <w:color w:val="203748"/>
                <w:sz w:val="18"/>
              </w:rPr>
              <w:t>Translation</w:t>
            </w:r>
          </w:p>
        </w:tc>
        <w:tc>
          <w:tcPr>
            <w:tcW w:type="dxa" w:w="2380"/>
            <w:tcMar>
              <w:top w:w="80" w:type="dxa"/>
              <w:bottom w:w="80" w:type="dxa"/>
              <w:start w:w="120" w:type="dxa"/>
              <w:end w:w="120" w:type="dxa"/>
            </w:tcMar>
            <w:vAlign w:val="top"/>
            <w:shd w:fill="EAF1F7"/>
          </w:tcPr>
          <w:p>
            <w:pPr>
              <w:pStyle w:val="TableText"/>
            </w:pPr>
            <w:r>
              <w:rPr>
                <w:rFonts w:ascii="Calibri" w:hAnsi="Calibri" w:cs="Calibri"/>
                <w:b/>
                <w:i w:val="0"/>
                <w:color w:val="203748"/>
                <w:sz w:val="18"/>
              </w:rPr>
              <w:t>Short signature wording</w:t>
            </w:r>
          </w:p>
        </w:tc>
        <w:tc>
          <w:tcPr>
            <w:tcW w:type="dxa" w:w="5040"/>
            <w:tcMar>
              <w:top w:w="80" w:type="dxa"/>
              <w:bottom w:w="80" w:type="dxa"/>
              <w:start w:w="120" w:type="dxa"/>
              <w:end w:w="120" w:type="dxa"/>
            </w:tcMar>
            <w:vAlign w:val="top"/>
            <w:shd w:fill="EAF1F7"/>
          </w:tcPr>
          <w:p>
            <w:pPr>
              <w:pStyle w:val="TableText"/>
            </w:pPr>
            <w:r>
              <w:rPr>
                <w:rFonts w:ascii="Calibri" w:hAnsi="Calibri" w:cs="Calibri"/>
                <w:b/>
                <w:i w:val="0"/>
                <w:color w:val="203748"/>
                <w:sz w:val="18"/>
              </w:rPr>
              <w:t>Comparative synopsis across 22:31–32 and 3:83</w:t>
            </w:r>
          </w:p>
        </w:tc>
      </w:tr>
      <w:tr>
        <w:trPr>
          <w:cantSplit/>
        </w:trPr>
        <w:tc>
          <w:tcPr>
            <w:tcW w:type="dxa" w:w="1940"/>
            <w:tcMar>
              <w:top w:w="80" w:type="dxa"/>
              <w:bottom w:w="80" w:type="dxa"/>
              <w:start w:w="120" w:type="dxa"/>
              <w:end w:w="120" w:type="dxa"/>
            </w:tcMar>
            <w:vAlign w:val="top"/>
          </w:tcPr>
          <w:p>
            <w:pPr>
              <w:pStyle w:val="TableText"/>
            </w:pPr>
            <w:hyperlink r:id="rId16">
              <w:r>
                <w:rPr>
                  <w:rFonts w:ascii="Calibri" w:hAnsi="Calibri"/>
                  <w:color w:val="2E74B5"/>
                  <w:u w:val="single"/>
                  <w:sz w:val="18"/>
                </w:rPr>
                <w:t>M. A. S. Abdel Haleem</w:t>
              </w:r>
            </w:hyperlink>
          </w:p>
        </w:tc>
        <w:tc>
          <w:tcPr>
            <w:tcW w:type="dxa" w:w="2380"/>
            <w:tcMar>
              <w:top w:w="80" w:type="dxa"/>
              <w:bottom w:w="80" w:type="dxa"/>
              <w:start w:w="120" w:type="dxa"/>
              <w:end w:w="120" w:type="dxa"/>
            </w:tcMar>
            <w:vAlign w:val="top"/>
          </w:tcPr>
          <w:p>
            <w:pPr>
              <w:pStyle w:val="TableText"/>
            </w:pPr>
            <w:r>
              <w:rPr>
                <w:rFonts w:ascii="Calibri" w:hAnsi="Calibri" w:cs="Calibri"/>
                <w:b w:val="0"/>
                <w:i w:val="0"/>
                <w:color w:val="1E252B"/>
                <w:sz w:val="18"/>
              </w:rPr>
              <w:t>“those who honour God’s rites show the piety of their hearts”</w:t>
            </w:r>
          </w:p>
        </w:tc>
        <w:tc>
          <w:tcPr>
            <w:tcW w:type="dxa" w:w="5040"/>
            <w:tcMar>
              <w:top w:w="80" w:type="dxa"/>
              <w:bottom w:w="80" w:type="dxa"/>
              <w:start w:w="120" w:type="dxa"/>
              <w:end w:w="120" w:type="dxa"/>
            </w:tcMar>
            <w:vAlign w:val="top"/>
          </w:tcPr>
          <w:p>
            <w:pPr>
              <w:pStyle w:val="TableText"/>
            </w:pPr>
            <w:r>
              <w:rPr>
                <w:rFonts w:ascii="Calibri" w:hAnsi="Calibri" w:cs="Calibri"/>
                <w:b w:val="0"/>
                <w:i w:val="0"/>
                <w:color w:val="1E252B"/>
                <w:sz w:val="18"/>
              </w:rPr>
              <w:t xml:space="preserve">The lead translation makes </w:t>
            </w:r>
            <w:r>
              <w:rPr>
                <w:rFonts w:ascii="Calibri" w:hAnsi="Calibri" w:cs="Calibri"/>
                <w:b w:val="0"/>
                <w:i/>
                <w:color w:val="1E252B"/>
                <w:sz w:val="18"/>
              </w:rPr>
              <w:t>dīn</w:t>
            </w:r>
            <w:r>
              <w:rPr>
                <w:rFonts w:ascii="Calibri" w:hAnsi="Calibri" w:cs="Calibri"/>
                <w:b w:val="0"/>
                <w:i w:val="0"/>
                <w:color w:val="1E252B"/>
                <w:sz w:val="18"/>
              </w:rPr>
              <w:t xml:space="preserve"> intelligible as submission, treats the cosmos as already submitting, and renders ritual reverence as evidence of inward piety. Its contemporary idiom preserves the sequence from devotion, through danger, to the heart.</w:t>
            </w:r>
          </w:p>
        </w:tc>
      </w:tr>
      <w:tr>
        <w:trPr>
          <w:cantSplit/>
        </w:trPr>
        <w:tc>
          <w:tcPr>
            <w:tcW w:type="dxa" w:w="1940"/>
            <w:tcMar>
              <w:top w:w="80" w:type="dxa"/>
              <w:bottom w:w="80" w:type="dxa"/>
              <w:start w:w="120" w:type="dxa"/>
              <w:end w:w="120" w:type="dxa"/>
            </w:tcMar>
            <w:vAlign w:val="top"/>
          </w:tcPr>
          <w:p>
            <w:pPr>
              <w:pStyle w:val="TableText"/>
            </w:pPr>
            <w:hyperlink r:id="rId17">
              <w:r>
                <w:rPr>
                  <w:rFonts w:ascii="Calibri" w:hAnsi="Calibri"/>
                  <w:color w:val="2E74B5"/>
                  <w:u w:val="single"/>
                  <w:sz w:val="18"/>
                </w:rPr>
                <w:t>Saheeh International</w:t>
              </w:r>
            </w:hyperlink>
          </w:p>
        </w:tc>
        <w:tc>
          <w:tcPr>
            <w:tcW w:type="dxa" w:w="2380"/>
            <w:tcMar>
              <w:top w:w="80" w:type="dxa"/>
              <w:bottom w:w="80" w:type="dxa"/>
              <w:start w:w="120" w:type="dxa"/>
              <w:end w:w="120" w:type="dxa"/>
            </w:tcMar>
            <w:vAlign w:val="top"/>
          </w:tcPr>
          <w:p>
            <w:pPr>
              <w:pStyle w:val="TableText"/>
            </w:pPr>
            <w:r>
              <w:rPr>
                <w:rFonts w:ascii="Calibri" w:hAnsi="Calibri" w:cs="Calibri"/>
                <w:b w:val="0"/>
                <w:i w:val="0"/>
                <w:color w:val="1E252B"/>
                <w:sz w:val="18"/>
              </w:rPr>
              <w:t>“Inclining [only] to Allāh”</w:t>
            </w:r>
          </w:p>
        </w:tc>
        <w:tc>
          <w:tcPr>
            <w:tcW w:type="dxa" w:w="5040"/>
            <w:tcMar>
              <w:top w:w="80" w:type="dxa"/>
              <w:bottom w:w="80" w:type="dxa"/>
              <w:start w:w="120" w:type="dxa"/>
              <w:end w:w="120" w:type="dxa"/>
            </w:tcMar>
            <w:vAlign w:val="top"/>
          </w:tcPr>
          <w:p>
            <w:pPr>
              <w:pStyle w:val="TableText"/>
            </w:pPr>
            <w:r>
              <w:rPr>
                <w:rFonts w:ascii="Calibri" w:hAnsi="Calibri" w:cs="Calibri"/>
                <w:b w:val="0"/>
                <w:i w:val="0"/>
                <w:color w:val="1E252B"/>
                <w:sz w:val="18"/>
              </w:rPr>
              <w:t>This rendering stays close to the Arabic surface, retaining “symbols/rites,” the double fate of birds or wind, and a relatively literal contrast between willing and compelled submission. Brackets make interpretive supplements visible.</w:t>
            </w:r>
          </w:p>
        </w:tc>
      </w:tr>
      <w:tr>
        <w:trPr>
          <w:cantSplit/>
        </w:trPr>
        <w:tc>
          <w:tcPr>
            <w:tcW w:type="dxa" w:w="1940"/>
            <w:tcMar>
              <w:top w:w="80" w:type="dxa"/>
              <w:bottom w:w="80" w:type="dxa"/>
              <w:start w:w="120" w:type="dxa"/>
              <w:end w:w="120" w:type="dxa"/>
            </w:tcMar>
            <w:vAlign w:val="top"/>
          </w:tcPr>
          <w:p>
            <w:pPr>
              <w:pStyle w:val="TableText"/>
            </w:pPr>
            <w:hyperlink r:id="rId18">
              <w:r>
                <w:rPr>
                  <w:rFonts w:ascii="Calibri" w:hAnsi="Calibri"/>
                  <w:color w:val="2E74B5"/>
                  <w:u w:val="single"/>
                  <w:sz w:val="18"/>
                </w:rPr>
                <w:t>Marmaduke Pickthall</w:t>
              </w:r>
            </w:hyperlink>
          </w:p>
        </w:tc>
        <w:tc>
          <w:tcPr>
            <w:tcW w:type="dxa" w:w="2380"/>
            <w:tcMar>
              <w:top w:w="80" w:type="dxa"/>
              <w:bottom w:w="80" w:type="dxa"/>
              <w:start w:w="120" w:type="dxa"/>
              <w:end w:w="120" w:type="dxa"/>
            </w:tcMar>
            <w:vAlign w:val="top"/>
          </w:tcPr>
          <w:p>
            <w:pPr>
              <w:pStyle w:val="TableText"/>
            </w:pPr>
            <w:r>
              <w:rPr>
                <w:rFonts w:ascii="Calibri" w:hAnsi="Calibri" w:cs="Calibri"/>
                <w:b w:val="0"/>
                <w:i w:val="0"/>
                <w:color w:val="1E252B"/>
                <w:sz w:val="18"/>
              </w:rPr>
              <w:t>“pure for Allah”</w:t>
            </w:r>
          </w:p>
        </w:tc>
        <w:tc>
          <w:tcPr>
            <w:tcW w:type="dxa" w:w="5040"/>
            <w:tcMar>
              <w:top w:w="80" w:type="dxa"/>
              <w:bottom w:w="80" w:type="dxa"/>
              <w:start w:w="120" w:type="dxa"/>
              <w:end w:w="120" w:type="dxa"/>
            </w:tcMar>
            <w:vAlign w:val="top"/>
          </w:tcPr>
          <w:p>
            <w:pPr>
              <w:pStyle w:val="TableText"/>
            </w:pPr>
            <w:r>
              <w:rPr>
                <w:rFonts w:ascii="Calibri" w:hAnsi="Calibri" w:cs="Calibri"/>
                <w:b w:val="0"/>
                <w:i w:val="0"/>
                <w:color w:val="1E252B"/>
                <w:sz w:val="18"/>
              </w:rPr>
              <w:t xml:space="preserve">Pickthall’s formal diction emphasizes exclusive purity, divine “landmarks,” and the comprehensive submission of heaven and earth. The archaism gives solemnity, though modern readers may miss that </w:t>
            </w:r>
            <w:r>
              <w:rPr>
                <w:rFonts w:ascii="Calibri" w:hAnsi="Calibri" w:cs="Calibri"/>
                <w:b w:val="0"/>
                <w:i/>
                <w:color w:val="1E252B"/>
                <w:sz w:val="18"/>
              </w:rPr>
              <w:t>shaʿāʾir</w:t>
            </w:r>
            <w:r>
              <w:rPr>
                <w:rFonts w:ascii="Calibri" w:hAnsi="Calibri" w:cs="Calibri"/>
                <w:b w:val="0"/>
                <w:i w:val="0"/>
                <w:color w:val="1E252B"/>
                <w:sz w:val="18"/>
              </w:rPr>
              <w:t xml:space="preserve"> are recognizable sacred signs and rites.</w:t>
            </w:r>
          </w:p>
        </w:tc>
      </w:tr>
      <w:tr>
        <w:trPr>
          <w:cantSplit/>
        </w:trPr>
        <w:tc>
          <w:tcPr>
            <w:tcW w:type="dxa" w:w="1940"/>
            <w:tcMar>
              <w:top w:w="80" w:type="dxa"/>
              <w:bottom w:w="80" w:type="dxa"/>
              <w:start w:w="120" w:type="dxa"/>
              <w:end w:w="120" w:type="dxa"/>
            </w:tcMar>
            <w:vAlign w:val="top"/>
          </w:tcPr>
          <w:p>
            <w:pPr>
              <w:pStyle w:val="TableText"/>
            </w:pPr>
            <w:hyperlink r:id="rId19">
              <w:r>
                <w:rPr>
                  <w:rFonts w:ascii="Calibri" w:hAnsi="Calibri"/>
                  <w:color w:val="2E74B5"/>
                  <w:u w:val="single"/>
                  <w:sz w:val="18"/>
                </w:rPr>
                <w:t>Abdullah Yusuf Ali</w:t>
              </w:r>
            </w:hyperlink>
          </w:p>
        </w:tc>
        <w:tc>
          <w:tcPr>
            <w:tcW w:type="dxa" w:w="2380"/>
            <w:tcMar>
              <w:top w:w="80" w:type="dxa"/>
              <w:bottom w:w="80" w:type="dxa"/>
              <w:start w:w="120" w:type="dxa"/>
              <w:end w:w="120" w:type="dxa"/>
            </w:tcMar>
            <w:vAlign w:val="top"/>
          </w:tcPr>
          <w:p>
            <w:pPr>
              <w:pStyle w:val="TableText"/>
            </w:pPr>
            <w:r>
              <w:rPr>
                <w:rFonts w:ascii="Calibri" w:hAnsi="Calibri" w:cs="Calibri"/>
                <w:b w:val="0"/>
                <w:i w:val="0"/>
                <w:color w:val="1E252B"/>
                <w:sz w:val="18"/>
              </w:rPr>
              <w:t>“being true in faith to Allah”</w:t>
            </w:r>
          </w:p>
        </w:tc>
        <w:tc>
          <w:tcPr>
            <w:tcW w:type="dxa" w:w="5040"/>
            <w:tcMar>
              <w:top w:w="80" w:type="dxa"/>
              <w:bottom w:w="80" w:type="dxa"/>
              <w:start w:w="120" w:type="dxa"/>
              <w:end w:w="120" w:type="dxa"/>
            </w:tcMar>
            <w:vAlign w:val="top"/>
          </w:tcPr>
          <w:p>
            <w:pPr>
              <w:pStyle w:val="TableText"/>
            </w:pPr>
            <w:r>
              <w:rPr>
                <w:rFonts w:ascii="Calibri" w:hAnsi="Calibri" w:cs="Calibri"/>
                <w:b w:val="0"/>
                <w:i w:val="0"/>
                <w:color w:val="1E252B"/>
                <w:sz w:val="18"/>
              </w:rPr>
              <w:t>Yusuf Ali foregrounds fidelity, speaks of rites or symbols as objects of reverence, and interprets cosmic submission in devotional language. His explanatory style tends to make the moral implications explicit.</w:t>
            </w:r>
          </w:p>
        </w:tc>
      </w:tr>
      <w:tr>
        <w:trPr>
          <w:cantSplit/>
        </w:trPr>
        <w:tc>
          <w:tcPr>
            <w:tcW w:type="dxa" w:w="1940"/>
            <w:tcMar>
              <w:top w:w="80" w:type="dxa"/>
              <w:bottom w:w="80" w:type="dxa"/>
              <w:start w:w="120" w:type="dxa"/>
              <w:end w:w="120" w:type="dxa"/>
            </w:tcMar>
            <w:vAlign w:val="top"/>
          </w:tcPr>
          <w:p>
            <w:pPr>
              <w:pStyle w:val="TableText"/>
            </w:pPr>
            <w:hyperlink r:id="rId20">
              <w:r>
                <w:rPr>
                  <w:rFonts w:ascii="Calibri" w:hAnsi="Calibri"/>
                  <w:color w:val="2E74B5"/>
                  <w:u w:val="single"/>
                  <w:sz w:val="18"/>
                </w:rPr>
                <w:t>Muhammad Asad</w:t>
              </w:r>
            </w:hyperlink>
          </w:p>
        </w:tc>
        <w:tc>
          <w:tcPr>
            <w:tcW w:type="dxa" w:w="2380"/>
            <w:tcMar>
              <w:top w:w="80" w:type="dxa"/>
              <w:bottom w:w="80" w:type="dxa"/>
              <w:start w:w="120" w:type="dxa"/>
              <w:end w:w="120" w:type="dxa"/>
            </w:tcMar>
            <w:vAlign w:val="top"/>
          </w:tcPr>
          <w:p>
            <w:pPr>
              <w:pStyle w:val="TableText"/>
            </w:pPr>
            <w:r>
              <w:rPr>
                <w:rFonts w:ascii="Calibri" w:hAnsi="Calibri" w:cs="Calibri"/>
                <w:b w:val="0"/>
                <w:i w:val="0"/>
                <w:color w:val="1E252B"/>
                <w:sz w:val="18"/>
              </w:rPr>
              <w:t>“turning away from all that is false”</w:t>
            </w:r>
          </w:p>
        </w:tc>
        <w:tc>
          <w:tcPr>
            <w:tcW w:type="dxa" w:w="5040"/>
            <w:tcMar>
              <w:top w:w="80" w:type="dxa"/>
              <w:bottom w:w="80" w:type="dxa"/>
              <w:start w:w="120" w:type="dxa"/>
              <w:end w:w="120" w:type="dxa"/>
            </w:tcMar>
            <w:vAlign w:val="top"/>
          </w:tcPr>
          <w:p>
            <w:pPr>
              <w:pStyle w:val="TableText"/>
            </w:pPr>
            <w:r>
              <w:rPr>
                <w:rFonts w:ascii="Calibri" w:hAnsi="Calibri" w:cs="Calibri"/>
                <w:b w:val="0"/>
                <w:i w:val="0"/>
                <w:color w:val="1E252B"/>
                <w:sz w:val="18"/>
              </w:rPr>
              <w:t xml:space="preserve">Asad expands </w:t>
            </w:r>
            <w:r>
              <w:rPr>
                <w:rFonts w:ascii="Calibri" w:hAnsi="Calibri" w:cs="Calibri"/>
                <w:b w:val="0"/>
                <w:i/>
                <w:color w:val="1E252B"/>
                <w:sz w:val="18"/>
              </w:rPr>
              <w:t>ḥunafāʾ</w:t>
            </w:r>
            <w:r>
              <w:rPr>
                <w:rFonts w:ascii="Calibri" w:hAnsi="Calibri" w:cs="Calibri"/>
                <w:b w:val="0"/>
                <w:i w:val="0"/>
                <w:color w:val="1E252B"/>
                <w:sz w:val="18"/>
              </w:rPr>
              <w:t xml:space="preserve"> into intellectual and spiritual rejection of falsehood, reads the pilgrimage signs broadly, and characteristically renders </w:t>
            </w:r>
            <w:r>
              <w:rPr>
                <w:rFonts w:ascii="Calibri" w:hAnsi="Calibri" w:cs="Calibri"/>
                <w:b w:val="0"/>
                <w:i/>
                <w:color w:val="1E252B"/>
                <w:sz w:val="18"/>
              </w:rPr>
              <w:t>islām</w:t>
            </w:r>
            <w:r>
              <w:rPr>
                <w:rFonts w:ascii="Calibri" w:hAnsi="Calibri" w:cs="Calibri"/>
                <w:b w:val="0"/>
                <w:i w:val="0"/>
                <w:color w:val="1E252B"/>
                <w:sz w:val="18"/>
              </w:rPr>
              <w:t xml:space="preserve"> as conscious self-surrender. His choices highlight moral psychology and universal religious meaning.</w:t>
            </w:r>
          </w:p>
        </w:tc>
      </w:tr>
      <w:tr>
        <w:trPr>
          <w:cantSplit/>
        </w:trPr>
        <w:tc>
          <w:tcPr>
            <w:tcW w:type="dxa" w:w="1940"/>
            <w:tcMar>
              <w:top w:w="80" w:type="dxa"/>
              <w:bottom w:w="80" w:type="dxa"/>
              <w:start w:w="120" w:type="dxa"/>
              <w:end w:w="120" w:type="dxa"/>
            </w:tcMar>
            <w:vAlign w:val="top"/>
          </w:tcPr>
          <w:p>
            <w:pPr>
              <w:pStyle w:val="TableText"/>
            </w:pPr>
            <w:hyperlink r:id="rId21">
              <w:r>
                <w:rPr>
                  <w:rFonts w:ascii="Calibri" w:hAnsi="Calibri"/>
                  <w:color w:val="2E74B5"/>
                  <w:u w:val="single"/>
                  <w:sz w:val="18"/>
                </w:rPr>
                <w:t>Mustafa Khattab, The Clear Quran</w:t>
              </w:r>
            </w:hyperlink>
          </w:p>
        </w:tc>
        <w:tc>
          <w:tcPr>
            <w:tcW w:type="dxa" w:w="2380"/>
            <w:tcMar>
              <w:top w:w="80" w:type="dxa"/>
              <w:bottom w:w="80" w:type="dxa"/>
              <w:start w:w="120" w:type="dxa"/>
              <w:end w:w="120" w:type="dxa"/>
            </w:tcMar>
            <w:vAlign w:val="top"/>
          </w:tcPr>
          <w:p>
            <w:pPr>
              <w:pStyle w:val="TableText"/>
            </w:pPr>
            <w:r>
              <w:rPr>
                <w:rFonts w:ascii="Calibri" w:hAnsi="Calibri" w:cs="Calibri"/>
                <w:b w:val="0"/>
                <w:i w:val="0"/>
                <w:color w:val="1E252B"/>
                <w:sz w:val="18"/>
              </w:rPr>
              <w:t>“be upright in devotion”</w:t>
            </w:r>
          </w:p>
        </w:tc>
        <w:tc>
          <w:tcPr>
            <w:tcW w:type="dxa" w:w="5040"/>
            <w:tcMar>
              <w:top w:w="80" w:type="dxa"/>
              <w:bottom w:w="80" w:type="dxa"/>
              <w:start w:w="120" w:type="dxa"/>
              <w:end w:w="120" w:type="dxa"/>
            </w:tcMar>
            <w:vAlign w:val="top"/>
          </w:tcPr>
          <w:p>
            <w:pPr>
              <w:pStyle w:val="TableText"/>
            </w:pPr>
            <w:r>
              <w:rPr>
                <w:rFonts w:ascii="Calibri" w:hAnsi="Calibri" w:cs="Calibri"/>
                <w:b w:val="0"/>
                <w:i w:val="0"/>
                <w:color w:val="1E252B"/>
                <w:sz w:val="18"/>
              </w:rPr>
              <w:t>Khattab uses accessible modern English, clarifies worship and divine will, and makes the heart the source of reverence. His rendering is especially readable, though some clarifying words go beyond lexical minimalism.</w:t>
            </w:r>
          </w:p>
        </w:tc>
      </w:tr>
    </w:tbl>
    <w:p>
      <w:pPr>
        <w:spacing w:before="80" w:after="0"/>
      </w:pPr>
    </w:p>
    <w:p>
      <w:pPr/>
      <w:r>
        <w:rPr>
          <w:rFonts w:ascii="Calibri" w:hAnsi="Calibri" w:cs="Calibri"/>
          <w:b w:val="0"/>
          <w:i w:val="0"/>
          <w:color w:val="1E252B"/>
          <w:sz w:val="22"/>
        </w:rPr>
        <w:t xml:space="preserve">Across all six, the main differences concern </w:t>
      </w:r>
      <w:r>
        <w:rPr>
          <w:rFonts w:ascii="Calibri" w:hAnsi="Calibri" w:cs="Calibri"/>
          <w:b w:val="0"/>
          <w:i/>
          <w:color w:val="1E252B"/>
          <w:sz w:val="22"/>
        </w:rPr>
        <w:t>ḥunafāʾ</w:t>
      </w:r>
      <w:r>
        <w:rPr>
          <w:rFonts w:ascii="Calibri" w:hAnsi="Calibri" w:cs="Calibri"/>
          <w:b w:val="0"/>
          <w:i w:val="0"/>
          <w:color w:val="1E252B"/>
          <w:sz w:val="22"/>
        </w:rPr>
        <w:t xml:space="preserve"> (upright, pure, true, inclining), </w:t>
      </w:r>
      <w:r>
        <w:rPr>
          <w:rFonts w:ascii="Calibri" w:hAnsi="Calibri" w:cs="Calibri"/>
          <w:b w:val="0"/>
          <w:i/>
          <w:color w:val="1E252B"/>
          <w:sz w:val="22"/>
        </w:rPr>
        <w:t>shaʿāʾir</w:t>
      </w:r>
      <w:r>
        <w:rPr>
          <w:rFonts w:ascii="Calibri" w:hAnsi="Calibri" w:cs="Calibri"/>
          <w:b w:val="0"/>
          <w:i w:val="0"/>
          <w:color w:val="1E252B"/>
          <w:sz w:val="22"/>
        </w:rPr>
        <w:t xml:space="preserve"> (symbols, rites, landmarks, sacred signs), </w:t>
      </w:r>
      <w:r>
        <w:rPr>
          <w:rFonts w:ascii="Calibri" w:hAnsi="Calibri" w:cs="Calibri"/>
          <w:b w:val="0"/>
          <w:i/>
          <w:color w:val="1E252B"/>
          <w:sz w:val="22"/>
        </w:rPr>
        <w:t>dīn</w:t>
      </w:r>
      <w:r>
        <w:rPr>
          <w:rFonts w:ascii="Calibri" w:hAnsi="Calibri" w:cs="Calibri"/>
          <w:b w:val="0"/>
          <w:i w:val="0"/>
          <w:color w:val="1E252B"/>
          <w:sz w:val="22"/>
        </w:rPr>
        <w:t xml:space="preserve"> (religion, way, submission), and </w:t>
      </w:r>
      <w:r>
        <w:rPr>
          <w:rFonts w:ascii="Calibri" w:hAnsi="Calibri" w:cs="Calibri"/>
          <w:b w:val="0"/>
          <w:i/>
          <w:color w:val="1E252B"/>
          <w:sz w:val="22"/>
        </w:rPr>
        <w:t>karhan</w:t>
      </w:r>
      <w:r>
        <w:rPr>
          <w:rFonts w:ascii="Calibri" w:hAnsi="Calibri" w:cs="Calibri"/>
          <w:b w:val="0"/>
          <w:i w:val="0"/>
          <w:color w:val="1E252B"/>
          <w:sz w:val="22"/>
        </w:rPr>
        <w:t xml:space="preserve"> (unwillingly, by compulsion, under constraint). None of these differences alters the central architecture: exclusive orientation to God, the ruin of divided ultimacy, inward reverence embodied in sacred practice, universal creaturely submission, and return for judgment.</w:t>
      </w:r>
    </w:p>
    <w:p>
      <w:pPr>
        <w:pStyle w:val="Heading1"/>
      </w:pPr>
      <w:r>
        <w:rPr>
          <w:rFonts w:ascii="Calibri" w:hAnsi="Calibri" w:cs="Calibri"/>
          <w:b/>
          <w:i w:val="0"/>
          <w:color w:val="2E74B5"/>
          <w:sz w:val="32"/>
        </w:rPr>
        <w:t>3. Why These Verses Belong Together</w:t>
      </w:r>
    </w:p>
    <w:p>
      <w:pPr/>
      <w:r>
        <w:rPr>
          <w:rFonts w:ascii="Calibri" w:hAnsi="Calibri" w:cs="Calibri"/>
          <w:b w:val="0"/>
          <w:i w:val="0"/>
          <w:color w:val="1E252B"/>
          <w:sz w:val="22"/>
        </w:rPr>
        <w:t>The verses are separated by nineteen sūrahs, yet they illuminate one another with unusual precision.</w:t>
      </w:r>
    </w:p>
    <w:p>
      <w:pPr/>
      <w:r>
        <w:rPr>
          <w:rFonts w:ascii="Calibri" w:hAnsi="Calibri" w:cs="Calibri"/>
          <w:b w:val="0"/>
          <w:i w:val="0"/>
          <w:color w:val="1E252B"/>
          <w:sz w:val="22"/>
        </w:rPr>
        <w:t xml:space="preserve">First, </w:t>
      </w:r>
      <w:r>
        <w:rPr>
          <w:rFonts w:ascii="Calibri" w:hAnsi="Calibri" w:cs="Calibri"/>
          <w:b/>
          <w:i w:val="0"/>
          <w:color w:val="1E252B"/>
          <w:sz w:val="22"/>
        </w:rPr>
        <w:t>3:83 supplies ontology</w:t>
      </w:r>
      <w:r>
        <w:rPr>
          <w:rFonts w:ascii="Calibri" w:hAnsi="Calibri" w:cs="Calibri"/>
          <w:b w:val="0"/>
          <w:i w:val="0"/>
          <w:color w:val="1E252B"/>
          <w:sz w:val="22"/>
        </w:rPr>
        <w:t>. Every finite being exists within a relation it did not invent: dependence upon God. Angels and willing believers embrace this order consciously; resistant creatures nevertheless remain subject to created nature, causality, mortality, divine decree, and final return. The verse is not saying that every human has freely chosen the same creed. It distinguishes willing from unwilling submission precisely because moral consent is real.</w:t>
      </w:r>
    </w:p>
    <w:p>
      <w:pPr/>
      <w:r>
        <w:rPr>
          <w:rFonts w:ascii="Calibri" w:hAnsi="Calibri" w:cs="Calibri"/>
          <w:b w:val="0"/>
          <w:i w:val="0"/>
          <w:color w:val="1E252B"/>
          <w:sz w:val="22"/>
        </w:rPr>
        <w:t xml:space="preserve">Second, </w:t>
      </w:r>
      <w:r>
        <w:rPr>
          <w:rFonts w:ascii="Calibri" w:hAnsi="Calibri" w:cs="Calibri"/>
          <w:b/>
          <w:i w:val="0"/>
          <w:color w:val="1E252B"/>
          <w:sz w:val="22"/>
        </w:rPr>
        <w:t>22:31 supplies existential diagnosis</w:t>
      </w:r>
      <w:r>
        <w:rPr>
          <w:rFonts w:ascii="Calibri" w:hAnsi="Calibri" w:cs="Calibri"/>
          <w:b w:val="0"/>
          <w:i w:val="0"/>
          <w:color w:val="1E252B"/>
          <w:sz w:val="22"/>
        </w:rPr>
        <w:t>. The human being can refuse to coordinate desire, allegiance, and worship around the Real. Shirk is therefore not merely an arithmetical mistake about how many gods exist. It is fragmentation of ultimacy. The fallen person is seized by competing forces or blown into remoteness because nothing finite can bear the weight of being ultimate.</w:t>
      </w:r>
    </w:p>
    <w:p>
      <w:pPr/>
      <w:r>
        <w:rPr>
          <w:rFonts w:ascii="Calibri" w:hAnsi="Calibri" w:cs="Calibri"/>
          <w:b w:val="0"/>
          <w:i w:val="0"/>
          <w:color w:val="1E252B"/>
          <w:sz w:val="22"/>
        </w:rPr>
        <w:t xml:space="preserve">Third, </w:t>
      </w:r>
      <w:r>
        <w:rPr>
          <w:rFonts w:ascii="Calibri" w:hAnsi="Calibri" w:cs="Calibri"/>
          <w:b/>
          <w:i w:val="0"/>
          <w:color w:val="1E252B"/>
          <w:sz w:val="22"/>
        </w:rPr>
        <w:t>22:32 supplies moral formation</w:t>
      </w:r>
      <w:r>
        <w:rPr>
          <w:rFonts w:ascii="Calibri" w:hAnsi="Calibri" w:cs="Calibri"/>
          <w:b w:val="0"/>
          <w:i w:val="0"/>
          <w:color w:val="1E252B"/>
          <w:sz w:val="22"/>
        </w:rPr>
        <w:t xml:space="preserve">. The heart’s </w:t>
      </w:r>
      <w:r>
        <w:rPr>
          <w:rFonts w:ascii="Calibri" w:hAnsi="Calibri" w:cs="Calibri"/>
          <w:b w:val="0"/>
          <w:i/>
          <w:color w:val="1E252B"/>
          <w:sz w:val="22"/>
        </w:rPr>
        <w:t>taqwā</w:t>
      </w:r>
      <w:r>
        <w:rPr>
          <w:rFonts w:ascii="Calibri" w:hAnsi="Calibri" w:cs="Calibri"/>
          <w:b w:val="0"/>
          <w:i w:val="0"/>
          <w:color w:val="1E252B"/>
          <w:sz w:val="22"/>
        </w:rPr>
        <w:t xml:space="preserve"> becomes visible in reverence for God’s signs. Pilgrimage, consecrated animals, sacred places, prayer, truthfulness, and other divinely marked practices train attention. The sign is not divine; confusing symbol and Source would repeat the very shirk condemned in 22:31. Yet a sign is not arbitrary because its meaning rests on divine appointment and the moral end it serves.</w:t>
      </w:r>
    </w:p>
    <w:p>
      <w:pPr/>
      <w:r>
        <w:rPr>
          <w:rFonts w:ascii="Calibri" w:hAnsi="Calibri" w:cs="Calibri"/>
          <w:b w:val="0"/>
          <w:i w:val="0"/>
          <w:color w:val="1E252B"/>
          <w:sz w:val="22"/>
        </w:rPr>
        <w:t>Together the movement is:</w:t>
      </w:r>
    </w:p>
    <w:p>
      <w:pPr>
        <w:numPr>
          <w:ilvl w:val="0"/>
          <w:numId w:val="11"/>
        </w:numPr>
        <w:spacing w:after="80"/>
        <w:ind w:left="540" w:hanging="279"/>
      </w:pPr>
      <w:r>
        <w:rPr>
          <w:rFonts w:ascii="Calibri" w:hAnsi="Calibri" w:cs="Calibri"/>
          <w:b w:val="0"/>
          <w:i w:val="0"/>
          <w:color w:val="1E252B"/>
          <w:sz w:val="22"/>
        </w:rPr>
        <w:t>Reality is ordered to God and returns to God.</w:t>
      </w:r>
    </w:p>
    <w:p>
      <w:pPr>
        <w:numPr>
          <w:ilvl w:val="0"/>
          <w:numId w:val="11"/>
        </w:numPr>
        <w:spacing w:after="80"/>
        <w:ind w:left="540" w:hanging="279"/>
      </w:pPr>
      <w:r>
        <w:rPr>
          <w:rFonts w:ascii="Calibri" w:hAnsi="Calibri" w:cs="Calibri"/>
          <w:b w:val="0"/>
          <w:i w:val="0"/>
          <w:color w:val="1E252B"/>
          <w:sz w:val="22"/>
        </w:rPr>
        <w:t>The free person may willingly align with that order or resist it.</w:t>
      </w:r>
    </w:p>
    <w:p>
      <w:pPr>
        <w:numPr>
          <w:ilvl w:val="0"/>
          <w:numId w:val="11"/>
        </w:numPr>
        <w:spacing w:after="80"/>
        <w:ind w:left="540" w:hanging="279"/>
      </w:pPr>
      <w:r>
        <w:rPr>
          <w:rFonts w:ascii="Calibri" w:hAnsi="Calibri" w:cs="Calibri"/>
          <w:b w:val="0"/>
          <w:i w:val="0"/>
          <w:color w:val="1E252B"/>
          <w:sz w:val="22"/>
        </w:rPr>
        <w:t>Divided ultimate allegiance disintegrates the moral self.</w:t>
      </w:r>
    </w:p>
    <w:p>
      <w:pPr>
        <w:numPr>
          <w:ilvl w:val="0"/>
          <w:numId w:val="11"/>
        </w:numPr>
        <w:spacing w:after="80"/>
        <w:ind w:left="540" w:hanging="279"/>
      </w:pPr>
      <w:r>
        <w:rPr>
          <w:rFonts w:ascii="Calibri" w:hAnsi="Calibri" w:cs="Calibri"/>
          <w:b w:val="0"/>
          <w:i w:val="0"/>
          <w:color w:val="1E252B"/>
          <w:sz w:val="22"/>
        </w:rPr>
        <w:t>Taqwā reunifies perception, intention, and conduct.</w:t>
      </w:r>
    </w:p>
    <w:p>
      <w:pPr>
        <w:numPr>
          <w:ilvl w:val="0"/>
          <w:numId w:val="11"/>
        </w:numPr>
        <w:spacing w:after="80"/>
        <w:ind w:left="540" w:hanging="279"/>
      </w:pPr>
      <w:r>
        <w:rPr>
          <w:rFonts w:ascii="Calibri" w:hAnsi="Calibri" w:cs="Calibri"/>
          <w:b w:val="0"/>
          <w:i w:val="0"/>
          <w:color w:val="1E252B"/>
          <w:sz w:val="22"/>
        </w:rPr>
        <w:t>Sacred signs embody and educate that inward orientation.</w:t>
      </w:r>
    </w:p>
    <w:p>
      <w:pPr>
        <w:numPr>
          <w:ilvl w:val="0"/>
          <w:numId w:val="11"/>
        </w:numPr>
        <w:spacing w:after="80"/>
        <w:ind w:left="540" w:hanging="279"/>
      </w:pPr>
      <w:r>
        <w:rPr>
          <w:rFonts w:ascii="Calibri" w:hAnsi="Calibri" w:cs="Calibri"/>
          <w:b w:val="0"/>
          <w:i w:val="0"/>
          <w:color w:val="1E252B"/>
          <w:sz w:val="22"/>
        </w:rPr>
        <w:t>Final return makes moral answerability more than social convention.</w:t>
      </w:r>
    </w:p>
    <w:p>
      <w:pPr/>
      <w:r>
        <w:rPr>
          <w:rFonts w:ascii="Calibri" w:hAnsi="Calibri" w:cs="Calibri"/>
          <w:b w:val="0"/>
          <w:i w:val="0"/>
          <w:color w:val="1E252B"/>
          <w:sz w:val="22"/>
        </w:rPr>
        <w:t>This is already close to a realist grammar. Reality has a moral structure the agent encounters; the agent does not create it merely by approving it.</w:t>
      </w:r>
    </w:p>
    <w:p>
      <w:pPr>
        <w:pStyle w:val="Heading1"/>
      </w:pPr>
      <w:r>
        <w:rPr>
          <w:rFonts w:ascii="Calibri" w:hAnsi="Calibri" w:cs="Calibri"/>
          <w:b/>
          <w:i w:val="0"/>
          <w:color w:val="2E74B5"/>
          <w:sz w:val="32"/>
        </w:rPr>
        <w:t>4. Context, Language, and Rhetoric</w:t>
      </w:r>
    </w:p>
    <w:p>
      <w:pPr>
        <w:pStyle w:val="Heading2"/>
      </w:pPr>
      <w:r>
        <w:rPr>
          <w:rFonts w:ascii="Calibri" w:hAnsi="Calibri" w:cs="Calibri"/>
          <w:b/>
          <w:i w:val="0"/>
          <w:color w:val="2E74B5"/>
          <w:sz w:val="26"/>
        </w:rPr>
        <w:t>4.1 The pilgrimage setting of 22:31–32</w:t>
      </w:r>
    </w:p>
    <w:p>
      <w:pPr/>
      <w:r>
        <w:rPr>
          <w:rFonts w:ascii="Calibri" w:hAnsi="Calibri" w:cs="Calibri"/>
          <w:b w:val="0"/>
          <w:i w:val="0"/>
          <w:color w:val="1E252B"/>
          <w:sz w:val="22"/>
        </w:rPr>
        <w:t xml:space="preserve">Sūrat al-Ḥajj 22:26–37 recalls Abraham, the purification of the Sacred House, the proclamation of pilgrimage, sacrifice, vows, and circumambulation. Verse 22:30 commands reverence for God’s sanctities and avoidance of idols and false speech. Then 22:31 demands </w:t>
      </w:r>
      <w:r>
        <w:rPr>
          <w:rFonts w:ascii="Calibri" w:hAnsi="Calibri" w:cs="Calibri"/>
          <w:b w:val="0"/>
          <w:i/>
          <w:color w:val="1E252B"/>
          <w:sz w:val="22"/>
        </w:rPr>
        <w:t>ḥunafāʾ lillāh</w:t>
      </w:r>
      <w:r>
        <w:rPr>
          <w:rFonts w:ascii="Calibri" w:hAnsi="Calibri" w:cs="Calibri"/>
          <w:b w:val="0"/>
          <w:i w:val="0"/>
          <w:color w:val="1E252B"/>
          <w:sz w:val="22"/>
        </w:rPr>
        <w:t xml:space="preserve">; 22:32 speaks of magnifying God’s </w:t>
      </w:r>
      <w:r>
        <w:rPr>
          <w:rFonts w:ascii="Calibri" w:hAnsi="Calibri" w:cs="Calibri"/>
          <w:b w:val="0"/>
          <w:i/>
          <w:color w:val="1E252B"/>
          <w:sz w:val="22"/>
        </w:rPr>
        <w:t>shaʿāʾir</w:t>
      </w:r>
      <w:r>
        <w:rPr>
          <w:rFonts w:ascii="Calibri" w:hAnsi="Calibri" w:cs="Calibri"/>
          <w:b w:val="0"/>
          <w:i w:val="0"/>
          <w:color w:val="1E252B"/>
          <w:sz w:val="22"/>
        </w:rPr>
        <w:t xml:space="preserve">; 22:37 later declares that neither sacrificial flesh nor blood reaches God, but </w:t>
      </w:r>
      <w:r>
        <w:rPr>
          <w:rFonts w:ascii="Calibri" w:hAnsi="Calibri" w:cs="Calibri"/>
          <w:b w:val="0"/>
          <w:i/>
          <w:color w:val="1E252B"/>
          <w:sz w:val="22"/>
        </w:rPr>
        <w:t>taqwā</w:t>
      </w:r>
      <w:r>
        <w:rPr>
          <w:rFonts w:ascii="Calibri" w:hAnsi="Calibri" w:cs="Calibri"/>
          <w:b w:val="0"/>
          <w:i w:val="0"/>
          <w:color w:val="1E252B"/>
          <w:sz w:val="22"/>
        </w:rPr>
        <w:t xml:space="preserve"> does. The unit therefore refuses both idolatry and empty ritualism.</w:t>
      </w:r>
    </w:p>
    <w:p>
      <w:pPr/>
      <w:r>
        <w:rPr>
          <w:rFonts w:ascii="Calibri" w:hAnsi="Calibri" w:cs="Calibri"/>
          <w:b w:val="0"/>
          <w:i w:val="0"/>
          <w:color w:val="1E252B"/>
          <w:sz w:val="22"/>
        </w:rPr>
        <w:t>The coordination of idols with false speech in 22:30 is ethically revealing. Al-Rāzī treats shirk as the “head” of falsehood, while Ibn Kathīr transmits the connection between associating partners and false witness. Worship and truth-telling are not separate compartments. A false center generates false speech; truthful worship calls the whole moral personality toward integrity.</w:t>
      </w:r>
    </w:p>
    <w:p>
      <w:pPr>
        <w:pStyle w:val="Heading2"/>
      </w:pPr>
      <w:r>
        <w:rPr>
          <w:rFonts w:ascii="Calibri" w:hAnsi="Calibri" w:cs="Calibri"/>
          <w:b/>
          <w:i w:val="0"/>
          <w:color w:val="2E74B5"/>
          <w:sz w:val="26"/>
        </w:rPr>
        <w:t>4.2 Ḥunafāʾ: the posture of undivided truth</w:t>
      </w:r>
    </w:p>
    <w:p>
      <w:pPr/>
      <w:r>
        <w:rPr>
          <w:rFonts w:ascii="Calibri" w:hAnsi="Calibri" w:cs="Calibri"/>
          <w:b w:val="0"/>
          <w:i w:val="0"/>
          <w:color w:val="1E252B"/>
          <w:sz w:val="22"/>
        </w:rPr>
        <w:t xml:space="preserve">The plural </w:t>
      </w:r>
      <w:r>
        <w:rPr>
          <w:rFonts w:ascii="Calibri" w:hAnsi="Calibri" w:cs="Calibri"/>
          <w:b w:val="0"/>
          <w:i/>
          <w:color w:val="1E252B"/>
          <w:sz w:val="22"/>
        </w:rPr>
        <w:t>ḥunafāʾ</w:t>
      </w:r>
      <w:r>
        <w:rPr>
          <w:rFonts w:ascii="Calibri" w:hAnsi="Calibri" w:cs="Calibri"/>
          <w:b w:val="0"/>
          <w:i w:val="0"/>
          <w:color w:val="1E252B"/>
          <w:sz w:val="22"/>
        </w:rPr>
        <w:t xml:space="preserve"> comes from </w:t>
      </w:r>
      <w:r>
        <w:rPr>
          <w:rFonts w:ascii="Calibri" w:hAnsi="Calibri" w:cs="Calibri"/>
          <w:b w:val="0"/>
          <w:i/>
          <w:color w:val="1E252B"/>
          <w:sz w:val="22"/>
        </w:rPr>
        <w:t>ḥanīf</w:t>
      </w:r>
      <w:r>
        <w:rPr>
          <w:rFonts w:ascii="Calibri" w:hAnsi="Calibri" w:cs="Calibri"/>
          <w:b w:val="0"/>
          <w:i w:val="0"/>
          <w:color w:val="1E252B"/>
          <w:sz w:val="22"/>
        </w:rPr>
        <w:t xml:space="preserve">, conventionally describing one who turns away from crookedness toward upright monotheism, with Abraham as the Qur’anic exemplar. </w:t>
      </w:r>
      <w:hyperlink r:id="rId22">
        <w:r>
          <w:rPr>
            <w:rFonts w:ascii="Calibri" w:hAnsi="Calibri"/>
            <w:color w:val="2E74B5"/>
            <w:u w:val="single"/>
            <w:sz w:val="22"/>
          </w:rPr>
          <w:t>Al-Ṭabarī on 22:31</w:t>
        </w:r>
      </w:hyperlink>
      <w:r>
        <w:rPr>
          <w:rFonts w:ascii="Calibri" w:hAnsi="Calibri" w:cs="Calibri"/>
          <w:b w:val="0"/>
          <w:i w:val="0"/>
          <w:color w:val="1E252B"/>
          <w:sz w:val="22"/>
        </w:rPr>
        <w:t xml:space="preserve"> emphasizes exclusive obedience and sincerity; </w:t>
      </w:r>
      <w:hyperlink r:id="rId23">
        <w:r>
          <w:rPr>
            <w:rFonts w:ascii="Calibri" w:hAnsi="Calibri"/>
            <w:color w:val="2E74B5"/>
            <w:u w:val="single"/>
            <w:sz w:val="22"/>
          </w:rPr>
          <w:t>Ibn Kathīr</w:t>
        </w:r>
      </w:hyperlink>
      <w:r>
        <w:rPr>
          <w:rFonts w:ascii="Calibri" w:hAnsi="Calibri" w:cs="Calibri"/>
          <w:b w:val="0"/>
          <w:i w:val="0"/>
          <w:color w:val="1E252B"/>
          <w:sz w:val="22"/>
        </w:rPr>
        <w:t xml:space="preserve"> explains it as turning from falsehood to truth; </w:t>
      </w:r>
      <w:hyperlink r:id="rId24">
        <w:r>
          <w:rPr>
            <w:rFonts w:ascii="Calibri" w:hAnsi="Calibri"/>
            <w:color w:val="2E74B5"/>
            <w:u w:val="single"/>
            <w:sz w:val="22"/>
          </w:rPr>
          <w:t>al-Qurṭubī</w:t>
        </w:r>
      </w:hyperlink>
      <w:r>
        <w:rPr>
          <w:rFonts w:ascii="Calibri" w:hAnsi="Calibri" w:cs="Calibri"/>
          <w:b w:val="0"/>
          <w:i w:val="0"/>
          <w:color w:val="1E252B"/>
          <w:sz w:val="22"/>
        </w:rPr>
        <w:t xml:space="preserve"> links it with being upright Muslims inclined to truth.</w:t>
      </w:r>
    </w:p>
    <w:p>
      <w:pPr/>
      <w:r>
        <w:rPr>
          <w:rFonts w:ascii="Calibri" w:hAnsi="Calibri" w:cs="Calibri"/>
          <w:b w:val="0"/>
          <w:i w:val="0"/>
          <w:color w:val="1E252B"/>
          <w:sz w:val="22"/>
        </w:rPr>
        <w:t xml:space="preserve">The word names more than a proposition believed. It describes the direction of a life. In metaethical language, cognition, desire, and action are coordinated around an objective pole. A person may know a fact without loving it, or desire a good without acting on it; </w:t>
      </w:r>
      <w:r>
        <w:rPr>
          <w:rFonts w:ascii="Calibri" w:hAnsi="Calibri" w:cs="Calibri"/>
          <w:b w:val="0"/>
          <w:i/>
          <w:color w:val="1E252B"/>
          <w:sz w:val="22"/>
        </w:rPr>
        <w:t>ḥanīf</w:t>
      </w:r>
      <w:r>
        <w:rPr>
          <w:rFonts w:ascii="Calibri" w:hAnsi="Calibri" w:cs="Calibri"/>
          <w:b w:val="0"/>
          <w:i w:val="0"/>
          <w:color w:val="1E252B"/>
          <w:sz w:val="22"/>
        </w:rPr>
        <w:t xml:space="preserve"> devotion seeks integrity across all three.</w:t>
      </w:r>
    </w:p>
    <w:p>
      <w:pPr>
        <w:pStyle w:val="Heading2"/>
      </w:pPr>
      <w:r>
        <w:rPr>
          <w:rFonts w:ascii="Calibri" w:hAnsi="Calibri" w:cs="Calibri"/>
          <w:b/>
          <w:i w:val="0"/>
          <w:color w:val="2E74B5"/>
          <w:sz w:val="26"/>
        </w:rPr>
        <w:t>4.3 The composite parable of falling</w:t>
      </w:r>
    </w:p>
    <w:p>
      <w:pPr/>
      <w:r>
        <w:rPr>
          <w:rFonts w:ascii="Calibri" w:hAnsi="Calibri" w:cs="Calibri"/>
          <w:b w:val="0"/>
          <w:i w:val="0"/>
          <w:color w:val="1E252B"/>
          <w:sz w:val="22"/>
        </w:rPr>
        <w:t xml:space="preserve">The grammar offers two outcomes after the fall: birds snatch the person away, </w:t>
      </w:r>
      <w:r>
        <w:rPr>
          <w:rFonts w:ascii="Calibri" w:hAnsi="Calibri" w:cs="Calibri"/>
          <w:b/>
          <w:i w:val="0"/>
          <w:color w:val="1E252B"/>
          <w:sz w:val="22"/>
        </w:rPr>
        <w:t>or</w:t>
      </w:r>
      <w:r>
        <w:rPr>
          <w:rFonts w:ascii="Calibri" w:hAnsi="Calibri" w:cs="Calibri"/>
          <w:b w:val="0"/>
          <w:i w:val="0"/>
          <w:color w:val="1E252B"/>
          <w:sz w:val="22"/>
        </w:rPr>
        <w:t xml:space="preserve"> wind hurls him into a remote abyss. </w:t>
      </w:r>
      <w:hyperlink r:id="rId25">
        <w:r>
          <w:rPr>
            <w:rFonts w:ascii="Calibri" w:hAnsi="Calibri"/>
            <w:color w:val="2E74B5"/>
            <w:u w:val="single"/>
            <w:sz w:val="22"/>
          </w:rPr>
          <w:t>Al-Rāzī</w:t>
        </w:r>
      </w:hyperlink>
      <w:r>
        <w:rPr>
          <w:rFonts w:ascii="Calibri" w:hAnsi="Calibri" w:cs="Calibri"/>
          <w:b w:val="0"/>
          <w:i w:val="0"/>
          <w:color w:val="1E252B"/>
          <w:sz w:val="22"/>
        </w:rPr>
        <w:t xml:space="preserve"> treats the imagery as a composite likeness. Faith is elevated like the sky; departure from it is a fall; predatory birds resemble passions that tear thought apart; the wind resembles satanic force carrying the person into settled remoteness. Al-Ṭabarī and Ibn Kathīr emphasize destruction and extreme distance from guidance. Al-Qurṭubī stresses helplessness: the falling person no longer controls the forces acting upon him.</w:t>
      </w:r>
    </w:p>
    <w:p>
      <w:pPr/>
      <w:hyperlink r:id="rId26">
        <w:r>
          <w:rPr>
            <w:rFonts w:ascii="Calibri" w:hAnsi="Calibri"/>
            <w:color w:val="2E74B5"/>
            <w:u w:val="single"/>
            <w:sz w:val="22"/>
          </w:rPr>
          <w:t>Ibn ʿĀshūr</w:t>
        </w:r>
      </w:hyperlink>
      <w:r>
        <w:rPr>
          <w:rFonts w:ascii="Calibri" w:hAnsi="Calibri" w:cs="Calibri"/>
          <w:b w:val="0"/>
          <w:i w:val="0"/>
          <w:color w:val="1E252B"/>
          <w:sz w:val="22"/>
        </w:rPr>
        <w:t xml:space="preserve"> makes the psychological point especially sharply: the fall is from innate faith, the birds image competing whims, and the wind images a passion that carries one into a far and settled error. </w:t>
      </w:r>
      <w:hyperlink r:id="rId27">
        <w:r>
          <w:rPr>
            <w:rFonts w:ascii="Calibri" w:hAnsi="Calibri"/>
            <w:color w:val="2E74B5"/>
            <w:u w:val="single"/>
            <w:sz w:val="22"/>
          </w:rPr>
          <w:t>Mawdūdī</w:t>
        </w:r>
      </w:hyperlink>
      <w:r>
        <w:rPr>
          <w:rFonts w:ascii="Calibri" w:hAnsi="Calibri" w:cs="Calibri"/>
          <w:b w:val="0"/>
          <w:i w:val="0"/>
          <w:color w:val="1E252B"/>
          <w:sz w:val="22"/>
        </w:rPr>
        <w:t xml:space="preserve"> similarly reads the sky as humanity’s natural state of servitude, with misleading agents and ungoverned impulses completing the fall.</w:t>
      </w:r>
    </w:p>
    <w:p>
      <w:pPr/>
      <w:r>
        <w:rPr>
          <w:rFonts w:ascii="Calibri" w:hAnsi="Calibri" w:cs="Calibri"/>
          <w:b w:val="0"/>
          <w:i w:val="0"/>
          <w:color w:val="1E252B"/>
          <w:sz w:val="22"/>
        </w:rPr>
        <w:t>Applied philosophically, the image does not prove moral realism by itself. It supplies a phenomenology of what happens when no good is permitted categorical authority. Appetite, faction, charisma, fear, market, tribe, nation, and self-image compete to occupy the empty center. This is an analogy drawn from the verse, not a claim that the classical exegetes were debating contemporary metaethics.</w:t>
      </w:r>
    </w:p>
    <w:p>
      <w:pPr>
        <w:pStyle w:val="Heading2"/>
      </w:pPr>
      <w:r>
        <w:rPr>
          <w:rFonts w:ascii="Calibri" w:hAnsi="Calibri" w:cs="Calibri"/>
          <w:b/>
          <w:i w:val="0"/>
          <w:color w:val="2E74B5"/>
          <w:sz w:val="26"/>
        </w:rPr>
        <w:t>4.4 Shaʿāʾir: signs that educate perception</w:t>
      </w:r>
    </w:p>
    <w:p>
      <w:pPr/>
      <w:r>
        <w:rPr>
          <w:rFonts w:ascii="Calibri" w:hAnsi="Calibri" w:cs="Calibri"/>
          <w:b w:val="0"/>
          <w:i/>
          <w:color w:val="1E252B"/>
          <w:sz w:val="22"/>
        </w:rPr>
        <w:t>Shaʿāʾir</w:t>
      </w:r>
      <w:r>
        <w:rPr>
          <w:rFonts w:ascii="Calibri" w:hAnsi="Calibri" w:cs="Calibri"/>
          <w:b w:val="0"/>
          <w:i w:val="0"/>
          <w:color w:val="1E252B"/>
          <w:sz w:val="22"/>
        </w:rPr>
        <w:t xml:space="preserve"> is the plural of </w:t>
      </w:r>
      <w:r>
        <w:rPr>
          <w:rFonts w:ascii="Calibri" w:hAnsi="Calibri" w:cs="Calibri"/>
          <w:b w:val="0"/>
          <w:i/>
          <w:color w:val="1E252B"/>
          <w:sz w:val="22"/>
        </w:rPr>
        <w:t>shaʿīrah</w:t>
      </w:r>
      <w:r>
        <w:rPr>
          <w:rFonts w:ascii="Calibri" w:hAnsi="Calibri" w:cs="Calibri"/>
          <w:b w:val="0"/>
          <w:i w:val="0"/>
          <w:color w:val="1E252B"/>
          <w:sz w:val="22"/>
        </w:rPr>
        <w:t xml:space="preserve">: a marked, recognizable sign, particularly one associated with worship. The root is related to noticing or becoming aware. </w:t>
      </w:r>
      <w:hyperlink r:id="rId28">
        <w:r>
          <w:rPr>
            <w:rFonts w:ascii="Calibri" w:hAnsi="Calibri"/>
            <w:color w:val="2E74B5"/>
            <w:u w:val="single"/>
            <w:sz w:val="22"/>
          </w:rPr>
          <w:t>Al-Ṭabarī on 22:32</w:t>
        </w:r>
      </w:hyperlink>
      <w:r>
        <w:rPr>
          <w:rFonts w:ascii="Calibri" w:hAnsi="Calibri" w:cs="Calibri"/>
          <w:b w:val="0"/>
          <w:i w:val="0"/>
          <w:color w:val="1E252B"/>
          <w:sz w:val="22"/>
        </w:rPr>
        <w:t xml:space="preserve"> prefers a broad sense within the pilgrimage complex while including well-kept sacrificial animals. </w:t>
      </w:r>
      <w:hyperlink r:id="rId29">
        <w:r>
          <w:rPr>
            <w:rFonts w:ascii="Calibri" w:hAnsi="Calibri"/>
            <w:color w:val="2E74B5"/>
            <w:u w:val="single"/>
            <w:sz w:val="22"/>
          </w:rPr>
          <w:t>Al-Qurṭubī</w:t>
        </w:r>
      </w:hyperlink>
      <w:r>
        <w:rPr>
          <w:rFonts w:ascii="Calibri" w:hAnsi="Calibri" w:cs="Calibri"/>
          <w:b w:val="0"/>
          <w:i w:val="0"/>
          <w:color w:val="1E252B"/>
          <w:sz w:val="22"/>
        </w:rPr>
        <w:t xml:space="preserve"> calls such signs markers of God’s religion, especially Hajj. </w:t>
      </w:r>
      <w:hyperlink r:id="rId30">
        <w:r>
          <w:rPr>
            <w:rFonts w:ascii="Calibri" w:hAnsi="Calibri"/>
            <w:color w:val="2E74B5"/>
            <w:u w:val="single"/>
            <w:sz w:val="22"/>
          </w:rPr>
          <w:t>Ibn Kathīr</w:t>
        </w:r>
      </w:hyperlink>
      <w:r>
        <w:rPr>
          <w:rFonts w:ascii="Calibri" w:hAnsi="Calibri" w:cs="Calibri"/>
          <w:b w:val="0"/>
          <w:i w:val="0"/>
          <w:color w:val="1E252B"/>
          <w:sz w:val="22"/>
        </w:rPr>
        <w:t xml:space="preserve"> includes divine commands and sacrificial animals.</w:t>
      </w:r>
    </w:p>
    <w:p>
      <w:pPr/>
      <w:r>
        <w:rPr>
          <w:rFonts w:ascii="Calibri" w:hAnsi="Calibri" w:cs="Calibri"/>
          <w:b w:val="0"/>
          <w:i w:val="0"/>
          <w:color w:val="1E252B"/>
          <w:sz w:val="22"/>
        </w:rPr>
        <w:t>Al-Rāzī preserves several scopes: all acts of worship, the rites of pilgrimage, or sacrificial animals in particular. His decisive observation is that true magnification belongs to the heart; an outward display can be hypocritical, but inner conviction of God’s greatness generates sincere reverence. Ibn ʿĀshūr likewise links the “sign” to consciousness and explains that inner belief produces outward conduct.</w:t>
      </w:r>
    </w:p>
    <w:p>
      <w:pPr/>
      <w:r>
        <w:rPr>
          <w:rFonts w:ascii="Calibri" w:hAnsi="Calibri" w:cs="Calibri"/>
          <w:b w:val="0"/>
          <w:i w:val="0"/>
          <w:color w:val="1E252B"/>
          <w:sz w:val="22"/>
        </w:rPr>
        <w:t xml:space="preserve">The verse therefore avoids two opposite errors. </w:t>
      </w:r>
      <w:r>
        <w:rPr>
          <w:rFonts w:ascii="Calibri" w:hAnsi="Calibri" w:cs="Calibri"/>
          <w:b/>
          <w:i w:val="0"/>
          <w:color w:val="1E252B"/>
          <w:sz w:val="22"/>
        </w:rPr>
        <w:t>Ritual positivism</w:t>
      </w:r>
      <w:r>
        <w:rPr>
          <w:rFonts w:ascii="Calibri" w:hAnsi="Calibri" w:cs="Calibri"/>
          <w:b w:val="0"/>
          <w:i w:val="0"/>
          <w:color w:val="1E252B"/>
          <w:sz w:val="22"/>
        </w:rPr>
        <w:t xml:space="preserve"> treats an act as spiritually valuable merely because it is performed. </w:t>
      </w:r>
      <w:r>
        <w:rPr>
          <w:rFonts w:ascii="Calibri" w:hAnsi="Calibri" w:cs="Calibri"/>
          <w:b/>
          <w:i w:val="0"/>
          <w:color w:val="1E252B"/>
          <w:sz w:val="22"/>
        </w:rPr>
        <w:t>Expressive subjectivism</w:t>
      </w:r>
      <w:r>
        <w:rPr>
          <w:rFonts w:ascii="Calibri" w:hAnsi="Calibri" w:cs="Calibri"/>
          <w:b w:val="0"/>
          <w:i w:val="0"/>
          <w:color w:val="1E252B"/>
          <w:sz w:val="22"/>
        </w:rPr>
        <w:t xml:space="preserve"> treats the act as valuable merely because the performer feels it deeply. The Qur’an makes God the appointer of the sign, </w:t>
      </w:r>
      <w:r>
        <w:rPr>
          <w:rFonts w:ascii="Calibri" w:hAnsi="Calibri" w:cs="Calibri"/>
          <w:b w:val="0"/>
          <w:i/>
          <w:color w:val="1E252B"/>
          <w:sz w:val="22"/>
        </w:rPr>
        <w:t>taqwā</w:t>
      </w:r>
      <w:r>
        <w:rPr>
          <w:rFonts w:ascii="Calibri" w:hAnsi="Calibri" w:cs="Calibri"/>
          <w:b w:val="0"/>
          <w:i w:val="0"/>
          <w:color w:val="1E252B"/>
          <w:sz w:val="22"/>
        </w:rPr>
        <w:t xml:space="preserve"> the inward disposition, and reverent action the embodied response. Objective meaning, subjective appropriation, and public practice cooperate without collapsing into one another.</w:t>
      </w:r>
    </w:p>
    <w:p>
      <w:pPr>
        <w:pStyle w:val="Heading2"/>
      </w:pPr>
      <w:r>
        <w:rPr>
          <w:rFonts w:ascii="Calibri" w:hAnsi="Calibri" w:cs="Calibri"/>
          <w:b/>
          <w:i w:val="0"/>
          <w:color w:val="2E74B5"/>
          <w:sz w:val="26"/>
        </w:rPr>
        <w:t>4.5 Dīn, aslama, ṭawʿan, karhan, and return</w:t>
      </w:r>
    </w:p>
    <w:p>
      <w:pPr/>
      <w:r>
        <w:rPr>
          <w:rFonts w:ascii="Calibri" w:hAnsi="Calibri" w:cs="Calibri"/>
          <w:b w:val="0"/>
          <w:i w:val="0"/>
          <w:color w:val="1E252B"/>
          <w:sz w:val="22"/>
        </w:rPr>
        <w:t xml:space="preserve">In 3:83, </w:t>
      </w:r>
      <w:r>
        <w:rPr>
          <w:rFonts w:ascii="Calibri" w:hAnsi="Calibri" w:cs="Calibri"/>
          <w:b w:val="0"/>
          <w:i/>
          <w:color w:val="1E252B"/>
          <w:sz w:val="22"/>
        </w:rPr>
        <w:t>dīn</w:t>
      </w:r>
      <w:r>
        <w:rPr>
          <w:rFonts w:ascii="Calibri" w:hAnsi="Calibri" w:cs="Calibri"/>
          <w:b w:val="0"/>
          <w:i w:val="0"/>
          <w:color w:val="1E252B"/>
          <w:sz w:val="22"/>
        </w:rPr>
        <w:t xml:space="preserve"> includes religion but also ordered obedience, allegiance, judgment, and a comprehensive way. </w:t>
      </w:r>
      <w:r>
        <w:rPr>
          <w:rFonts w:ascii="Calibri" w:hAnsi="Calibri" w:cs="Calibri"/>
          <w:b w:val="0"/>
          <w:i/>
          <w:color w:val="1E252B"/>
          <w:sz w:val="22"/>
        </w:rPr>
        <w:t>Aslama</w:t>
      </w:r>
      <w:r>
        <w:rPr>
          <w:rFonts w:ascii="Calibri" w:hAnsi="Calibri" w:cs="Calibri"/>
          <w:b w:val="0"/>
          <w:i w:val="0"/>
          <w:color w:val="1E252B"/>
          <w:sz w:val="22"/>
        </w:rPr>
        <w:t xml:space="preserve"> means to surrender or submit; the clause uses the same root from which </w:t>
      </w:r>
      <w:r>
        <w:rPr>
          <w:rFonts w:ascii="Calibri" w:hAnsi="Calibri" w:cs="Calibri"/>
          <w:b w:val="0"/>
          <w:i/>
          <w:color w:val="1E252B"/>
          <w:sz w:val="22"/>
        </w:rPr>
        <w:t>islām</w:t>
      </w:r>
      <w:r>
        <w:rPr>
          <w:rFonts w:ascii="Calibri" w:hAnsi="Calibri" w:cs="Calibri"/>
          <w:b w:val="0"/>
          <w:i w:val="0"/>
          <w:color w:val="1E252B"/>
          <w:sz w:val="22"/>
        </w:rPr>
        <w:t xml:space="preserve"> is formed. </w:t>
      </w:r>
      <w:r>
        <w:rPr>
          <w:rFonts w:ascii="Calibri" w:hAnsi="Calibri" w:cs="Calibri"/>
          <w:b w:val="0"/>
          <w:i/>
          <w:color w:val="1E252B"/>
          <w:sz w:val="22"/>
        </w:rPr>
        <w:t>Ṭawʿan</w:t>
      </w:r>
      <w:r>
        <w:rPr>
          <w:rFonts w:ascii="Calibri" w:hAnsi="Calibri" w:cs="Calibri"/>
          <w:b w:val="0"/>
          <w:i w:val="0"/>
          <w:color w:val="1E252B"/>
          <w:sz w:val="22"/>
        </w:rPr>
        <w:t xml:space="preserve"> indicates willing compliance; </w:t>
      </w:r>
      <w:r>
        <w:rPr>
          <w:rFonts w:ascii="Calibri" w:hAnsi="Calibri" w:cs="Calibri"/>
          <w:b w:val="0"/>
          <w:i/>
          <w:color w:val="1E252B"/>
          <w:sz w:val="22"/>
        </w:rPr>
        <w:t>karhan</w:t>
      </w:r>
      <w:r>
        <w:rPr>
          <w:rFonts w:ascii="Calibri" w:hAnsi="Calibri" w:cs="Calibri"/>
          <w:b w:val="0"/>
          <w:i w:val="0"/>
          <w:color w:val="1E252B"/>
          <w:sz w:val="22"/>
        </w:rPr>
        <w:t xml:space="preserve"> indicates constraint or unwillingness. “To Him they shall be returned” supplies the eschatological key.</w:t>
      </w:r>
    </w:p>
    <w:p>
      <w:pPr/>
      <w:hyperlink r:id="rId31">
        <w:r>
          <w:rPr>
            <w:rFonts w:ascii="Calibri" w:hAnsi="Calibri"/>
            <w:color w:val="2E74B5"/>
            <w:u w:val="single"/>
            <w:sz w:val="22"/>
          </w:rPr>
          <w:t>Al-Ṭabarī</w:t>
        </w:r>
      </w:hyperlink>
      <w:r>
        <w:rPr>
          <w:rFonts w:ascii="Calibri" w:hAnsi="Calibri" w:cs="Calibri"/>
          <w:b w:val="0"/>
          <w:i w:val="0"/>
          <w:color w:val="1E252B"/>
          <w:sz w:val="22"/>
        </w:rPr>
        <w:t xml:space="preserve"> records several explanations of unwilling submission: acknowledgment of the Creator even amid shirk, the primordial covenant, shadows’ prostration, life under God’s will, and the compulsion of death. His controlling sense is that all creatures are humbled under God’s authority and return for recompense. </w:t>
      </w:r>
      <w:hyperlink r:id="rId32">
        <w:r>
          <w:rPr>
            <w:rFonts w:ascii="Calibri" w:hAnsi="Calibri"/>
            <w:color w:val="2E74B5"/>
            <w:u w:val="single"/>
            <w:sz w:val="22"/>
          </w:rPr>
          <w:t>Ibn Kathīr</w:t>
        </w:r>
      </w:hyperlink>
      <w:r>
        <w:rPr>
          <w:rFonts w:ascii="Calibri" w:hAnsi="Calibri" w:cs="Calibri"/>
          <w:b w:val="0"/>
          <w:i w:val="0"/>
          <w:color w:val="1E252B"/>
          <w:sz w:val="22"/>
        </w:rPr>
        <w:t xml:space="preserve"> distinguishes the believer, submitted inwardly and outwardly, from the unbeliever who nevertheless remains under God’s governance and cannot resist His ultimate sovereignty. He explicitly says the general meaning is stronger than a report about captives led in chains.</w:t>
      </w:r>
    </w:p>
    <w:p>
      <w:pPr/>
      <w:hyperlink r:id="rId33">
        <w:r>
          <w:rPr>
            <w:rFonts w:ascii="Calibri" w:hAnsi="Calibri"/>
            <w:color w:val="2E74B5"/>
            <w:u w:val="single"/>
            <w:sz w:val="22"/>
          </w:rPr>
          <w:t>Al-Qurṭubī</w:t>
        </w:r>
      </w:hyperlink>
      <w:r>
        <w:rPr>
          <w:rFonts w:ascii="Calibri" w:hAnsi="Calibri" w:cs="Calibri"/>
          <w:b w:val="0"/>
          <w:i w:val="0"/>
          <w:color w:val="1E252B"/>
          <w:sz w:val="22"/>
        </w:rPr>
        <w:t xml:space="preserve"> reads creation as constrained by its created nature and decree while allowing the contrast between easy and resistant compliance. </w:t>
      </w:r>
      <w:hyperlink r:id="rId34">
        <w:r>
          <w:rPr>
            <w:rFonts w:ascii="Calibri" w:hAnsi="Calibri"/>
            <w:color w:val="2E74B5"/>
            <w:u w:val="single"/>
            <w:sz w:val="22"/>
          </w:rPr>
          <w:t>Al-Rāzī</w:t>
        </w:r>
      </w:hyperlink>
      <w:r>
        <w:rPr>
          <w:rFonts w:ascii="Calibri" w:hAnsi="Calibri" w:cs="Calibri"/>
          <w:b w:val="0"/>
          <w:i w:val="0"/>
          <w:color w:val="1E252B"/>
          <w:sz w:val="22"/>
        </w:rPr>
        <w:t xml:space="preserve"> gives the most philosophically powerful account: everything other than God is contingent in itself and depends upon God for existence and nonexistence. Every finite being is therefore maximally submitted at the level of being, whether or not a rational agent submits morally by choice. The exclusivity of “to Him” points, for al-Rāzī, toward the unique Necessary Existent.</w:t>
      </w:r>
    </w:p>
    <w:p>
      <w:pPr/>
      <w:r>
        <w:rPr>
          <w:rFonts w:ascii="Calibri" w:hAnsi="Calibri" w:cs="Calibri"/>
          <w:b w:val="0"/>
          <w:i w:val="0"/>
          <w:color w:val="1E252B"/>
          <w:sz w:val="22"/>
        </w:rPr>
        <w:t xml:space="preserve">This ontological submission does </w:t>
      </w:r>
      <w:r>
        <w:rPr>
          <w:rFonts w:ascii="Calibri" w:hAnsi="Calibri" w:cs="Calibri"/>
          <w:b/>
          <w:i w:val="0"/>
          <w:color w:val="1E252B"/>
          <w:sz w:val="22"/>
        </w:rPr>
        <w:t>not</w:t>
      </w:r>
      <w:r>
        <w:rPr>
          <w:rFonts w:ascii="Calibri" w:hAnsi="Calibri" w:cs="Calibri"/>
          <w:b w:val="0"/>
          <w:i w:val="0"/>
          <w:color w:val="1E252B"/>
          <w:sz w:val="22"/>
        </w:rPr>
        <w:t xml:space="preserve"> authorize forced conversion. If </w:t>
      </w:r>
      <w:r>
        <w:rPr>
          <w:rFonts w:ascii="Calibri" w:hAnsi="Calibri" w:cs="Calibri"/>
          <w:b w:val="0"/>
          <w:i/>
          <w:color w:val="1E252B"/>
          <w:sz w:val="22"/>
        </w:rPr>
        <w:t>karhan</w:t>
      </w:r>
      <w:r>
        <w:rPr>
          <w:rFonts w:ascii="Calibri" w:hAnsi="Calibri" w:cs="Calibri"/>
          <w:b w:val="0"/>
          <w:i w:val="0"/>
          <w:color w:val="1E252B"/>
          <w:sz w:val="22"/>
        </w:rPr>
        <w:t xml:space="preserve"> meant that coercion creates genuine faith, the verse’s contrast between willing and unwilling submission would be morally unintelligible. Classical comments center created dependence, providence, death, evidence, and judgment. The Qur’an elsewhere says there is no compulsion in religion (2:256). The point of 3:83 is that no creature can secede from reality; it is not that one human may manufacture another’s conscience.</w:t>
      </w:r>
    </w:p>
    <w:p>
      <w:pPr>
        <w:pStyle w:val="Heading1"/>
      </w:pPr>
      <w:r>
        <w:rPr>
          <w:rFonts w:ascii="Calibri" w:hAnsi="Calibri" w:cs="Calibri"/>
          <w:b/>
          <w:i w:val="0"/>
          <w:color w:val="2E74B5"/>
          <w:sz w:val="32"/>
        </w:rPr>
        <w:t>5. Classical Exegesis in Synthesis</w:t>
      </w:r>
    </w:p>
    <w:p>
      <w:pPr>
        <w:pStyle w:val="Heading2"/>
      </w:pPr>
      <w:r>
        <w:rPr>
          <w:rFonts w:ascii="Calibri" w:hAnsi="Calibri" w:cs="Calibri"/>
          <w:b/>
          <w:i w:val="0"/>
          <w:color w:val="2E74B5"/>
          <w:sz w:val="26"/>
        </w:rPr>
        <w:t>5.1 Al-Ṭabarī: obedience, signs, and recompense</w:t>
      </w:r>
    </w:p>
    <w:p>
      <w:pPr/>
      <w:r>
        <w:rPr>
          <w:rFonts w:ascii="Calibri" w:hAnsi="Calibri" w:cs="Calibri"/>
          <w:b w:val="0"/>
          <w:i w:val="0"/>
          <w:color w:val="1E252B"/>
          <w:sz w:val="22"/>
        </w:rPr>
        <w:t xml:space="preserve">For al-Ṭabarī, 22:31 calls for sincere monotheistic obedience. Shirk produces distance from truth and the ruin pictured by falling. In 22:32, the signs are objective because God has marked them; their magnification springs from knowledge of God’s greatness, fear of Him, sincerity, and tawḥīd. On 3:83, </w:t>
      </w:r>
      <w:r>
        <w:rPr>
          <w:rFonts w:ascii="Calibri" w:hAnsi="Calibri" w:cs="Calibri"/>
          <w:b w:val="0"/>
          <w:i/>
          <w:color w:val="1E252B"/>
          <w:sz w:val="22"/>
        </w:rPr>
        <w:t>dīn Allāh</w:t>
      </w:r>
      <w:r>
        <w:rPr>
          <w:rFonts w:ascii="Calibri" w:hAnsi="Calibri" w:cs="Calibri"/>
          <w:b w:val="0"/>
          <w:i w:val="0"/>
          <w:color w:val="1E252B"/>
          <w:sz w:val="22"/>
        </w:rPr>
        <w:t xml:space="preserve"> is obedience to God, cosmic submission is comprehensive, and return means judgment according to deeds.</w:t>
      </w:r>
    </w:p>
    <w:p>
      <w:pPr/>
      <w:r>
        <w:rPr>
          <w:rFonts w:ascii="Calibri" w:hAnsi="Calibri" w:cs="Calibri"/>
          <w:b w:val="0"/>
          <w:i w:val="0"/>
          <w:color w:val="1E252B"/>
          <w:sz w:val="22"/>
        </w:rPr>
        <w:t>His approach is especially congenial to moral realism in three respects. Norms are not authored by the individual; their significance rests in God. The heart must know and respond, so compliance is not a merely external event. Accountability completes the moral order: conduct has a truth about it that is disclosed, not invented, at judgment.</w:t>
      </w:r>
    </w:p>
    <w:p>
      <w:pPr>
        <w:pStyle w:val="Heading2"/>
      </w:pPr>
      <w:r>
        <w:rPr>
          <w:rFonts w:ascii="Calibri" w:hAnsi="Calibri" w:cs="Calibri"/>
          <w:b/>
          <w:i w:val="0"/>
          <w:color w:val="2E74B5"/>
          <w:sz w:val="26"/>
        </w:rPr>
        <w:t>5.2 Al-Qurṭubī: helplessness, religious markers, and the locus of taqwā</w:t>
      </w:r>
    </w:p>
    <w:p>
      <w:pPr/>
      <w:r>
        <w:rPr>
          <w:rFonts w:ascii="Calibri" w:hAnsi="Calibri" w:cs="Calibri"/>
          <w:b w:val="0"/>
          <w:i w:val="0"/>
          <w:color w:val="1E252B"/>
          <w:sz w:val="22"/>
        </w:rPr>
        <w:t xml:space="preserve">Al-Qurṭubī’s fallen polytheist cannot rescue himself from the forces that scatter or exile him. His comments on </w:t>
      </w:r>
      <w:r>
        <w:rPr>
          <w:rFonts w:ascii="Calibri" w:hAnsi="Calibri" w:cs="Calibri"/>
          <w:b w:val="0"/>
          <w:i/>
          <w:color w:val="1E252B"/>
          <w:sz w:val="22"/>
        </w:rPr>
        <w:t>shaʿāʾir</w:t>
      </w:r>
      <w:r>
        <w:rPr>
          <w:rFonts w:ascii="Calibri" w:hAnsi="Calibri" w:cs="Calibri"/>
          <w:b w:val="0"/>
          <w:i w:val="0"/>
          <w:color w:val="1E252B"/>
          <w:sz w:val="22"/>
        </w:rPr>
        <w:t xml:space="preserve"> extend from pilgrimage rites to every divinely recognized marker. Extra care shown toward sacrificial animals may evidence inward reverence, but </w:t>
      </w:r>
      <w:r>
        <w:rPr>
          <w:rFonts w:ascii="Calibri" w:hAnsi="Calibri" w:cs="Calibri"/>
          <w:b w:val="0"/>
          <w:i/>
          <w:color w:val="1E252B"/>
          <w:sz w:val="22"/>
        </w:rPr>
        <w:t>taqwā</w:t>
      </w:r>
      <w:r>
        <w:rPr>
          <w:rFonts w:ascii="Calibri" w:hAnsi="Calibri" w:cs="Calibri"/>
          <w:b w:val="0"/>
          <w:i w:val="0"/>
          <w:color w:val="1E252B"/>
          <w:sz w:val="22"/>
        </w:rPr>
        <w:t xml:space="preserve"> is ascribed to hearts because the heart is its real locus. On 3:83, willing and difficult submission occur within a created order no one escapes.</w:t>
      </w:r>
    </w:p>
    <w:p>
      <w:pPr/>
      <w:r>
        <w:rPr>
          <w:rFonts w:ascii="Calibri" w:hAnsi="Calibri" w:cs="Calibri"/>
          <w:b w:val="0"/>
          <w:i w:val="0"/>
          <w:color w:val="1E252B"/>
          <w:sz w:val="22"/>
        </w:rPr>
        <w:t>The ethical lesson is subtle. Visible acts are genuine evidence but not infallible proof of virtue. A realist account of goodness does not imply that human moral perception is omniscient. It allows objective value together with fallible access. This is why intention, self-scrutiny, testimony, law, and divine judgment remain necessary.</w:t>
      </w:r>
    </w:p>
    <w:p>
      <w:pPr>
        <w:pStyle w:val="Heading2"/>
      </w:pPr>
      <w:r>
        <w:rPr>
          <w:rFonts w:ascii="Calibri" w:hAnsi="Calibri" w:cs="Calibri"/>
          <w:b/>
          <w:i w:val="0"/>
          <w:color w:val="2E74B5"/>
          <w:sz w:val="26"/>
        </w:rPr>
        <w:t>5.3 Ibn Kathīr: truth, destruction, and whole-person surrender</w:t>
      </w:r>
    </w:p>
    <w:p>
      <w:pPr/>
      <w:r>
        <w:rPr>
          <w:rFonts w:ascii="Calibri" w:hAnsi="Calibri" w:cs="Calibri"/>
          <w:b w:val="0"/>
          <w:i w:val="0"/>
          <w:color w:val="1E252B"/>
          <w:sz w:val="22"/>
        </w:rPr>
        <w:t xml:space="preserve">Ibn Kathīr glosses </w:t>
      </w:r>
      <w:r>
        <w:rPr>
          <w:rFonts w:ascii="Calibri" w:hAnsi="Calibri" w:cs="Calibri"/>
          <w:b w:val="0"/>
          <w:i/>
          <w:color w:val="1E252B"/>
          <w:sz w:val="22"/>
        </w:rPr>
        <w:t>ḥunafāʾ</w:t>
      </w:r>
      <w:r>
        <w:rPr>
          <w:rFonts w:ascii="Calibri" w:hAnsi="Calibri" w:cs="Calibri"/>
          <w:b w:val="0"/>
          <w:i w:val="0"/>
          <w:color w:val="1E252B"/>
          <w:sz w:val="22"/>
        </w:rPr>
        <w:t xml:space="preserve"> through sincerity and movement from falsehood to truth. Shirk is catastrophic because it removes the person from guidance and leaves him to destruction. His exposition of 3:83 offers a memorable anthropological contrast: the believer submits with heart and bodily form, while the unbeliever remains involuntarily subject to God’s governance. “To Him they return” means recompense.</w:t>
      </w:r>
    </w:p>
    <w:p>
      <w:pPr/>
      <w:r>
        <w:rPr>
          <w:rFonts w:ascii="Calibri" w:hAnsi="Calibri" w:cs="Calibri"/>
          <w:b w:val="0"/>
          <w:i w:val="0"/>
          <w:color w:val="1E252B"/>
          <w:sz w:val="22"/>
        </w:rPr>
        <w:t>The heart/body pairing matters. Moral realism is not merely the claim that abstract propositions float somewhere. In Qur’anic anthropology, truth addresses the integrated person. The body enacts what the heart recognizes; the heart is disciplined by what the body repeatedly enacts.</w:t>
      </w:r>
    </w:p>
    <w:p>
      <w:pPr>
        <w:pStyle w:val="Heading2"/>
      </w:pPr>
      <w:r>
        <w:rPr>
          <w:rFonts w:ascii="Calibri" w:hAnsi="Calibri" w:cs="Calibri"/>
          <w:b/>
          <w:i w:val="0"/>
          <w:color w:val="2E74B5"/>
          <w:sz w:val="26"/>
        </w:rPr>
        <w:t>5.4 Fakhr al-Dīn al-Rāzī: contingency, the heart, and moral integration</w:t>
      </w:r>
    </w:p>
    <w:p>
      <w:pPr/>
      <w:r>
        <w:rPr>
          <w:rFonts w:ascii="Calibri" w:hAnsi="Calibri" w:cs="Calibri"/>
          <w:b w:val="0"/>
          <w:i w:val="0"/>
          <w:color w:val="1E252B"/>
          <w:sz w:val="22"/>
        </w:rPr>
        <w:t>Al-Rāzī provides the deepest bridge to philosophical theology. His 3:83 commentary moves from the contingency of all non-divine being to universal ontological surrender. This is not yet a complete metaethics, but it supplies the metaphysical grammar: the created order is intelligible only through its dependence on the Necessary Existent. The moral order, on a Qur’anic theism, is not an anomalous set of “queer” entities added to an otherwise purposeless world. Normativity belongs within a reality already grounded in wisdom and end-directed dependence.</w:t>
      </w:r>
    </w:p>
    <w:p>
      <w:pPr/>
      <w:r>
        <w:rPr>
          <w:rFonts w:ascii="Calibri" w:hAnsi="Calibri" w:cs="Calibri"/>
          <w:b w:val="0"/>
          <w:i w:val="0"/>
          <w:color w:val="1E252B"/>
          <w:sz w:val="22"/>
        </w:rPr>
        <w:t>His reading of the birds as passions and the wind as satanic displacement then provides moral psychology. Error is not always a calm theoretical conclusion. It may be fragmentation of attention and will. Finally, his insistence that magnifying the signs proceeds from the heart distinguishes authentic moral perception from theatrical piety.</w:t>
      </w:r>
    </w:p>
    <w:p>
      <w:pPr>
        <w:pStyle w:val="Heading1"/>
      </w:pPr>
      <w:r>
        <w:rPr>
          <w:rFonts w:ascii="Calibri" w:hAnsi="Calibri" w:cs="Calibri"/>
          <w:b/>
          <w:i w:val="0"/>
          <w:color w:val="2E74B5"/>
          <w:sz w:val="32"/>
        </w:rPr>
        <w:t>6. Contemporary Exegesis and Ethical Expansion</w:t>
      </w:r>
    </w:p>
    <w:p>
      <w:pPr>
        <w:pStyle w:val="Heading2"/>
      </w:pPr>
      <w:r>
        <w:rPr>
          <w:rFonts w:ascii="Calibri" w:hAnsi="Calibri" w:cs="Calibri"/>
          <w:b/>
          <w:i w:val="0"/>
          <w:color w:val="2E74B5"/>
          <w:sz w:val="26"/>
        </w:rPr>
        <w:t>6.1 Ibn ʿĀshūr: fiṭra, consciousness, and deliberate surrender</w:t>
      </w:r>
    </w:p>
    <w:p>
      <w:pPr/>
      <w:r>
        <w:rPr>
          <w:rFonts w:ascii="Calibri" w:hAnsi="Calibri" w:cs="Calibri"/>
          <w:b w:val="0"/>
          <w:i w:val="0"/>
          <w:color w:val="1E252B"/>
          <w:sz w:val="22"/>
        </w:rPr>
        <w:t xml:space="preserve">Ibn ʿĀshūr interprets the sky of 22:31 in relation to innate faith. The polytheist descends from a primordial orientation, then becomes prey to plural desires or is carried into remote error by a dominant passion. His philological account of </w:t>
      </w:r>
      <w:r>
        <w:rPr>
          <w:rFonts w:ascii="Calibri" w:hAnsi="Calibri" w:cs="Calibri"/>
          <w:b w:val="0"/>
          <w:i/>
          <w:color w:val="1E252B"/>
          <w:sz w:val="22"/>
        </w:rPr>
        <w:t>shaʿāʾir</w:t>
      </w:r>
      <w:r>
        <w:rPr>
          <w:rFonts w:ascii="Calibri" w:hAnsi="Calibri" w:cs="Calibri"/>
          <w:b w:val="0"/>
          <w:i w:val="0"/>
          <w:color w:val="1E252B"/>
          <w:sz w:val="22"/>
        </w:rPr>
        <w:t xml:space="preserve"> joins marking with awareness: sacred rites are pedagogies of attention. On 3:83, rational beings should surrender voluntarily to evident truth before mortality and consequence disclose the submission they could never ontologically escape.</w:t>
      </w:r>
    </w:p>
    <w:p>
      <w:pPr/>
      <w:r>
        <w:rPr>
          <w:rFonts w:ascii="Calibri" w:hAnsi="Calibri" w:cs="Calibri"/>
          <w:b w:val="0"/>
          <w:i w:val="0"/>
          <w:color w:val="1E252B"/>
          <w:sz w:val="22"/>
        </w:rPr>
        <w:t xml:space="preserve">This suggests a moral epistemology of </w:t>
      </w:r>
      <w:r>
        <w:rPr>
          <w:rFonts w:ascii="Calibri" w:hAnsi="Calibri" w:cs="Calibri"/>
          <w:b w:val="0"/>
          <w:i/>
          <w:color w:val="1E252B"/>
          <w:sz w:val="22"/>
        </w:rPr>
        <w:t>fiṭra</w:t>
      </w:r>
      <w:r>
        <w:rPr>
          <w:rFonts w:ascii="Calibri" w:hAnsi="Calibri" w:cs="Calibri"/>
          <w:b w:val="0"/>
          <w:i w:val="0"/>
          <w:color w:val="1E252B"/>
          <w:sz w:val="22"/>
        </w:rPr>
        <w:t>: conscience is not an infallible oracle, but a created capacity responsive to value. It can be obscured, socialized badly, or captured by appetite. Revelation does not replace reason; it awakens, corrects, specifies, and elevates it.</w:t>
      </w:r>
    </w:p>
    <w:p>
      <w:pPr>
        <w:pStyle w:val="Heading2"/>
      </w:pPr>
      <w:r>
        <w:rPr>
          <w:rFonts w:ascii="Calibri" w:hAnsi="Calibri" w:cs="Calibri"/>
          <w:b/>
          <w:i w:val="0"/>
          <w:color w:val="2E74B5"/>
          <w:sz w:val="26"/>
        </w:rPr>
        <w:t>6.2 Mawdūdī and Sayyid Quṭb: the social world under one moral center</w:t>
      </w:r>
    </w:p>
    <w:p>
      <w:pPr/>
      <w:r>
        <w:rPr>
          <w:rFonts w:ascii="Calibri" w:hAnsi="Calibri" w:cs="Calibri"/>
          <w:b w:val="0"/>
          <w:i w:val="0"/>
          <w:color w:val="1E252B"/>
          <w:sz w:val="22"/>
        </w:rPr>
        <w:t>Mawdūdī broadens God’s signs to include prayer, fasting, pilgrimage, mosques, and sacrificial animals. Their reverence discloses inner God-consciousness. His reading of the fall emphasizes the loss of the natural center of servitude, after which external deceivers and internal impulses contend for rule.</w:t>
      </w:r>
    </w:p>
    <w:p>
      <w:pPr/>
      <w:hyperlink r:id="rId35">
        <w:r>
          <w:rPr>
            <w:rFonts w:ascii="Calibri" w:hAnsi="Calibri"/>
            <w:color w:val="2E74B5"/>
            <w:u w:val="single"/>
            <w:sz w:val="22"/>
          </w:rPr>
          <w:t>Sayyid Quṭb on 22:32</w:t>
        </w:r>
      </w:hyperlink>
      <w:r>
        <w:rPr>
          <w:rFonts w:ascii="Calibri" w:hAnsi="Calibri" w:cs="Calibri"/>
          <w:b w:val="0"/>
          <w:i w:val="0"/>
          <w:color w:val="1E252B"/>
          <w:sz w:val="22"/>
        </w:rPr>
        <w:t xml:space="preserve"> connects pilgrimage signs with Abrahamic memory, obedience, and taqwā as the rites’ moral end. </w:t>
      </w:r>
      <w:hyperlink r:id="rId36">
        <w:r>
          <w:rPr>
            <w:rFonts w:ascii="Calibri" w:hAnsi="Calibri"/>
            <w:color w:val="2E74B5"/>
            <w:u w:val="single"/>
            <w:sz w:val="22"/>
          </w:rPr>
          <w:t>On 3:83</w:t>
        </w:r>
      </w:hyperlink>
      <w:r>
        <w:rPr>
          <w:rFonts w:ascii="Calibri" w:hAnsi="Calibri" w:cs="Calibri"/>
          <w:b w:val="0"/>
          <w:i w:val="0"/>
          <w:color w:val="1E252B"/>
          <w:sz w:val="22"/>
        </w:rPr>
        <w:t>, he presents surrender as the law of existence and urges human social order to harmonize with the cosmic order. His political generalizations should be distinguished from the verse’s core exegesis. The enduring point is not that a state may coerce the heart; it is that politics is not exempt from truth, justice, mercy, or final accountability.</w:t>
      </w:r>
    </w:p>
    <w:p>
      <w:pPr>
        <w:pStyle w:val="Heading2"/>
      </w:pPr>
      <w:r>
        <w:rPr>
          <w:rFonts w:ascii="Calibri" w:hAnsi="Calibri" w:cs="Calibri"/>
          <w:b/>
          <w:i w:val="0"/>
          <w:color w:val="2E74B5"/>
          <w:sz w:val="26"/>
        </w:rPr>
        <w:t>6.3 Atif Khalil and the metaethics of the Divine Names</w:t>
      </w:r>
    </w:p>
    <w:p>
      <w:pPr/>
      <w:r>
        <w:rPr>
          <w:rFonts w:ascii="Calibri" w:hAnsi="Calibri" w:cs="Calibri"/>
          <w:b w:val="0"/>
          <w:i w:val="0"/>
          <w:color w:val="1E252B"/>
          <w:sz w:val="22"/>
        </w:rPr>
        <w:t xml:space="preserve">Atif Khalil’s 2025 </w:t>
      </w:r>
      <w:hyperlink r:id="rId37">
        <w:r>
          <w:rPr>
            <w:rFonts w:ascii="Calibri" w:hAnsi="Calibri"/>
            <w:color w:val="2E74B5"/>
            <w:u w:val="single"/>
            <w:sz w:val="22"/>
          </w:rPr>
          <w:t>“Ethics in Islam”</w:t>
        </w:r>
      </w:hyperlink>
      <w:r>
        <w:rPr>
          <w:rFonts w:ascii="Calibri" w:hAnsi="Calibri" w:cs="Calibri"/>
          <w:b w:val="0"/>
          <w:i w:val="0"/>
          <w:color w:val="1E252B"/>
          <w:sz w:val="22"/>
        </w:rPr>
        <w:t xml:space="preserve"> describes the Divine Names as a metaethical template. God acts in mercy, justice, generosity, patience, and forgiveness; human beings respond ethically to God and, in creaturely proportion, embody these traits toward one another. Khalil also stresses that </w:t>
      </w:r>
      <w:r>
        <w:rPr>
          <w:rFonts w:ascii="Calibri" w:hAnsi="Calibri" w:cs="Calibri"/>
          <w:b w:val="0"/>
          <w:i/>
          <w:color w:val="1E252B"/>
          <w:sz w:val="22"/>
        </w:rPr>
        <w:t>taqwā</w:t>
      </w:r>
      <w:r>
        <w:rPr>
          <w:rFonts w:ascii="Calibri" w:hAnsi="Calibri" w:cs="Calibri"/>
          <w:b w:val="0"/>
          <w:i w:val="0"/>
          <w:color w:val="1E252B"/>
          <w:sz w:val="22"/>
        </w:rPr>
        <w:t xml:space="preserve"> combines discernment and self-restraint, and that Islamic ethics gives inward intention a constitutive role in moral worth.</w:t>
      </w:r>
    </w:p>
    <w:p>
      <w:pPr/>
      <w:r>
        <w:rPr>
          <w:rFonts w:ascii="Calibri" w:hAnsi="Calibri" w:cs="Calibri"/>
          <w:b w:val="0"/>
          <w:i w:val="0"/>
          <w:color w:val="1E252B"/>
          <w:sz w:val="22"/>
        </w:rPr>
        <w:t>This helps prevent theistic realism from becoming a bare command theory. The God who commands is not a metaphysical stranger whose will has no intelligible character. Qur’anic commands issue from the One repeatedly named truthful, wise, just, merciful, and beautiful in His names. The agent’s goal is not only compliance but transformed character.</w:t>
      </w:r>
    </w:p>
    <w:p>
      <w:pPr>
        <w:pStyle w:val="Heading2"/>
      </w:pPr>
      <w:r>
        <w:rPr>
          <w:rFonts w:ascii="Calibri" w:hAnsi="Calibri" w:cs="Calibri"/>
          <w:b/>
          <w:i w:val="0"/>
          <w:color w:val="2E74B5"/>
          <w:sz w:val="26"/>
        </w:rPr>
        <w:t>6.4 Al-Ḥaqq: reality, truth, and bindingness</w:t>
      </w:r>
    </w:p>
    <w:p>
      <w:pPr/>
      <w:r>
        <w:rPr>
          <w:rFonts w:ascii="Calibri" w:hAnsi="Calibri" w:cs="Calibri"/>
          <w:b w:val="0"/>
          <w:i w:val="0"/>
          <w:color w:val="1E252B"/>
          <w:sz w:val="22"/>
        </w:rPr>
        <w:t xml:space="preserve">The Qur’an calls God </w:t>
      </w:r>
      <w:r>
        <w:rPr>
          <w:rFonts w:ascii="Calibri" w:hAnsi="Calibri" w:cs="Calibri"/>
          <w:b w:val="0"/>
          <w:i/>
          <w:color w:val="1E252B"/>
          <w:sz w:val="22"/>
        </w:rPr>
        <w:t>al-Ḥaqq</w:t>
      </w:r>
      <w:r>
        <w:rPr>
          <w:rFonts w:ascii="Calibri" w:hAnsi="Calibri" w:cs="Calibri"/>
          <w:b w:val="0"/>
          <w:i w:val="0"/>
          <w:color w:val="1E252B"/>
          <w:sz w:val="22"/>
        </w:rPr>
        <w:t xml:space="preserve">, the True and the Ultimately Real. Sūrat al-Ḥajj itself later contrasts God as the Truth with whatever is invoked besides Him as falsehood (22:62). Dr. Zia H. Shah’s contemporary essay on </w:t>
      </w:r>
      <w:hyperlink r:id="rId38">
        <w:r>
          <w:rPr>
            <w:rFonts w:ascii="Calibri" w:hAnsi="Calibri"/>
            <w:color w:val="2E74B5"/>
            <w:u w:val="single"/>
            <w:sz w:val="22"/>
          </w:rPr>
          <w:t>the ontology of al-Ḥaqq</w:t>
        </w:r>
      </w:hyperlink>
      <w:r>
        <w:rPr>
          <w:rFonts w:ascii="Calibri" w:hAnsi="Calibri" w:cs="Calibri"/>
          <w:b w:val="0"/>
          <w:i w:val="0"/>
          <w:color w:val="1E252B"/>
          <w:sz w:val="22"/>
        </w:rPr>
        <w:t xml:space="preserve"> usefully emphasizes that </w:t>
      </w:r>
      <w:r>
        <w:rPr>
          <w:rFonts w:ascii="Calibri" w:hAnsi="Calibri" w:cs="Calibri"/>
          <w:b w:val="0"/>
          <w:i/>
          <w:color w:val="1E252B"/>
          <w:sz w:val="22"/>
        </w:rPr>
        <w:t>ḥaqq</w:t>
      </w:r>
      <w:r>
        <w:rPr>
          <w:rFonts w:ascii="Calibri" w:hAnsi="Calibri" w:cs="Calibri"/>
          <w:b w:val="0"/>
          <w:i w:val="0"/>
          <w:color w:val="1E252B"/>
          <w:sz w:val="22"/>
        </w:rPr>
        <w:t xml:space="preserve"> joins what is real, true, established, and binding.</w:t>
      </w:r>
    </w:p>
    <w:p>
      <w:pPr/>
      <w:r>
        <w:rPr>
          <w:rFonts w:ascii="Calibri" w:hAnsi="Calibri" w:cs="Calibri"/>
          <w:b w:val="0"/>
          <w:i w:val="0"/>
          <w:color w:val="1E252B"/>
          <w:sz w:val="22"/>
        </w:rPr>
        <w:t>That lexical convergence is central to the present verses. In 3:83, reality is universally dependent upon and returning to God. In 22:31, ultimate falsehood is a fall away from the Real. In 22:32, the heart recognizes and magnifies signs that direct it back to the Real. Ontology, epistemology, and ethics are distinguishable, but not severed.</w:t>
      </w:r>
    </w:p>
    <w:p>
      <w:pPr>
        <w:pStyle w:val="Heading1"/>
        <w:pageBreakBefore/>
      </w:pPr>
      <w:r>
        <w:rPr>
          <w:rFonts w:ascii="Calibri" w:hAnsi="Calibri" w:cs="Calibri"/>
          <w:b/>
          <w:i w:val="0"/>
          <w:color w:val="2E74B5"/>
          <w:sz w:val="32"/>
        </w:rPr>
        <w:t>7. Moral Realism: The Strongest Philosophical Case</w:t>
      </w:r>
    </w:p>
    <w:p>
      <w:pPr>
        <w:pStyle w:val="Heading2"/>
      </w:pPr>
      <w:r>
        <w:rPr>
          <w:rFonts w:ascii="Calibri" w:hAnsi="Calibri" w:cs="Calibri"/>
          <w:b/>
          <w:i w:val="0"/>
          <w:color w:val="2E74B5"/>
          <w:sz w:val="26"/>
        </w:rPr>
        <w:t>7.1 What realism must claim</w:t>
      </w:r>
    </w:p>
    <w:p>
      <w:pPr/>
      <w:r>
        <w:rPr>
          <w:rFonts w:ascii="Calibri" w:hAnsi="Calibri" w:cs="Calibri"/>
          <w:b w:val="0"/>
          <w:i w:val="0"/>
          <w:color w:val="1E252B"/>
          <w:sz w:val="22"/>
        </w:rPr>
        <w:t>Moral realism need not claim that every disputed rule is obvious, that cultures never shape moral judgment, or that moral properties resemble stones. Its core is more modest and more radical: some moral judgments are truth-apt, some are true, and their truth is not constituted by the fluctuating approvals of individuals or societies.</w:t>
      </w:r>
    </w:p>
    <w:p>
      <w:pPr/>
      <w:r>
        <w:rPr>
          <w:rFonts w:ascii="Calibri" w:hAnsi="Calibri" w:cs="Calibri"/>
          <w:b w:val="0"/>
          <w:i w:val="0"/>
          <w:color w:val="1E252B"/>
          <w:sz w:val="22"/>
        </w:rPr>
        <w:t xml:space="preserve">For theism, “mind-independent” requires one refinement. If moral truth is grounded in God, it is not independent of every mind in the literal sense, because God is knowing. The relevant claim is </w:t>
      </w:r>
      <w:r>
        <w:rPr>
          <w:rFonts w:ascii="Calibri" w:hAnsi="Calibri" w:cs="Calibri"/>
          <w:b/>
          <w:i w:val="0"/>
          <w:color w:val="1E252B"/>
          <w:sz w:val="22"/>
        </w:rPr>
        <w:t>independence from created attitudes</w:t>
      </w:r>
      <w:r>
        <w:rPr>
          <w:rFonts w:ascii="Calibri" w:hAnsi="Calibri" w:cs="Calibri"/>
          <w:b w:val="0"/>
          <w:i w:val="0"/>
          <w:color w:val="1E252B"/>
          <w:sz w:val="22"/>
        </w:rPr>
        <w:t>: torture for amusement would remain wrong even if every human approved it. God does not discover goodness above Himself or invent it capriciously below reason. His necessary nature—truthful, wise, just, and merciful—is the ultimate ground; commands express that nature in relation to created agents.</w:t>
      </w:r>
    </w:p>
    <w:p>
      <w:pPr>
        <w:pStyle w:val="Heading2"/>
      </w:pPr>
      <w:r>
        <w:rPr>
          <w:rFonts w:ascii="Calibri" w:hAnsi="Calibri" w:cs="Calibri"/>
          <w:b/>
          <w:i w:val="0"/>
          <w:color w:val="2E74B5"/>
          <w:sz w:val="26"/>
        </w:rPr>
        <w:t>7.2 Plato: goodness as more than convention</w:t>
      </w:r>
    </w:p>
    <w:p>
      <w:pPr/>
      <w:r>
        <w:rPr>
          <w:rFonts w:ascii="Calibri" w:hAnsi="Calibri" w:cs="Calibri"/>
          <w:b w:val="0"/>
          <w:i w:val="0"/>
          <w:color w:val="1E252B"/>
          <w:sz w:val="22"/>
        </w:rPr>
        <w:t xml:space="preserve">Plato’s great contribution is the refusal to reduce justice to the advantage of the stronger or the customs of a city. In the </w:t>
      </w:r>
      <w:r>
        <w:rPr>
          <w:rFonts w:ascii="Calibri" w:hAnsi="Calibri" w:cs="Calibri"/>
          <w:b w:val="0"/>
          <w:i/>
          <w:color w:val="1E252B"/>
          <w:sz w:val="22"/>
        </w:rPr>
        <w:t>Republic</w:t>
      </w:r>
      <w:r>
        <w:rPr>
          <w:rFonts w:ascii="Calibri" w:hAnsi="Calibri" w:cs="Calibri"/>
          <w:b w:val="0"/>
          <w:i w:val="0"/>
          <w:color w:val="1E252B"/>
          <w:sz w:val="22"/>
        </w:rPr>
        <w:t>, the Form of the Good is the condition by which other intelligible objects are known and ordered. Moral inquiry therefore aims at something not created by appetite, rhetoric, or political power.</w:t>
      </w:r>
    </w:p>
    <w:p>
      <w:pPr/>
      <w:r>
        <w:rPr>
          <w:rFonts w:ascii="Calibri" w:hAnsi="Calibri" w:cs="Calibri"/>
          <w:b w:val="0"/>
          <w:i w:val="0"/>
          <w:color w:val="1E252B"/>
          <w:sz w:val="22"/>
        </w:rPr>
        <w:t>The Qur’anic appropriation must also criticize Plato. Islam cannot posit an eternal Form standing independently beside or above God. Yet Plato’s anti-conventional insight survives: the good is a measure of desire, not a product of whatever desire wins. Tawḥīd relocates the ultimate measure in the one necessary Reality.</w:t>
      </w:r>
    </w:p>
    <w:p>
      <w:pPr>
        <w:pStyle w:val="Heading2"/>
      </w:pPr>
      <w:r>
        <w:rPr>
          <w:rFonts w:ascii="Calibri" w:hAnsi="Calibri" w:cs="Calibri"/>
          <w:b/>
          <w:i w:val="0"/>
          <w:color w:val="2E74B5"/>
          <w:sz w:val="26"/>
        </w:rPr>
        <w:t>7.3 Thomas Aquinas: participation in eternal law</w:t>
      </w:r>
    </w:p>
    <w:p>
      <w:pPr/>
      <w:hyperlink r:id="rId39">
        <w:r>
          <w:rPr>
            <w:rFonts w:ascii="Calibri" w:hAnsi="Calibri"/>
            <w:color w:val="2E74B5"/>
            <w:u w:val="single"/>
            <w:sz w:val="22"/>
          </w:rPr>
          <w:t>Aquinas</w:t>
        </w:r>
      </w:hyperlink>
      <w:r>
        <w:rPr>
          <w:rFonts w:ascii="Calibri" w:hAnsi="Calibri" w:cs="Calibri"/>
          <w:b w:val="0"/>
          <w:i w:val="0"/>
          <w:color w:val="1E252B"/>
          <w:sz w:val="22"/>
        </w:rPr>
        <w:t xml:space="preserve"> calls natural law the rational creature’s participation in eternal law. Practical reason apprehends basic goods and directs action toward proper ends. In </w:t>
      </w:r>
      <w:hyperlink r:id="rId40">
        <w:r>
          <w:rPr>
            <w:rFonts w:ascii="Calibri" w:hAnsi="Calibri"/>
            <w:color w:val="2E74B5"/>
            <w:u w:val="single"/>
            <w:sz w:val="22"/>
          </w:rPr>
          <w:t>Summa theologiae I–II, q. 94</w:t>
        </w:r>
      </w:hyperlink>
      <w:r>
        <w:rPr>
          <w:rFonts w:ascii="Calibri" w:hAnsi="Calibri" w:cs="Calibri"/>
          <w:b w:val="0"/>
          <w:i w:val="0"/>
          <w:color w:val="1E252B"/>
          <w:sz w:val="22"/>
        </w:rPr>
        <w:t>, the first practical precept is that good is to be pursued and evil avoided; more specific precepts arise from human goods and rational reflection.</w:t>
      </w:r>
    </w:p>
    <w:p>
      <w:pPr/>
      <w:r>
        <w:rPr>
          <w:rFonts w:ascii="Calibri" w:hAnsi="Calibri" w:cs="Calibri"/>
          <w:b w:val="0"/>
          <w:i w:val="0"/>
          <w:color w:val="1E252B"/>
          <w:sz w:val="22"/>
        </w:rPr>
        <w:t>Aquinas offers a Christian analogue—not an identity—to the Qur’anic synthesis. Created nature is teleological; reason can know real norms; revelation remains necessary for humanity’s ultimate end, the correction of error, interior motives, and cases beyond ordinary human legislation. This resembles the structure joining 3:83’s created order with 22:32’s heart and revealed signs.</w:t>
      </w:r>
    </w:p>
    <w:p>
      <w:pPr>
        <w:pStyle w:val="Heading2"/>
      </w:pPr>
      <w:r>
        <w:rPr>
          <w:rFonts w:ascii="Calibri" w:hAnsi="Calibri" w:cs="Calibri"/>
          <w:b/>
          <w:i w:val="0"/>
          <w:color w:val="2E74B5"/>
          <w:sz w:val="26"/>
        </w:rPr>
        <w:t>7.4 G. E. Moore: the open question and irreducible goodness</w:t>
      </w:r>
    </w:p>
    <w:p>
      <w:pPr/>
      <w:r>
        <w:rPr>
          <w:rFonts w:ascii="Calibri" w:hAnsi="Calibri" w:cs="Calibri"/>
          <w:b w:val="0"/>
          <w:i w:val="0"/>
          <w:color w:val="1E252B"/>
          <w:sz w:val="22"/>
        </w:rPr>
        <w:t xml:space="preserve">In </w:t>
      </w:r>
      <w:hyperlink r:id="rId41">
        <w:r>
          <w:rPr>
            <w:rFonts w:ascii="Calibri" w:hAnsi="Calibri"/>
            <w:color w:val="2E74B5"/>
            <w:u w:val="single"/>
            <w:sz w:val="22"/>
            <w:i/>
          </w:rPr>
          <w:t>Principia Ethica</w:t>
        </w:r>
      </w:hyperlink>
      <w:r>
        <w:rPr>
          <w:rFonts w:ascii="Calibri" w:hAnsi="Calibri" w:cs="Calibri"/>
          <w:b w:val="0"/>
          <w:i w:val="0"/>
          <w:color w:val="1E252B"/>
          <w:sz w:val="22"/>
        </w:rPr>
        <w:t>, G. E. Moore argues that “good” is simple and indefinable. Any proposed naturalistic definition—pleasure, desire-satisfaction, evolutionary fitness—leaves it intelligible to ask whether that natural property is genuinely good. His “open question” argument protects normativity from reduction.</w:t>
      </w:r>
    </w:p>
    <w:p>
      <w:pPr/>
      <w:r>
        <w:rPr>
          <w:rFonts w:ascii="Calibri" w:hAnsi="Calibri" w:cs="Calibri"/>
          <w:b w:val="0"/>
          <w:i w:val="0"/>
          <w:color w:val="1E252B"/>
          <w:sz w:val="22"/>
        </w:rPr>
        <w:t>Moore’s non-naturalism is not compulsory for all realists, and his epistemology of intuition remains controversial. But his central warning is permanent: a description of what humans desire or what evolution selected does not, without a normative bridge, tell us what merits desire or what ought to guide us.</w:t>
      </w:r>
    </w:p>
    <w:p>
      <w:pPr>
        <w:pStyle w:val="Heading2"/>
      </w:pPr>
      <w:r>
        <w:rPr>
          <w:rFonts w:ascii="Calibri" w:hAnsi="Calibri" w:cs="Calibri"/>
          <w:b/>
          <w:i w:val="0"/>
          <w:color w:val="2E74B5"/>
          <w:sz w:val="26"/>
        </w:rPr>
        <w:t>7.5 W. D. Ross: prima facie duties and moral perception</w:t>
      </w:r>
    </w:p>
    <w:p>
      <w:pPr/>
      <w:hyperlink r:id="rId42">
        <w:r>
          <w:rPr>
            <w:rFonts w:ascii="Calibri" w:hAnsi="Calibri"/>
            <w:color w:val="2E74B5"/>
            <w:u w:val="single"/>
            <w:sz w:val="22"/>
          </w:rPr>
          <w:t>W. D. Ross</w:t>
        </w:r>
      </w:hyperlink>
      <w:r>
        <w:rPr>
          <w:rFonts w:ascii="Calibri" w:hAnsi="Calibri" w:cs="Calibri"/>
          <w:b w:val="0"/>
          <w:i w:val="0"/>
          <w:color w:val="1E252B"/>
          <w:sz w:val="22"/>
        </w:rPr>
        <w:t xml:space="preserve"> defends a plurality of self-evident </w:t>
      </w:r>
      <w:r>
        <w:rPr>
          <w:rFonts w:ascii="Calibri" w:hAnsi="Calibri" w:cs="Calibri"/>
          <w:b w:val="0"/>
          <w:i/>
          <w:color w:val="1E252B"/>
          <w:sz w:val="22"/>
        </w:rPr>
        <w:t>prima facie</w:t>
      </w:r>
      <w:r>
        <w:rPr>
          <w:rFonts w:ascii="Calibri" w:hAnsi="Calibri" w:cs="Calibri"/>
          <w:b w:val="0"/>
          <w:i w:val="0"/>
          <w:color w:val="1E252B"/>
          <w:sz w:val="22"/>
        </w:rPr>
        <w:t xml:space="preserve"> duties: fidelity, reparation, gratitude, justice, beneficence, self-improvement, and non-maleficence. “Prima facie” does not mean merely apparent; it means a genuine duty-making feature that may be outweighed in a conflict.</w:t>
      </w:r>
    </w:p>
    <w:p>
      <w:pPr/>
      <w:r>
        <w:rPr>
          <w:rFonts w:ascii="Calibri" w:hAnsi="Calibri" w:cs="Calibri"/>
          <w:b w:val="0"/>
          <w:i w:val="0"/>
          <w:color w:val="1E252B"/>
          <w:sz w:val="22"/>
        </w:rPr>
        <w:t>Ross improves realism by respecting moral complexity. Objective truth does not require one mechanical rule. The Qur’anic virtues of justice, mercy, promise-keeping, gratitude, truthfulness, and protection from harm can generate genuine conflicts requiring practical wisdom. Fallibility about the all-things-considered judgment is not evidence that no fact exists.</w:t>
      </w:r>
    </w:p>
    <w:p>
      <w:pPr>
        <w:pStyle w:val="Heading2"/>
      </w:pPr>
      <w:r>
        <w:rPr>
          <w:rFonts w:ascii="Calibri" w:hAnsi="Calibri" w:cs="Calibri"/>
          <w:b/>
          <w:i w:val="0"/>
          <w:color w:val="2E74B5"/>
          <w:sz w:val="26"/>
        </w:rPr>
        <w:t>7.6 David Brink and Peter Railton: naturalist realism</w:t>
      </w:r>
    </w:p>
    <w:p>
      <w:pPr/>
      <w:r>
        <w:rPr>
          <w:rFonts w:ascii="Calibri" w:hAnsi="Calibri" w:cs="Calibri"/>
          <w:b w:val="0"/>
          <w:i w:val="0"/>
          <w:color w:val="1E252B"/>
          <w:sz w:val="22"/>
        </w:rPr>
        <w:t xml:space="preserve">David Brink’s </w:t>
      </w:r>
      <w:hyperlink r:id="rId43">
        <w:r>
          <w:rPr>
            <w:rFonts w:ascii="Calibri" w:hAnsi="Calibri"/>
            <w:color w:val="2E74B5"/>
            <w:u w:val="single"/>
            <w:sz w:val="22"/>
            <w:i/>
          </w:rPr>
          <w:t>Moral Realism and the Foundations of Ethics</w:t>
        </w:r>
      </w:hyperlink>
      <w:r>
        <w:rPr>
          <w:rFonts w:ascii="Calibri" w:hAnsi="Calibri" w:cs="Calibri"/>
          <w:b w:val="0"/>
          <w:i w:val="0"/>
          <w:color w:val="1E252B"/>
          <w:sz w:val="22"/>
        </w:rPr>
        <w:t xml:space="preserve"> and Peter Railton’s </w:t>
      </w:r>
      <w:hyperlink r:id="rId44">
        <w:r>
          <w:rPr>
            <w:rFonts w:ascii="Calibri" w:hAnsi="Calibri"/>
            <w:color w:val="2E74B5"/>
            <w:u w:val="single"/>
            <w:sz w:val="22"/>
          </w:rPr>
          <w:t>naturalist realism</w:t>
        </w:r>
      </w:hyperlink>
      <w:r>
        <w:rPr>
          <w:rFonts w:ascii="Calibri" w:hAnsi="Calibri" w:cs="Calibri"/>
          <w:b w:val="0"/>
          <w:i w:val="0"/>
          <w:color w:val="1E252B"/>
          <w:sz w:val="22"/>
        </w:rPr>
        <w:t xml:space="preserve"> show that objective morality need not posit ghostly properties. Moral facts may be higher-level natural facts concerning human flourishing, social relations, impartial interests, and reasons that survive informed scrutiny. Their epistemology can be broadly coherentist and continuous with inquiry elsewhere.</w:t>
      </w:r>
    </w:p>
    <w:p>
      <w:pPr/>
      <w:r>
        <w:rPr>
          <w:rFonts w:ascii="Calibri" w:hAnsi="Calibri" w:cs="Calibri"/>
          <w:b w:val="0"/>
          <w:i w:val="0"/>
          <w:color w:val="1E252B"/>
          <w:sz w:val="22"/>
        </w:rPr>
        <w:t>The strength of this family is explanatory economy. The limitation, from a Qur’anic standpoint, is that natural facts alone may not fully ground categorical obligation, ultimate human equality, or eschatological justice. Still, Brink and Railton defeat the claim that realism has only one metaphysical form. An argument against “spooky” non-natural properties does not refute naturalist or theistic realism.</w:t>
      </w:r>
    </w:p>
    <w:p>
      <w:pPr>
        <w:pStyle w:val="Heading2"/>
      </w:pPr>
      <w:r>
        <w:rPr>
          <w:rFonts w:ascii="Calibri" w:hAnsi="Calibri" w:cs="Calibri"/>
          <w:b/>
          <w:i w:val="0"/>
          <w:color w:val="2E74B5"/>
          <w:sz w:val="26"/>
        </w:rPr>
        <w:t>7.7 Russ Shafer-Landau, David Enoch, and Michael Huemer: robust normativity</w:t>
      </w:r>
    </w:p>
    <w:p>
      <w:pPr/>
      <w:r>
        <w:rPr>
          <w:rFonts w:ascii="Calibri" w:hAnsi="Calibri" w:cs="Calibri"/>
          <w:b w:val="0"/>
          <w:i w:val="0"/>
          <w:color w:val="1E252B"/>
          <w:sz w:val="22"/>
        </w:rPr>
        <w:t xml:space="preserve">Russ Shafer-Landau’s </w:t>
      </w:r>
      <w:hyperlink r:id="rId45">
        <w:r>
          <w:rPr>
            <w:rFonts w:ascii="Calibri" w:hAnsi="Calibri"/>
            <w:color w:val="2E74B5"/>
            <w:u w:val="single"/>
            <w:sz w:val="22"/>
            <w:i/>
          </w:rPr>
          <w:t>Moral Realism: A Defence</w:t>
        </w:r>
      </w:hyperlink>
      <w:r>
        <w:rPr>
          <w:rFonts w:ascii="Calibri" w:hAnsi="Calibri" w:cs="Calibri"/>
          <w:b w:val="0"/>
          <w:i w:val="0"/>
          <w:color w:val="1E252B"/>
          <w:sz w:val="22"/>
        </w:rPr>
        <w:t xml:space="preserve">, David Enoch’s </w:t>
      </w:r>
      <w:hyperlink r:id="rId46">
        <w:r>
          <w:rPr>
            <w:rFonts w:ascii="Calibri" w:hAnsi="Calibri"/>
            <w:color w:val="2E74B5"/>
            <w:u w:val="single"/>
            <w:sz w:val="22"/>
            <w:i/>
          </w:rPr>
          <w:t>Taking Morality Seriously</w:t>
        </w:r>
      </w:hyperlink>
      <w:r>
        <w:rPr>
          <w:rFonts w:ascii="Calibri" w:hAnsi="Calibri" w:cs="Calibri"/>
          <w:b w:val="0"/>
          <w:i w:val="0"/>
          <w:color w:val="1E252B"/>
          <w:sz w:val="22"/>
        </w:rPr>
        <w:t xml:space="preserve">, and Michael Huemer’s </w:t>
      </w:r>
      <w:hyperlink r:id="rId47">
        <w:r>
          <w:rPr>
            <w:rFonts w:ascii="Calibri" w:hAnsi="Calibri"/>
            <w:color w:val="2E74B5"/>
            <w:u w:val="single"/>
            <w:sz w:val="22"/>
            <w:i/>
          </w:rPr>
          <w:t>Ethical Intuitionism</w:t>
        </w:r>
      </w:hyperlink>
      <w:r>
        <w:rPr>
          <w:rFonts w:ascii="Calibri" w:hAnsi="Calibri" w:cs="Calibri"/>
          <w:b w:val="0"/>
          <w:i w:val="0"/>
          <w:color w:val="1E252B"/>
          <w:sz w:val="22"/>
        </w:rPr>
        <w:t xml:space="preserve"> defend robust, stance-independent normativity. Shafer-Landau argues that metaphysical and epistemic objections do not show moral facts impossible. Enoch’s deliberative indispensability argument observes that serious deliberation presupposes reasons not made true by whichever option the agent eventually chooses. Huemer argues that some initial moral seemings have prima facie justification, corrigible through coherence, information, and critical reflection.</w:t>
      </w:r>
    </w:p>
    <w:p>
      <w:pPr/>
      <w:r>
        <w:rPr>
          <w:rFonts w:ascii="Calibri" w:hAnsi="Calibri" w:cs="Calibri"/>
          <w:b w:val="0"/>
          <w:i w:val="0"/>
          <w:color w:val="1E252B"/>
          <w:sz w:val="22"/>
        </w:rPr>
        <w:t>These views need not be accepted wholesale to make the central point. Every inquiry begins with appearances, inferential rules, and trust in some cognitive capacities. Singling out moral cognition for total suspicion requires a non-question-begging reason.</w:t>
      </w:r>
    </w:p>
    <w:p>
      <w:pPr>
        <w:pStyle w:val="Heading2"/>
      </w:pPr>
      <w:r>
        <w:rPr>
          <w:rFonts w:ascii="Calibri" w:hAnsi="Calibri" w:cs="Calibri"/>
          <w:b/>
          <w:i w:val="0"/>
          <w:color w:val="2E74B5"/>
          <w:sz w:val="26"/>
        </w:rPr>
        <w:t>7.8 Thomas Nagel and Derek Parfit: the objective standpoint and reasons</w:t>
      </w:r>
    </w:p>
    <w:p>
      <w:pPr/>
      <w:r>
        <w:rPr>
          <w:rFonts w:ascii="Calibri" w:hAnsi="Calibri" w:cs="Calibri"/>
          <w:b w:val="0"/>
          <w:i w:val="0"/>
          <w:color w:val="1E252B"/>
          <w:sz w:val="22"/>
        </w:rPr>
        <w:t xml:space="preserve">In </w:t>
      </w:r>
      <w:hyperlink r:id="rId48">
        <w:r>
          <w:rPr>
            <w:rFonts w:ascii="Calibri" w:hAnsi="Calibri"/>
            <w:color w:val="2E74B5"/>
            <w:u w:val="single"/>
            <w:sz w:val="22"/>
            <w:i/>
          </w:rPr>
          <w:t>The View from Nowhere</w:t>
        </w:r>
      </w:hyperlink>
      <w:r>
        <w:rPr>
          <w:rFonts w:ascii="Calibri" w:hAnsi="Calibri" w:cs="Calibri"/>
          <w:b w:val="0"/>
          <w:i w:val="0"/>
          <w:color w:val="1E252B"/>
          <w:sz w:val="22"/>
        </w:rPr>
        <w:t>, Thomas Nagel argues that practical reason can move beyond the agent’s private standpoint. The pain of another is not rendered insignificant merely because it is not mine. Objectivity does not erase perspective; it corrects the fantasy that one’s own position is uniquely important.</w:t>
      </w:r>
    </w:p>
    <w:p>
      <w:pPr/>
      <w:r>
        <w:rPr>
          <w:rFonts w:ascii="Calibri" w:hAnsi="Calibri" w:cs="Calibri"/>
          <w:b w:val="0"/>
          <w:i w:val="0"/>
          <w:color w:val="1E252B"/>
          <w:sz w:val="22"/>
        </w:rPr>
        <w:t xml:space="preserve">Derek Parfit’s </w:t>
      </w:r>
      <w:hyperlink r:id="rId49">
        <w:r>
          <w:rPr>
            <w:rFonts w:ascii="Calibri" w:hAnsi="Calibri"/>
            <w:color w:val="2E74B5"/>
            <w:u w:val="single"/>
            <w:sz w:val="22"/>
            <w:i/>
          </w:rPr>
          <w:t>On What Matters</w:t>
        </w:r>
      </w:hyperlink>
      <w:r>
        <w:rPr>
          <w:rFonts w:ascii="Calibri" w:hAnsi="Calibri" w:cs="Calibri"/>
          <w:b w:val="0"/>
          <w:i w:val="0"/>
          <w:color w:val="1E252B"/>
          <w:sz w:val="22"/>
        </w:rPr>
        <w:t xml:space="preserve"> defends irreducibly normative truths about reasons. He does not need moral truths to be causal objects occupying space. Truths of logic, mathematics, and reasons can be objective without pushing atoms. His famous convergence project argues that leading Kantian, contractualist, and consequentialist insights may be climbing different sides of the same mountain.</w:t>
      </w:r>
    </w:p>
    <w:p>
      <w:pPr/>
      <w:r>
        <w:rPr>
          <w:rFonts w:ascii="Calibri" w:hAnsi="Calibri" w:cs="Calibri"/>
          <w:b w:val="0"/>
          <w:i w:val="0"/>
          <w:color w:val="1E252B"/>
          <w:sz w:val="22"/>
        </w:rPr>
        <w:t>The Qur’anic parallel is not doctrinal identity but structural affinity. The moral agent is summoned beyond ego, tribe, and present advantage to a universal standpoint before God, in which every person is a creature, every deed returns, and no private preference rewrites the standard.</w:t>
      </w:r>
    </w:p>
    <w:p>
      <w:pPr>
        <w:pStyle w:val="Heading2"/>
      </w:pPr>
      <w:r>
        <w:rPr>
          <w:rFonts w:ascii="Calibri" w:hAnsi="Calibri" w:cs="Calibri"/>
          <w:b/>
          <w:i w:val="0"/>
          <w:color w:val="2E74B5"/>
          <w:sz w:val="26"/>
        </w:rPr>
        <w:t>7.9 The cumulative realist argument</w:t>
      </w:r>
    </w:p>
    <w:p>
      <w:pPr/>
      <w:r>
        <w:rPr>
          <w:rFonts w:ascii="Calibri" w:hAnsi="Calibri" w:cs="Calibri"/>
          <w:b w:val="0"/>
          <w:i w:val="0"/>
          <w:color w:val="1E252B"/>
          <w:sz w:val="22"/>
        </w:rPr>
        <w:t>The best case is cumulative:</w:t>
      </w:r>
    </w:p>
    <w:p>
      <w:pPr>
        <w:numPr>
          <w:ilvl w:val="0"/>
          <w:numId w:val="12"/>
        </w:numPr>
        <w:spacing w:after="80"/>
        <w:ind w:left="540" w:hanging="279"/>
      </w:pPr>
      <w:r>
        <w:rPr>
          <w:rFonts w:ascii="Calibri" w:hAnsi="Calibri" w:cs="Calibri"/>
          <w:b/>
          <w:i w:val="0"/>
          <w:color w:val="1E252B"/>
          <w:sz w:val="22"/>
        </w:rPr>
        <w:t>Moral experience:</w:t>
      </w:r>
      <w:r>
        <w:rPr>
          <w:rFonts w:ascii="Calibri" w:hAnsi="Calibri" w:cs="Calibri"/>
          <w:b w:val="0"/>
          <w:i w:val="0"/>
          <w:color w:val="1E252B"/>
          <w:sz w:val="22"/>
        </w:rPr>
        <w:t xml:space="preserve"> we experience at least some judgments—gratuitous cruelty, betrayal for amusement, deliberate oppression—as discoveries about reasons, not reports of taste.</w:t>
      </w:r>
    </w:p>
    <w:p>
      <w:pPr>
        <w:numPr>
          <w:ilvl w:val="0"/>
          <w:numId w:val="12"/>
        </w:numPr>
        <w:spacing w:after="80"/>
        <w:ind w:left="540" w:hanging="279"/>
      </w:pPr>
      <w:r>
        <w:rPr>
          <w:rFonts w:ascii="Calibri" w:hAnsi="Calibri" w:cs="Calibri"/>
          <w:b/>
          <w:i w:val="0"/>
          <w:color w:val="1E252B"/>
          <w:sz w:val="22"/>
        </w:rPr>
        <w:t>Deliberation:</w:t>
      </w:r>
      <w:r>
        <w:rPr>
          <w:rFonts w:ascii="Calibri" w:hAnsi="Calibri" w:cs="Calibri"/>
          <w:b w:val="0"/>
          <w:i w:val="0"/>
          <w:color w:val="1E252B"/>
          <w:sz w:val="22"/>
        </w:rPr>
        <w:t xml:space="preserve"> choosing intelligibly presupposes that considerations count for or against options before choice creates a preference.</w:t>
      </w:r>
    </w:p>
    <w:p>
      <w:pPr>
        <w:numPr>
          <w:ilvl w:val="0"/>
          <w:numId w:val="12"/>
        </w:numPr>
        <w:spacing w:after="80"/>
        <w:ind w:left="540" w:hanging="279"/>
      </w:pPr>
      <w:r>
        <w:rPr>
          <w:rFonts w:ascii="Calibri" w:hAnsi="Calibri" w:cs="Calibri"/>
          <w:b/>
          <w:i w:val="0"/>
          <w:color w:val="1E252B"/>
          <w:sz w:val="22"/>
        </w:rPr>
        <w:t>Moral error:</w:t>
      </w:r>
      <w:r>
        <w:rPr>
          <w:rFonts w:ascii="Calibri" w:hAnsi="Calibri" w:cs="Calibri"/>
          <w:b w:val="0"/>
          <w:i w:val="0"/>
          <w:color w:val="1E252B"/>
          <w:sz w:val="22"/>
        </w:rPr>
        <w:t xml:space="preserve"> individuals and cultures can be mistaken. Error makes fullest sense against a standard not exhausted by their acceptance.</w:t>
      </w:r>
    </w:p>
    <w:p>
      <w:pPr>
        <w:numPr>
          <w:ilvl w:val="0"/>
          <w:numId w:val="12"/>
        </w:numPr>
        <w:spacing w:after="80"/>
        <w:ind w:left="540" w:hanging="279"/>
      </w:pPr>
      <w:r>
        <w:rPr>
          <w:rFonts w:ascii="Calibri" w:hAnsi="Calibri" w:cs="Calibri"/>
          <w:b/>
          <w:i w:val="0"/>
          <w:color w:val="1E252B"/>
          <w:sz w:val="22"/>
        </w:rPr>
        <w:t>Moral progress:</w:t>
      </w:r>
      <w:r>
        <w:rPr>
          <w:rFonts w:ascii="Calibri" w:hAnsi="Calibri" w:cs="Calibri"/>
          <w:b w:val="0"/>
          <w:i w:val="0"/>
          <w:color w:val="1E252B"/>
          <w:sz w:val="22"/>
        </w:rPr>
        <w:t xml:space="preserve"> abolition, repudiation of torture, and widening recognition of equal standing are intelligible as improvements, not merely changes of fashion. Progress is not a stand-alone proof, but realism explains its ordinary meaning better.</w:t>
      </w:r>
    </w:p>
    <w:p>
      <w:pPr>
        <w:numPr>
          <w:ilvl w:val="0"/>
          <w:numId w:val="12"/>
        </w:numPr>
        <w:spacing w:after="80"/>
        <w:ind w:left="540" w:hanging="279"/>
      </w:pPr>
      <w:r>
        <w:rPr>
          <w:rFonts w:ascii="Calibri" w:hAnsi="Calibri" w:cs="Calibri"/>
          <w:b/>
          <w:i w:val="0"/>
          <w:color w:val="1E252B"/>
          <w:sz w:val="22"/>
        </w:rPr>
        <w:t>Epistemic parity:</w:t>
      </w:r>
      <w:r>
        <w:rPr>
          <w:rFonts w:ascii="Calibri" w:hAnsi="Calibri" w:cs="Calibri"/>
          <w:b w:val="0"/>
          <w:i w:val="0"/>
          <w:color w:val="1E252B"/>
          <w:sz w:val="22"/>
        </w:rPr>
        <w:t xml:space="preserve"> arguments themselves rely on objective norms—follow evidence, avoid contradiction, proportion belief to reasons. If categorical normativity is intrinsically “queer,” the anti-realist’s own argumentative authority is endangered.</w:t>
      </w:r>
    </w:p>
    <w:p>
      <w:pPr>
        <w:numPr>
          <w:ilvl w:val="0"/>
          <w:numId w:val="12"/>
        </w:numPr>
        <w:spacing w:after="80"/>
        <w:ind w:left="540" w:hanging="279"/>
      </w:pPr>
      <w:r>
        <w:rPr>
          <w:rFonts w:ascii="Calibri" w:hAnsi="Calibri" w:cs="Calibri"/>
          <w:b/>
          <w:i w:val="0"/>
          <w:color w:val="1E252B"/>
          <w:sz w:val="22"/>
        </w:rPr>
        <w:t>Plural metaphysics:</w:t>
      </w:r>
      <w:r>
        <w:rPr>
          <w:rFonts w:ascii="Calibri" w:hAnsi="Calibri" w:cs="Calibri"/>
          <w:b w:val="0"/>
          <w:i w:val="0"/>
          <w:color w:val="1E252B"/>
          <w:sz w:val="22"/>
        </w:rPr>
        <w:t xml:space="preserve"> moral truth can be naturalist, non-naturalist, constructivist in some qualified senses, or theistically grounded. Anti-realism must defeat all serious realizations, not one caricature.</w:t>
      </w:r>
    </w:p>
    <w:p>
      <w:pPr>
        <w:numPr>
          <w:ilvl w:val="0"/>
          <w:numId w:val="12"/>
        </w:numPr>
        <w:spacing w:after="80"/>
        <w:ind w:left="540" w:hanging="279"/>
      </w:pPr>
      <w:r>
        <w:rPr>
          <w:rFonts w:ascii="Calibri" w:hAnsi="Calibri" w:cs="Calibri"/>
          <w:b/>
          <w:i w:val="0"/>
          <w:color w:val="1E252B"/>
          <w:sz w:val="22"/>
        </w:rPr>
        <w:t>Theistic integration:</w:t>
      </w:r>
      <w:r>
        <w:rPr>
          <w:rFonts w:ascii="Calibri" w:hAnsi="Calibri" w:cs="Calibri"/>
          <w:b w:val="0"/>
          <w:i w:val="0"/>
          <w:color w:val="1E252B"/>
          <w:sz w:val="22"/>
        </w:rPr>
        <w:t xml:space="preserve"> if reality originates in a necessary, knowing, wise, and good Creator, objective reasons are not alien intrusions. They belong to the same purposive order as rational agents.</w:t>
      </w:r>
    </w:p>
    <w:p>
      <w:pPr>
        <w:pStyle w:val="Heading1"/>
      </w:pPr>
      <w:r>
        <w:rPr>
          <w:rFonts w:ascii="Calibri" w:hAnsi="Calibri" w:cs="Calibri"/>
          <w:b/>
          <w:i w:val="0"/>
          <w:color w:val="2E74B5"/>
          <w:sz w:val="32"/>
        </w:rPr>
        <w:t>8. Islamic Metaethics: Beyond Two False Alternatives</w:t>
      </w:r>
    </w:p>
    <w:p>
      <w:pPr>
        <w:pStyle w:val="Heading2"/>
      </w:pPr>
      <w:r>
        <w:rPr>
          <w:rFonts w:ascii="Calibri" w:hAnsi="Calibri" w:cs="Calibri"/>
          <w:b/>
          <w:i w:val="0"/>
          <w:color w:val="2E74B5"/>
          <w:sz w:val="26"/>
        </w:rPr>
        <w:t>8.1 The classical debate over ḥusn and qubḥ</w:t>
      </w:r>
    </w:p>
    <w:p>
      <w:pPr/>
      <w:r>
        <w:rPr>
          <w:rFonts w:ascii="Calibri" w:hAnsi="Calibri" w:cs="Calibri"/>
          <w:b w:val="0"/>
          <w:i w:val="0"/>
          <w:color w:val="1E252B"/>
          <w:sz w:val="22"/>
        </w:rPr>
        <w:t>Muslim theologians debated whether good and bad (</w:t>
      </w:r>
      <w:r>
        <w:rPr>
          <w:rFonts w:ascii="Calibri" w:hAnsi="Calibri" w:cs="Calibri"/>
          <w:b w:val="0"/>
          <w:i/>
          <w:color w:val="1E252B"/>
          <w:sz w:val="22"/>
        </w:rPr>
        <w:t>ḥusn</w:t>
      </w:r>
      <w:r>
        <w:rPr>
          <w:rFonts w:ascii="Calibri" w:hAnsi="Calibri" w:cs="Calibri"/>
          <w:b w:val="0"/>
          <w:i w:val="0"/>
          <w:color w:val="1E252B"/>
          <w:sz w:val="22"/>
        </w:rPr>
        <w:t xml:space="preserve"> and </w:t>
      </w:r>
      <w:r>
        <w:rPr>
          <w:rFonts w:ascii="Calibri" w:hAnsi="Calibri" w:cs="Calibri"/>
          <w:b w:val="0"/>
          <w:i/>
          <w:color w:val="1E252B"/>
          <w:sz w:val="22"/>
        </w:rPr>
        <w:t>qubḥ</w:t>
      </w:r>
      <w:r>
        <w:rPr>
          <w:rFonts w:ascii="Calibri" w:hAnsi="Calibri" w:cs="Calibri"/>
          <w:b w:val="0"/>
          <w:i w:val="0"/>
          <w:color w:val="1E252B"/>
          <w:sz w:val="22"/>
        </w:rPr>
        <w:t>) are rationally discernible and whether acts possess value prior to revealed command. The Muʿtazila emphasized objective, often intrinsic value accessible to reason. Ashʿarī theologians emphasized divine sovereignty and denied that unaided reason can impose obligation upon God or establish revealed legal accountability. Māturīdī positions commonly granted reason significant access to basic values while preserving revelation’s necessity and God’s freedom, though recent scholarship cautions against treating the school as perfectly uniform.</w:t>
      </w:r>
    </w:p>
    <w:p>
      <w:pPr/>
      <w:r>
        <w:rPr>
          <w:rFonts w:ascii="Calibri" w:hAnsi="Calibri" w:cs="Calibri"/>
          <w:b w:val="0"/>
          <w:i w:val="0"/>
          <w:color w:val="1E252B"/>
          <w:sz w:val="22"/>
        </w:rPr>
        <w:t>Khalil’s survey presents the positions clearly but sometimes uses modern labels too quickly. Calling Ashʿarism “subjectivism” can mislead if it suggests that individual human feeling creates value. Even strong divine voluntarism makes norms radically independent of human attitudes. Conversely, calling Muʿtazilism “realism” does not settle whether goodness exists independently of God or as the intelligible expression of divine justice.</w:t>
      </w:r>
    </w:p>
    <w:p>
      <w:pPr>
        <w:pStyle w:val="Heading2"/>
      </w:pPr>
      <w:r>
        <w:rPr>
          <w:rFonts w:ascii="Calibri" w:hAnsi="Calibri" w:cs="Calibri"/>
          <w:b/>
          <w:i w:val="0"/>
          <w:color w:val="2E74B5"/>
          <w:sz w:val="26"/>
        </w:rPr>
        <w:t>8.2 A Qur’anic synthesis</w:t>
      </w:r>
    </w:p>
    <w:p>
      <w:pPr/>
      <w:r>
        <w:rPr>
          <w:rFonts w:ascii="Calibri" w:hAnsi="Calibri" w:cs="Calibri"/>
          <w:b w:val="0"/>
          <w:i w:val="0"/>
          <w:color w:val="1E252B"/>
          <w:sz w:val="22"/>
        </w:rPr>
        <w:t>The focal verses support neither of two extremes:</w:t>
      </w:r>
    </w:p>
    <w:p>
      <w:pPr>
        <w:numPr>
          <w:ilvl w:val="0"/>
          <w:numId w:val="10"/>
        </w:numPr>
        <w:spacing w:after="80"/>
        <w:ind w:left="540" w:hanging="279"/>
      </w:pPr>
      <w:r>
        <w:rPr>
          <w:rFonts w:ascii="Calibri" w:hAnsi="Calibri" w:cs="Calibri"/>
          <w:b/>
          <w:i w:val="0"/>
          <w:color w:val="1E252B"/>
          <w:sz w:val="22"/>
        </w:rPr>
        <w:t>An autonomous moral realm above God.</w:t>
      </w:r>
      <w:r>
        <w:rPr>
          <w:rFonts w:ascii="Calibri" w:hAnsi="Calibri" w:cs="Calibri"/>
          <w:b w:val="0"/>
          <w:i w:val="0"/>
          <w:color w:val="1E252B"/>
          <w:sz w:val="22"/>
        </w:rPr>
        <w:t xml:space="preserve"> This would fracture ultimate reality and compromise tawḥīd.</w:t>
      </w:r>
    </w:p>
    <w:p>
      <w:pPr>
        <w:numPr>
          <w:ilvl w:val="0"/>
          <w:numId w:val="10"/>
        </w:numPr>
        <w:spacing w:after="80"/>
        <w:ind w:left="540" w:hanging="279"/>
      </w:pPr>
      <w:r>
        <w:rPr>
          <w:rFonts w:ascii="Calibri" w:hAnsi="Calibri" w:cs="Calibri"/>
          <w:b/>
          <w:i w:val="0"/>
          <w:color w:val="1E252B"/>
          <w:sz w:val="22"/>
        </w:rPr>
        <w:t>Arbitrary divine preference without wisdom or character.</w:t>
      </w:r>
      <w:r>
        <w:rPr>
          <w:rFonts w:ascii="Calibri" w:hAnsi="Calibri" w:cs="Calibri"/>
          <w:b w:val="0"/>
          <w:i w:val="0"/>
          <w:color w:val="1E252B"/>
          <w:sz w:val="22"/>
        </w:rPr>
        <w:t xml:space="preserve"> This sits badly with the Qur’an’s repeated claims that God does not command indecency (7:28), commands justice and excellence (16:90), loves justice, wrongs no one, and acts in truth and wisdom.</w:t>
      </w:r>
    </w:p>
    <w:p>
      <w:pPr/>
      <w:r>
        <w:rPr>
          <w:rFonts w:ascii="Calibri" w:hAnsi="Calibri" w:cs="Calibri"/>
          <w:b w:val="0"/>
          <w:i w:val="0"/>
          <w:color w:val="1E252B"/>
          <w:sz w:val="22"/>
        </w:rPr>
        <w:t>A more adequate formulation is: necessary moral truth is grounded in who God necessarily is; contingent obligations also arise from God’s wise commands, covenants, roles, and created circumstances. Thus, the wrongness of gratuitous cruelty reflects the necessary perfection of divine mercy and justice, while the exact rites of pilgrimage depend on divine appointment. Both are objective for creatures, but not objective in precisely the same way.</w:t>
      </w:r>
    </w:p>
    <w:p>
      <w:pPr/>
      <w:r>
        <w:rPr>
          <w:rFonts w:ascii="Calibri" w:hAnsi="Calibri" w:cs="Calibri"/>
          <w:b w:val="0"/>
          <w:i w:val="0"/>
          <w:color w:val="1E252B"/>
          <w:sz w:val="22"/>
        </w:rPr>
        <w:t>This distinction illuminates 22:32. The existence and form of a particular rite may be contingent upon command; the sincerity, truthfulness, gratitude, and reverence it cultivates are intelligibly related to God’s character and humanity’s created good. The heart does not make the rite sacred by feeling; it recognizes and responds to a sacredness grounded beyond itself.</w:t>
      </w:r>
    </w:p>
    <w:p>
      <w:pPr>
        <w:pStyle w:val="Heading2"/>
      </w:pPr>
      <w:r>
        <w:rPr>
          <w:rFonts w:ascii="Calibri" w:hAnsi="Calibri" w:cs="Calibri"/>
          <w:b/>
          <w:i w:val="0"/>
          <w:color w:val="2E74B5"/>
          <w:sz w:val="26"/>
        </w:rPr>
        <w:t>8.3 Moral knowledge: reason, fiṭra, revelation, and practice</w:t>
      </w:r>
    </w:p>
    <w:p>
      <w:pPr/>
      <w:r>
        <w:rPr>
          <w:rFonts w:ascii="Calibri" w:hAnsi="Calibri" w:cs="Calibri"/>
          <w:b w:val="0"/>
          <w:i w:val="0"/>
          <w:color w:val="1E252B"/>
          <w:sz w:val="22"/>
        </w:rPr>
        <w:t>Qur’anic moral epistemology is plural:</w:t>
      </w:r>
    </w:p>
    <w:p>
      <w:pPr>
        <w:numPr>
          <w:ilvl w:val="0"/>
          <w:numId w:val="10"/>
        </w:numPr>
        <w:spacing w:after="80"/>
        <w:ind w:left="540" w:hanging="279"/>
      </w:pPr>
      <w:r>
        <w:rPr>
          <w:rFonts w:ascii="Calibri" w:hAnsi="Calibri" w:cs="Calibri"/>
          <w:b/>
          <w:i w:val="0"/>
          <w:color w:val="1E252B"/>
          <w:sz w:val="22"/>
        </w:rPr>
        <w:t>Reason</w:t>
      </w:r>
      <w:r>
        <w:rPr>
          <w:rFonts w:ascii="Calibri" w:hAnsi="Calibri" w:cs="Calibri"/>
          <w:b w:val="0"/>
          <w:i w:val="0"/>
          <w:color w:val="1E252B"/>
          <w:sz w:val="22"/>
        </w:rPr>
        <w:t xml:space="preserve"> identifies consistency, consequences, reciprocity, human goods, and many basic duties.</w:t>
      </w:r>
    </w:p>
    <w:p>
      <w:pPr>
        <w:numPr>
          <w:ilvl w:val="0"/>
          <w:numId w:val="10"/>
        </w:numPr>
        <w:spacing w:after="80"/>
        <w:ind w:left="540" w:hanging="279"/>
      </w:pPr>
      <w:r>
        <w:rPr>
          <w:rFonts w:ascii="Calibri" w:hAnsi="Calibri" w:cs="Calibri"/>
          <w:b/>
          <w:i w:val="0"/>
          <w:color w:val="1E252B"/>
          <w:sz w:val="22"/>
        </w:rPr>
        <w:t>Fiṭra</w:t>
      </w:r>
      <w:r>
        <w:rPr>
          <w:rFonts w:ascii="Calibri" w:hAnsi="Calibri" w:cs="Calibri"/>
          <w:b w:val="0"/>
          <w:i w:val="0"/>
          <w:color w:val="1E252B"/>
          <w:sz w:val="22"/>
        </w:rPr>
        <w:t xml:space="preserve"> names a created responsiveness to God and value, not an infallible inventory of rules.</w:t>
      </w:r>
    </w:p>
    <w:p>
      <w:pPr>
        <w:numPr>
          <w:ilvl w:val="0"/>
          <w:numId w:val="10"/>
        </w:numPr>
        <w:spacing w:after="80"/>
        <w:ind w:left="540" w:hanging="279"/>
      </w:pPr>
      <w:r>
        <w:rPr>
          <w:rFonts w:ascii="Calibri" w:hAnsi="Calibri" w:cs="Calibri"/>
          <w:b/>
          <w:i w:val="0"/>
          <w:color w:val="1E252B"/>
          <w:sz w:val="22"/>
        </w:rPr>
        <w:t>Revelation</w:t>
      </w:r>
      <w:r>
        <w:rPr>
          <w:rFonts w:ascii="Calibri" w:hAnsi="Calibri" w:cs="Calibri"/>
          <w:b w:val="0"/>
          <w:i w:val="0"/>
          <w:color w:val="1E252B"/>
          <w:sz w:val="22"/>
        </w:rPr>
        <w:t xml:space="preserve"> corrects distortion, discloses the ultimate end, specifies practices, and authoritatively judges contested matters.</w:t>
      </w:r>
    </w:p>
    <w:p>
      <w:pPr>
        <w:numPr>
          <w:ilvl w:val="0"/>
          <w:numId w:val="10"/>
        </w:numPr>
        <w:spacing w:after="80"/>
        <w:ind w:left="540" w:hanging="279"/>
      </w:pPr>
      <w:r>
        <w:rPr>
          <w:rFonts w:ascii="Calibri" w:hAnsi="Calibri" w:cs="Calibri"/>
          <w:b/>
          <w:i w:val="0"/>
          <w:color w:val="1E252B"/>
          <w:sz w:val="22"/>
        </w:rPr>
        <w:t>The heart</w:t>
      </w:r>
      <w:r>
        <w:rPr>
          <w:rFonts w:ascii="Calibri" w:hAnsi="Calibri" w:cs="Calibri"/>
          <w:b w:val="0"/>
          <w:i w:val="0"/>
          <w:color w:val="1E252B"/>
          <w:sz w:val="22"/>
        </w:rPr>
        <w:t xml:space="preserve"> integrates cognition, intention, emotion, and will; it may become sound, hardened, diseased, or tranquil.</w:t>
      </w:r>
    </w:p>
    <w:p>
      <w:pPr>
        <w:numPr>
          <w:ilvl w:val="0"/>
          <w:numId w:val="10"/>
        </w:numPr>
        <w:spacing w:after="80"/>
        <w:ind w:left="540" w:hanging="279"/>
      </w:pPr>
      <w:r>
        <w:rPr>
          <w:rFonts w:ascii="Calibri" w:hAnsi="Calibri" w:cs="Calibri"/>
          <w:b/>
          <w:i w:val="0"/>
          <w:color w:val="1E252B"/>
          <w:sz w:val="22"/>
        </w:rPr>
        <w:t>Practice</w:t>
      </w:r>
      <w:r>
        <w:rPr>
          <w:rFonts w:ascii="Calibri" w:hAnsi="Calibri" w:cs="Calibri"/>
          <w:b w:val="0"/>
          <w:i w:val="0"/>
          <w:color w:val="1E252B"/>
          <w:sz w:val="22"/>
        </w:rPr>
        <w:t xml:space="preserve"> trains perception. Revering signs, giving, fasting, praying, and truth-telling can form the kind of agent who sees reasons more clearly.</w:t>
      </w:r>
    </w:p>
    <w:p>
      <w:pPr>
        <w:numPr>
          <w:ilvl w:val="0"/>
          <w:numId w:val="10"/>
        </w:numPr>
        <w:spacing w:after="80"/>
        <w:ind w:left="540" w:hanging="279"/>
      </w:pPr>
      <w:r>
        <w:rPr>
          <w:rFonts w:ascii="Calibri" w:hAnsi="Calibri" w:cs="Calibri"/>
          <w:b/>
          <w:i w:val="0"/>
          <w:color w:val="1E252B"/>
          <w:sz w:val="22"/>
        </w:rPr>
        <w:t>Community and scholarship</w:t>
      </w:r>
      <w:r>
        <w:rPr>
          <w:rFonts w:ascii="Calibri" w:hAnsi="Calibri" w:cs="Calibri"/>
          <w:b w:val="0"/>
          <w:i w:val="0"/>
          <w:color w:val="1E252B"/>
          <w:sz w:val="22"/>
        </w:rPr>
        <w:t xml:space="preserve"> preserve memory and discipline interpretation, while remaining fallible and accountable to truth.</w:t>
      </w:r>
    </w:p>
    <w:p>
      <w:pPr/>
      <w:r>
        <w:rPr>
          <w:rFonts w:ascii="Calibri" w:hAnsi="Calibri" w:cs="Calibri"/>
          <w:b w:val="0"/>
          <w:i w:val="0"/>
          <w:color w:val="1E252B"/>
          <w:sz w:val="22"/>
        </w:rPr>
        <w:t>Moral realism therefore does not entail naïve confidence. The Qur’an can affirm objective truth while explaining persistent disagreement through ignorance, interest, pride, trauma, social conditioning, and self-deception. Taqwā is at once moral virtue and an epistemic discipline of the heart.</w:t>
      </w:r>
    </w:p>
    <w:p>
      <w:pPr>
        <w:pStyle w:val="Heading1"/>
        <w:pageBreakBefore/>
      </w:pPr>
      <w:r>
        <w:rPr>
          <w:rFonts w:ascii="Calibri" w:hAnsi="Calibri" w:cs="Calibri"/>
          <w:b/>
          <w:i w:val="0"/>
          <w:color w:val="2E74B5"/>
          <w:sz w:val="32"/>
        </w:rPr>
        <w:t>9. A Strong Refutation of Moral Anti-Realism</w:t>
      </w:r>
    </w:p>
    <w:p>
      <w:pPr/>
      <w:r>
        <w:rPr>
          <w:rFonts w:ascii="Calibri" w:hAnsi="Calibri" w:cs="Calibri"/>
          <w:b w:val="0"/>
          <w:i w:val="0"/>
          <w:color w:val="1E252B"/>
          <w:sz w:val="22"/>
        </w:rPr>
        <w:t>The following critique is emphatic about the insufficiency of anti-realist arguments, not dismissive of the philosophers who formulated them. Anti-realists can oppose cruelty, build institutions, and reason conscientiously. The dispute concerns whether their account can truthfully say that some acts remain wrong independently of attitudes and norms.</w:t>
      </w:r>
    </w:p>
    <w:p>
      <w:pPr>
        <w:pStyle w:val="Heading2"/>
      </w:pPr>
      <w:r>
        <w:rPr>
          <w:rFonts w:ascii="Calibri" w:hAnsi="Calibri" w:cs="Calibri"/>
          <w:b/>
          <w:i w:val="0"/>
          <w:color w:val="2E74B5"/>
          <w:sz w:val="26"/>
        </w:rPr>
        <w:t>9.1 Hume: sentiment explains motivation, not the nonexistence of truth</w:t>
      </w:r>
    </w:p>
    <w:p>
      <w:pPr/>
      <w:r>
        <w:rPr>
          <w:rFonts w:ascii="Calibri" w:hAnsi="Calibri" w:cs="Calibri"/>
          <w:b w:val="0"/>
          <w:i w:val="0"/>
          <w:color w:val="1E252B"/>
          <w:sz w:val="22"/>
        </w:rPr>
        <w:t xml:space="preserve">David Hume argues that moral distinctions are deeply connected to sentiment and that reason alone does not move the will. His famous “is/ought” passage warns against deriving a normative conclusion from purely descriptive premises without explaining the transition. Yet Hume’s exact metaethical classification is contested; </w:t>
      </w:r>
      <w:hyperlink r:id="rId50">
        <w:r>
          <w:rPr>
            <w:rFonts w:ascii="Calibri" w:hAnsi="Calibri"/>
            <w:color w:val="2E74B5"/>
            <w:u w:val="single"/>
            <w:sz w:val="22"/>
          </w:rPr>
          <w:t>contemporary scholarship on Hume</w:t>
        </w:r>
      </w:hyperlink>
      <w:r>
        <w:rPr>
          <w:rFonts w:ascii="Calibri" w:hAnsi="Calibri" w:cs="Calibri"/>
          <w:b w:val="0"/>
          <w:i w:val="0"/>
          <w:color w:val="1E252B"/>
          <w:sz w:val="22"/>
        </w:rPr>
        <w:t xml:space="preserve"> includes cognitivist, non-cognitivist, realist, and anti-realist readings.</w:t>
      </w:r>
    </w:p>
    <w:p>
      <w:pPr/>
      <w:r>
        <w:rPr>
          <w:rFonts w:ascii="Calibri" w:hAnsi="Calibri" w:cs="Calibri"/>
          <w:b w:val="0"/>
          <w:i w:val="0"/>
          <w:color w:val="1E252B"/>
          <w:sz w:val="22"/>
        </w:rPr>
        <w:t>The anti-realist inference fails. From “sentiment participates in moral judgment,” it does not follow that no judgment is true. Perception also involves evolved affective and cognitive machinery, yet trees do not become projections. From “an ought cannot be validly deduced from non-normative premises alone,” it follows only that a normative premise or bridge is needed. Realists freely concede that logical point. And from “belief alone may not motivate,” it does not follow that beliefs lack truth; responsiveness to reasons may require desire, virtue, or a well-formed heart.</w:t>
      </w:r>
    </w:p>
    <w:p>
      <w:pPr/>
      <w:r>
        <w:rPr>
          <w:rFonts w:ascii="Calibri" w:hAnsi="Calibri" w:cs="Calibri"/>
          <w:b w:val="0"/>
          <w:i w:val="0"/>
          <w:color w:val="1E252B"/>
          <w:sz w:val="22"/>
        </w:rPr>
        <w:t>The Qur’anic account is more psychologically complete. Taqwā belongs to hearts, so emotion and motivation matter. But the heart responds to God’s signs; it does not create their truth. Hume illuminates moral psychology while failing to abolish moral ontology.</w:t>
      </w:r>
    </w:p>
    <w:p>
      <w:pPr>
        <w:pStyle w:val="Heading2"/>
      </w:pPr>
      <w:r>
        <w:rPr>
          <w:rFonts w:ascii="Calibri" w:hAnsi="Calibri" w:cs="Calibri"/>
          <w:b/>
          <w:i w:val="0"/>
          <w:color w:val="2E74B5"/>
          <w:sz w:val="26"/>
        </w:rPr>
        <w:t>9.2 Nietzsche: genealogy is not refutation</w:t>
      </w:r>
    </w:p>
    <w:p>
      <w:pPr/>
      <w:r>
        <w:rPr>
          <w:rFonts w:ascii="Calibri" w:hAnsi="Calibri" w:cs="Calibri"/>
          <w:b w:val="0"/>
          <w:i w:val="0"/>
          <w:color w:val="1E252B"/>
          <w:sz w:val="22"/>
        </w:rPr>
        <w:t xml:space="preserve">Nietzsche’s genealogical critique exposes resentment, domination, self-deception, and historical contingency within moral systems. In </w:t>
      </w:r>
      <w:r>
        <w:rPr>
          <w:rFonts w:ascii="Calibri" w:hAnsi="Calibri" w:cs="Calibri"/>
          <w:b w:val="0"/>
          <w:i/>
          <w:color w:val="1E252B"/>
          <w:sz w:val="22"/>
        </w:rPr>
        <w:t>Beyond Good and Evil</w:t>
      </w:r>
      <w:r>
        <w:rPr>
          <w:rFonts w:ascii="Calibri" w:hAnsi="Calibri" w:cs="Calibri"/>
          <w:b w:val="0"/>
          <w:i w:val="0"/>
          <w:color w:val="1E252B"/>
          <w:sz w:val="22"/>
        </w:rPr>
        <w:t xml:space="preserve"> he writes, “There is no such thing as moral phenomena, but only a moral interpretation of phenomena.” His strongest anti-realist line is explanatory: if psychological and social forces explain moral belief, moral facts may seem dispensable.</w:t>
      </w:r>
    </w:p>
    <w:p>
      <w:pPr/>
      <w:r>
        <w:rPr>
          <w:rFonts w:ascii="Calibri" w:hAnsi="Calibri" w:cs="Calibri"/>
          <w:b w:val="0"/>
          <w:i w:val="0"/>
          <w:color w:val="1E252B"/>
          <w:sz w:val="22"/>
        </w:rPr>
        <w:t>But explaining the origin of a belief is not deciding its truth. That is the genetic fallacy unless the genealogy shows the belief-forming process to be unreliable with respect to the proposition at issue. Greed can explain why someone rejects evidence without making the rejected conclusion false; resentment can explain an endorsement without making it true. Genealogy is a tool for purification, not an ontological solvent.</w:t>
      </w:r>
    </w:p>
    <w:p>
      <w:pPr/>
      <w:r>
        <w:rPr>
          <w:rFonts w:ascii="Calibri" w:hAnsi="Calibri" w:cs="Calibri"/>
          <w:b w:val="0"/>
          <w:i w:val="0"/>
          <w:color w:val="1E252B"/>
          <w:sz w:val="22"/>
        </w:rPr>
        <w:t>Moreover, Nietzsche’s criticism depends on thick evaluations—honesty over self-deception, vitality over decadence, intellectual courage over herd conformity. He can recast them as his values, but then his critique loses categorical purchase on those who prefer domination or comforting illusion. The Qur’an agrees that moral language can mask power; the prophets repeatedly unmask elites. It denies that abuse of moral discourse entails absence of moral truth.</w:t>
      </w:r>
    </w:p>
    <w:p>
      <w:pPr>
        <w:pStyle w:val="Heading2"/>
      </w:pPr>
      <w:r>
        <w:rPr>
          <w:rFonts w:ascii="Calibri" w:hAnsi="Calibri" w:cs="Calibri"/>
          <w:b/>
          <w:i w:val="0"/>
          <w:color w:val="2E74B5"/>
          <w:sz w:val="26"/>
        </w:rPr>
        <w:t>9.3 Ayer: verificationism defeats itself</w:t>
      </w:r>
    </w:p>
    <w:p>
      <w:pPr/>
      <w:r>
        <w:rPr>
          <w:rFonts w:ascii="Calibri" w:hAnsi="Calibri" w:cs="Calibri"/>
          <w:b w:val="0"/>
          <w:i w:val="0"/>
          <w:color w:val="1E252B"/>
          <w:sz w:val="22"/>
        </w:rPr>
        <w:t>A. J. Ayer’s emotivism follows from logical positivist verificationism: if a synthetic assertion is meaningful only when empirically verifiable, moral assertions do not state facts and instead express approval or disapproval. The problem is devastating and familiar: the verification principle is itself neither an analytic truth nor an empirically verifiable generalization. Applied to itself, it cannot meet its own criterion. The doctrine that demoted ethics also demotes its own philosophical foundation.</w:t>
      </w:r>
    </w:p>
    <w:p>
      <w:pPr/>
      <w:r>
        <w:rPr>
          <w:rFonts w:ascii="Calibri" w:hAnsi="Calibri" w:cs="Calibri"/>
          <w:b w:val="0"/>
          <w:i w:val="0"/>
          <w:color w:val="1E252B"/>
          <w:sz w:val="22"/>
        </w:rPr>
        <w:t xml:space="preserve">Emotivism also faces the </w:t>
      </w:r>
      <w:hyperlink r:id="rId15">
        <w:r>
          <w:rPr>
            <w:rFonts w:ascii="Calibri" w:hAnsi="Calibri"/>
            <w:color w:val="2E74B5"/>
            <w:u w:val="single"/>
            <w:sz w:val="22"/>
          </w:rPr>
          <w:t>Frege–Geach problem</w:t>
        </w:r>
      </w:hyperlink>
      <w:r>
        <w:rPr>
          <w:rFonts w:ascii="Calibri" w:hAnsi="Calibri" w:cs="Calibri"/>
          <w:b w:val="0"/>
          <w:i w:val="0"/>
          <w:color w:val="1E252B"/>
          <w:sz w:val="22"/>
        </w:rPr>
        <w:t>. Moral sentences retain stable meaning inside negations, conditionals, questions, and valid arguments. “If betrayal is wrong, inducing another to betray is wrong” is not naturally analyzed as a conditional made from exclamations. Later expressivists have developed sophisticated semantics to address this, but that development concedes how inadequately the simple “boo/hurrah” model captures moral reasoning.</w:t>
      </w:r>
    </w:p>
    <w:p>
      <w:pPr>
        <w:pStyle w:val="Heading2"/>
      </w:pPr>
      <w:r>
        <w:rPr>
          <w:rFonts w:ascii="Calibri" w:hAnsi="Calibri" w:cs="Calibri"/>
          <w:b/>
          <w:i w:val="0"/>
          <w:color w:val="2E74B5"/>
          <w:sz w:val="26"/>
        </w:rPr>
        <w:t>9.4 Stevenson: persuasive force does not exhaust truth conditions</w:t>
      </w:r>
    </w:p>
    <w:p>
      <w:pPr/>
      <w:r>
        <w:rPr>
          <w:rFonts w:ascii="Calibri" w:hAnsi="Calibri" w:cs="Calibri"/>
          <w:b w:val="0"/>
          <w:i w:val="0"/>
          <w:color w:val="1E252B"/>
          <w:sz w:val="22"/>
        </w:rPr>
        <w:t>C. L. Stevenson rightly observes that ethical language expresses attitudes and seeks to influence conduct. Moral argument is practical, not merely classificatory. But speech can both describe and persuade. A physician’s warning may aim to alter behavior while remaining factually true; a witness may speak to move a jury while making a truth-apt claim. Dynamic function does not entail semantic exhaustion.</w:t>
      </w:r>
    </w:p>
    <w:p>
      <w:pPr/>
      <w:r>
        <w:rPr>
          <w:rFonts w:ascii="Calibri" w:hAnsi="Calibri" w:cs="Calibri"/>
          <w:b w:val="0"/>
          <w:i w:val="0"/>
          <w:color w:val="1E252B"/>
          <w:sz w:val="22"/>
        </w:rPr>
        <w:t>Stevenson explains why moral words matter to speakers. He does not establish that what they say cannot be true. Indeed, persuasion by reasons presupposes that some considerations are relevant and others misleading—a normative distinction his analysis alone cannot ground.</w:t>
      </w:r>
    </w:p>
    <w:p>
      <w:pPr>
        <w:pStyle w:val="Heading2"/>
      </w:pPr>
      <w:r>
        <w:rPr>
          <w:rFonts w:ascii="Calibri" w:hAnsi="Calibri" w:cs="Calibri"/>
          <w:b/>
          <w:i w:val="0"/>
          <w:color w:val="2E74B5"/>
          <w:sz w:val="26"/>
        </w:rPr>
        <w:t>9.5 Mackie: disagreement and “queerness” do not carry the conclusion</w:t>
      </w:r>
    </w:p>
    <w:p>
      <w:pPr/>
      <w:r>
        <w:rPr>
          <w:rFonts w:ascii="Calibri" w:hAnsi="Calibri" w:cs="Calibri"/>
          <w:b w:val="0"/>
          <w:i w:val="0"/>
          <w:color w:val="1E252B"/>
          <w:sz w:val="22"/>
        </w:rPr>
        <w:t xml:space="preserve">J. L. Mackie’s error theory accepts that ordinary moral discourse purports to state objective truths but concludes that all such claims are false. His </w:t>
      </w:r>
      <w:hyperlink r:id="rId51">
        <w:r>
          <w:rPr>
            <w:rFonts w:ascii="Calibri" w:hAnsi="Calibri"/>
            <w:color w:val="2E74B5"/>
            <w:u w:val="single"/>
            <w:sz w:val="22"/>
            <w:i/>
          </w:rPr>
          <w:t>Ethics: Inventing Right and Wrong</w:t>
        </w:r>
      </w:hyperlink>
      <w:r>
        <w:rPr>
          <w:rFonts w:ascii="Calibri" w:hAnsi="Calibri" w:cs="Calibri"/>
          <w:b w:val="0"/>
          <w:i w:val="0"/>
          <w:color w:val="1E252B"/>
          <w:sz w:val="22"/>
        </w:rPr>
        <w:t xml:space="preserve"> offers two famous arguments.</w:t>
      </w:r>
    </w:p>
    <w:p>
      <w:pPr/>
      <w:r>
        <w:rPr>
          <w:rFonts w:ascii="Calibri" w:hAnsi="Calibri" w:cs="Calibri"/>
          <w:b/>
          <w:i w:val="0"/>
          <w:color w:val="1E252B"/>
          <w:sz w:val="22"/>
        </w:rPr>
        <w:t>The argument from relativity or disagreement</w:t>
      </w:r>
      <w:r>
        <w:rPr>
          <w:rFonts w:ascii="Calibri" w:hAnsi="Calibri" w:cs="Calibri"/>
          <w:b w:val="0"/>
          <w:i w:val="0"/>
          <w:color w:val="1E252B"/>
          <w:sz w:val="22"/>
        </w:rPr>
        <w:t xml:space="preserve"> is underdetermined. People disagree about astronomy, history, medicine, and metaphysics without making those domains unreal. Moral disagreement is often traceable to nonmoral beliefs, unequal power, scarcity, self-interest, different circumstances, or disagreement about how shared values apply. Convergence on prohibitions of arbitrary killing, betrayal, theft, and cruelty is imperfect but morally significant. Even universal disagreement would show epistemic difficulty, not nonexistence.</w:t>
      </w:r>
    </w:p>
    <w:p>
      <w:pPr/>
      <w:r>
        <w:rPr>
          <w:rFonts w:ascii="Calibri" w:hAnsi="Calibri" w:cs="Calibri"/>
          <w:b/>
          <w:i w:val="0"/>
          <w:color w:val="1E252B"/>
          <w:sz w:val="22"/>
        </w:rPr>
        <w:t>The argument from queerness</w:t>
      </w:r>
      <w:r>
        <w:rPr>
          <w:rFonts w:ascii="Calibri" w:hAnsi="Calibri" w:cs="Calibri"/>
          <w:b w:val="0"/>
          <w:i w:val="0"/>
          <w:color w:val="1E252B"/>
          <w:sz w:val="22"/>
        </w:rPr>
        <w:t xml:space="preserve"> presupposes that genuine reality must resemble the natural properties accepted by a restrictive empiricism. But logical validity, epistemic reasons, mathematical truths, consciousness, modality, and intentionality already resist a crude inventory of physical objects. A reason need not push matter to be real; it counts in favor of an action. Naturalist realists identify moral facts with complex natural facts. Non-naturalists deny that causal inertness entails unreality. Theists embed normativity in a purposive reality grounded in God. Mackie’s argument therefore attacks one picture and announces victory over every form of realism.</w:t>
      </w:r>
    </w:p>
    <w:p>
      <w:pPr/>
      <w:r>
        <w:rPr>
          <w:rFonts w:ascii="Calibri" w:hAnsi="Calibri" w:cs="Calibri"/>
          <w:b w:val="0"/>
          <w:i w:val="0"/>
          <w:color w:val="1E252B"/>
          <w:sz w:val="22"/>
        </w:rPr>
        <w:t>His demand that objective values possess built-in motivational force is also excessive. A fact can provide a reason that a corrupt or indifferent agent ignores. The failure of wicked people to be motivated by suffering is evidence about them, not about suffering’s moral significance.</w:t>
      </w:r>
    </w:p>
    <w:p>
      <w:pPr>
        <w:pStyle w:val="Heading2"/>
      </w:pPr>
      <w:r>
        <w:rPr>
          <w:rFonts w:ascii="Calibri" w:hAnsi="Calibri" w:cs="Calibri"/>
          <w:b/>
          <w:i w:val="0"/>
          <w:color w:val="2E74B5"/>
          <w:sz w:val="26"/>
        </w:rPr>
        <w:t>9.6 Blackburn and Gibbard: sophisticated expressivism approaches realism</w:t>
      </w:r>
    </w:p>
    <w:p>
      <w:pPr/>
      <w:r>
        <w:rPr>
          <w:rFonts w:ascii="Calibri" w:hAnsi="Calibri" w:cs="Calibri"/>
          <w:b w:val="0"/>
          <w:i w:val="0"/>
          <w:color w:val="1E252B"/>
          <w:sz w:val="22"/>
        </w:rPr>
        <w:t>Simon Blackburn’s quasi-realism and Allan Gibbard’s norm-expressivism are far stronger than early emotivism. They explain moral judgment through attitudes or acceptance of norms while reconstructing negation, inference, disagreement, truth-talk, and practical stability. This is a genuine philosophical achievement.</w:t>
      </w:r>
    </w:p>
    <w:p>
      <w:pPr/>
      <w:r>
        <w:rPr>
          <w:rFonts w:ascii="Calibri" w:hAnsi="Calibri" w:cs="Calibri"/>
          <w:b w:val="0"/>
          <w:i w:val="0"/>
          <w:color w:val="1E252B"/>
          <w:sz w:val="22"/>
        </w:rPr>
        <w:t>Yet the reconstruction creates a dilemma. If moral standards can be mistaken in a way not exhausted by an agent’s or community’s attitudes, stance-independent normativity has re-entered. If they cannot, then the deepest conflict—between a society endorsing domination and its victims—has no attitude-independent truth of the matter. Quasi-realism can earn the right to sound like realism, but the more fully it earns truth, error, and objectivity, the less explanatory gain remains from denying moral facts.</w:t>
      </w:r>
    </w:p>
    <w:p>
      <w:pPr/>
      <w:r>
        <w:rPr>
          <w:rFonts w:ascii="Calibri" w:hAnsi="Calibri" w:cs="Calibri"/>
          <w:b w:val="0"/>
          <w:i w:val="0"/>
          <w:color w:val="1E252B"/>
          <w:sz w:val="22"/>
        </w:rPr>
        <w:t>The Qur’anic “return” in 3:83 presses exactly where expressivism is thinnest. Judgment is not merely the eventual victory of one norm system. The oppressor and victim return to a knower before whom deeds have a determinate moral reality.</w:t>
      </w:r>
    </w:p>
    <w:p>
      <w:pPr>
        <w:pStyle w:val="Heading2"/>
      </w:pPr>
      <w:r>
        <w:rPr>
          <w:rFonts w:ascii="Calibri" w:hAnsi="Calibri" w:cs="Calibri"/>
          <w:b/>
          <w:i w:val="0"/>
          <w:color w:val="2E74B5"/>
          <w:sz w:val="26"/>
        </w:rPr>
        <w:t>9.7 Hare: universal prescription cannot exclude consistent evil</w:t>
      </w:r>
    </w:p>
    <w:p>
      <w:pPr/>
      <w:r>
        <w:rPr>
          <w:rFonts w:ascii="Calibri" w:hAnsi="Calibri" w:cs="Calibri"/>
          <w:b w:val="0"/>
          <w:i w:val="0"/>
          <w:color w:val="1E252B"/>
          <w:sz w:val="22"/>
        </w:rPr>
        <w:t>R. M. Hare’s universal prescriptivism treats moral judgments as prescriptions constrained by universalizability. This captures action-guidance and consistency. But formal universalization alone cannot rule out every fanatically consistent cruelty. An agent might prescribe a harsh hierarchy universally while accepting its consequences even for himself. To show why his prescription is wrong requires substantive reasons about equal standing, suffering, agency, justice, or mercy. Once those reasons carry authority independently of the prescription, realism has supplied what prescriptivism lacks.</w:t>
      </w:r>
    </w:p>
    <w:p>
      <w:pPr>
        <w:pStyle w:val="Heading2"/>
      </w:pPr>
      <w:r>
        <w:rPr>
          <w:rFonts w:ascii="Calibri" w:hAnsi="Calibri" w:cs="Calibri"/>
          <w:b/>
          <w:i w:val="0"/>
          <w:color w:val="2E74B5"/>
          <w:sz w:val="26"/>
        </w:rPr>
        <w:t>9.8 Richard Joyce: useful fiction is an unstable foundation</w:t>
      </w:r>
    </w:p>
    <w:p>
      <w:pPr/>
      <w:r>
        <w:rPr>
          <w:rFonts w:ascii="Calibri" w:hAnsi="Calibri" w:cs="Calibri"/>
          <w:b w:val="0"/>
          <w:i w:val="0"/>
          <w:color w:val="1E252B"/>
          <w:sz w:val="22"/>
        </w:rPr>
        <w:t xml:space="preserve">Richard Joyce’s error theory says ordinary moral judgments systematically fail; his fictionalism proposes continuing moral discourse for practical benefits without believing it literally true. This is candid, but it creates pressure. Why </w:t>
      </w:r>
      <w:r>
        <w:rPr>
          <w:rFonts w:ascii="Calibri" w:hAnsi="Calibri" w:cs="Calibri"/>
          <w:b/>
          <w:i w:val="0"/>
          <w:color w:val="1E252B"/>
          <w:sz w:val="22"/>
        </w:rPr>
        <w:t>ought</w:t>
      </w:r>
      <w:r>
        <w:rPr>
          <w:rFonts w:ascii="Calibri" w:hAnsi="Calibri" w:cs="Calibri"/>
          <w:b w:val="0"/>
          <w:i w:val="0"/>
          <w:color w:val="1E252B"/>
          <w:sz w:val="22"/>
        </w:rPr>
        <w:t xml:space="preserve"> we adopt the useful fiction? If the answer appeals only to desires already held, it cannot categorically address the person whose advantage lies in exploitation. If it appeals to reasons everyone has regardless of desire, objective normativity has returned.</w:t>
      </w:r>
    </w:p>
    <w:p>
      <w:pPr/>
      <w:r>
        <w:rPr>
          <w:rFonts w:ascii="Calibri" w:hAnsi="Calibri" w:cs="Calibri"/>
          <w:b w:val="0"/>
          <w:i w:val="0"/>
          <w:color w:val="1E252B"/>
          <w:sz w:val="22"/>
        </w:rPr>
        <w:t>Fictionalism also asks conscience to speak with a voice one officially disbelieves. Local fictions can be instrumentally useful, but an entire practice of accountability, blame, apology, and reform loses integrity if all participants are invited to treat its central assertions as systematically false.</w:t>
      </w:r>
    </w:p>
    <w:p>
      <w:pPr>
        <w:pStyle w:val="Heading2"/>
      </w:pPr>
      <w:r>
        <w:rPr>
          <w:rFonts w:ascii="Calibri" w:hAnsi="Calibri" w:cs="Calibri"/>
          <w:b/>
          <w:i w:val="0"/>
          <w:color w:val="2E74B5"/>
          <w:sz w:val="26"/>
        </w:rPr>
        <w:t>9.9 Evolutionary debunking: causal history is not a global defeater</w:t>
      </w:r>
    </w:p>
    <w:p>
      <w:pPr/>
      <w:r>
        <w:rPr>
          <w:rFonts w:ascii="Calibri" w:hAnsi="Calibri" w:cs="Calibri"/>
          <w:b w:val="0"/>
          <w:i w:val="0"/>
          <w:color w:val="1E252B"/>
          <w:sz w:val="22"/>
        </w:rPr>
        <w:t xml:space="preserve">Sharon Street’s </w:t>
      </w:r>
      <w:hyperlink r:id="rId52">
        <w:r>
          <w:rPr>
            <w:rFonts w:ascii="Calibri" w:hAnsi="Calibri"/>
            <w:color w:val="2E74B5"/>
            <w:u w:val="single"/>
            <w:sz w:val="22"/>
          </w:rPr>
          <w:t>Darwinian dilemma</w:t>
        </w:r>
      </w:hyperlink>
      <w:r>
        <w:rPr>
          <w:rFonts w:ascii="Calibri" w:hAnsi="Calibri" w:cs="Calibri"/>
          <w:b w:val="0"/>
          <w:i w:val="0"/>
          <w:color w:val="1E252B"/>
          <w:sz w:val="22"/>
        </w:rPr>
        <w:t xml:space="preserve"> argues that evolutionary forces heavily shaped evaluative judgment. If evolution did not track independent moral truth, realism faces skepticism; if it did, the tracking story may seem scientifically extravagant.</w:t>
      </w:r>
    </w:p>
    <w:p>
      <w:pPr/>
      <w:r>
        <w:rPr>
          <w:rFonts w:ascii="Calibri" w:hAnsi="Calibri" w:cs="Calibri"/>
          <w:b w:val="0"/>
          <w:i w:val="0"/>
          <w:color w:val="1E252B"/>
          <w:sz w:val="22"/>
        </w:rPr>
        <w:t xml:space="preserve">The argument deserves respect but not surrender. Evolution shaped perception, induction, social cognition, and reasoning as well; a causal genealogy does not globally defeat the capacities it explains. Selection can produce broadly truth-conducive faculties for flexible agents even when particular abstract truths were not directly selected. Culture and critical reflection correct inherited bias. Moral judgments about distant strangers, future generations, celibacy, impartial sacrifice, and animal welfare often oppose immediate reproductive advantage. For theism, evolution may describe the formation of capacities within providence, while </w:t>
      </w:r>
      <w:r>
        <w:rPr>
          <w:rFonts w:ascii="Calibri" w:hAnsi="Calibri" w:cs="Calibri"/>
          <w:b w:val="0"/>
          <w:i/>
          <w:color w:val="1E252B"/>
          <w:sz w:val="22"/>
        </w:rPr>
        <w:t>fiṭra</w:t>
      </w:r>
      <w:r>
        <w:rPr>
          <w:rFonts w:ascii="Calibri" w:hAnsi="Calibri" w:cs="Calibri"/>
          <w:b w:val="0"/>
          <w:i w:val="0"/>
          <w:color w:val="1E252B"/>
          <w:sz w:val="22"/>
        </w:rPr>
        <w:t xml:space="preserve"> and revelation supply additional epistemic resources. That last claim is theological, not an empirical result of evolutionary biology.</w:t>
      </w:r>
    </w:p>
    <w:p>
      <w:pPr>
        <w:pStyle w:val="Heading2"/>
      </w:pPr>
      <w:r>
        <w:rPr>
          <w:rFonts w:ascii="Calibri" w:hAnsi="Calibri" w:cs="Calibri"/>
          <w:b/>
          <w:i w:val="0"/>
          <w:color w:val="2E74B5"/>
          <w:sz w:val="26"/>
        </w:rPr>
        <w:t>9.10 The epistemic self-undermining problem</w:t>
      </w:r>
    </w:p>
    <w:p>
      <w:pPr/>
      <w:r>
        <w:rPr>
          <w:rFonts w:ascii="Calibri" w:hAnsi="Calibri" w:cs="Calibri"/>
          <w:b w:val="0"/>
          <w:i w:val="0"/>
          <w:color w:val="1E252B"/>
          <w:sz w:val="22"/>
        </w:rPr>
        <w:t>Every anti-realist argument asks the reader to believe according to evidence, infer validly, avoid contradiction, and revise error. Those are normative claims about belief. Terence Cuneo’s “companions in guilt” strategy argues that sweeping objections to moral normativity often threaten epistemic normativity too. The argument is contested and is not a complete proof of realism. It does, however, block an easy victory: one cannot dismiss all categorical reasons as metaphysically bizarre while quietly relying on categorical reasons for belief.</w:t>
      </w:r>
    </w:p>
    <w:p>
      <w:pPr>
        <w:pStyle w:val="Heading2"/>
      </w:pPr>
      <w:r>
        <w:rPr>
          <w:rFonts w:ascii="Calibri" w:hAnsi="Calibri" w:cs="Calibri"/>
          <w:b/>
          <w:i w:val="0"/>
          <w:color w:val="2E74B5"/>
          <w:sz w:val="26"/>
        </w:rPr>
        <w:t>9.11 The decisive moral fixed point</w:t>
      </w:r>
    </w:p>
    <w:p>
      <w:pPr/>
      <w:r>
        <w:rPr>
          <w:rFonts w:ascii="Calibri" w:hAnsi="Calibri" w:cs="Calibri"/>
          <w:b w:val="0"/>
          <w:i w:val="0"/>
          <w:color w:val="1E252B"/>
          <w:sz w:val="22"/>
        </w:rPr>
        <w:t>Consider a world in which every powerful person approves of torturing an innocent child for amusement and every institution praises it. Would unanimous approval make the torture right? The realist answer is no. The judgment is not mere disgust. It rests on facts about agony, agency, innocence, vulnerability, arbitrary domination, reciprocity, and the equal standing of persons. Any theory that says nothing is wrong independently of the approvers’ attitudes has not explained morality; it has explained away the very authority for which moral language exists.</w:t>
      </w:r>
    </w:p>
    <w:p>
      <w:pPr/>
      <w:r>
        <w:rPr>
          <w:rFonts w:ascii="Calibri" w:hAnsi="Calibri" w:cs="Calibri"/>
          <w:b w:val="0"/>
          <w:i w:val="0"/>
          <w:color w:val="1E252B"/>
          <w:sz w:val="22"/>
        </w:rPr>
        <w:t>Anti-realists can condemn the act from within their commitments. What they cannot secure is the proposition that the act remains wrong even if those commitments disappear. On this point the Qur’anic worldview is unequivocally realist: Pharaoh’s approval, his court’s norms, and his power did not manufacture justice. Reality judged the ruler, not the reverse.</w:t>
      </w:r>
    </w:p>
    <w:p>
      <w:pPr>
        <w:pStyle w:val="Heading1"/>
      </w:pPr>
      <w:r>
        <w:rPr>
          <w:rFonts w:ascii="Calibri" w:hAnsi="Calibri" w:cs="Calibri"/>
          <w:b/>
          <w:i w:val="0"/>
          <w:color w:val="2E74B5"/>
          <w:sz w:val="32"/>
        </w:rPr>
        <w:t>10. Objections to Qur’anic Moral Realism</w:t>
      </w:r>
    </w:p>
    <w:p>
      <w:pPr>
        <w:pStyle w:val="Heading2"/>
      </w:pPr>
      <w:r>
        <w:rPr>
          <w:rFonts w:ascii="Calibri" w:hAnsi="Calibri" w:cs="Calibri"/>
          <w:b/>
          <w:i w:val="0"/>
          <w:color w:val="2E74B5"/>
          <w:sz w:val="26"/>
        </w:rPr>
        <w:t>10.1 “Is this just the Euthyphro dilemma?”</w:t>
      </w:r>
    </w:p>
    <w:p>
      <w:pPr/>
      <w:r>
        <w:rPr>
          <w:rFonts w:ascii="Calibri" w:hAnsi="Calibri" w:cs="Calibri"/>
          <w:b w:val="0"/>
          <w:i w:val="0"/>
          <w:color w:val="1E252B"/>
          <w:sz w:val="22"/>
        </w:rPr>
        <w:t>If acts are good only because God commands them, morality appears arbitrary. If God commands them because they are independently good, goodness appears above God. Modified divine-command theorists such as Robert Merrihew Adams respond by grounding obligation in the commands of a necessarily loving God. A Qur’anic version should be wider: divine wisdom, truth, justice, mercy, and goodness are not contingent moods but perfections of the necessary divine reality. Commands express that nature in creaturely relations.</w:t>
      </w:r>
    </w:p>
    <w:p>
      <w:pPr/>
      <w:r>
        <w:rPr>
          <w:rFonts w:ascii="Calibri" w:hAnsi="Calibri" w:cs="Calibri"/>
          <w:b w:val="0"/>
          <w:i w:val="0"/>
          <w:color w:val="1E252B"/>
          <w:sz w:val="22"/>
        </w:rPr>
        <w:t xml:space="preserve">This answer does not make every norm deducible without revelation. It distinguishes the </w:t>
      </w:r>
      <w:r>
        <w:rPr>
          <w:rFonts w:ascii="Calibri" w:hAnsi="Calibri" w:cs="Calibri"/>
          <w:b/>
          <w:i w:val="0"/>
          <w:color w:val="1E252B"/>
          <w:sz w:val="22"/>
        </w:rPr>
        <w:t>ground</w:t>
      </w:r>
      <w:r>
        <w:rPr>
          <w:rFonts w:ascii="Calibri" w:hAnsi="Calibri" w:cs="Calibri"/>
          <w:b w:val="0"/>
          <w:i w:val="0"/>
          <w:color w:val="1E252B"/>
          <w:sz w:val="22"/>
        </w:rPr>
        <w:t xml:space="preserve"> of value from our </w:t>
      </w:r>
      <w:r>
        <w:rPr>
          <w:rFonts w:ascii="Calibri" w:hAnsi="Calibri" w:cs="Calibri"/>
          <w:b/>
          <w:i w:val="0"/>
          <w:color w:val="1E252B"/>
          <w:sz w:val="22"/>
        </w:rPr>
        <w:t>access</w:t>
      </w:r>
      <w:r>
        <w:rPr>
          <w:rFonts w:ascii="Calibri" w:hAnsi="Calibri" w:cs="Calibri"/>
          <w:b w:val="0"/>
          <w:i w:val="0"/>
          <w:color w:val="1E252B"/>
          <w:sz w:val="22"/>
        </w:rPr>
        <w:t xml:space="preserve"> to it and from contingent divine appointments. Nor does it imply that human uses of “mercy” or “justice” exhaust their divine reality. It does insist that revelation’s own moral claims about God are meaningful, not empty synonyms for sheer power.</w:t>
      </w:r>
    </w:p>
    <w:p>
      <w:pPr>
        <w:pStyle w:val="Heading2"/>
      </w:pPr>
      <w:r>
        <w:rPr>
          <w:rFonts w:ascii="Calibri" w:hAnsi="Calibri" w:cs="Calibri"/>
          <w:b/>
          <w:i w:val="0"/>
          <w:color w:val="2E74B5"/>
          <w:sz w:val="26"/>
        </w:rPr>
        <w:t>10.2 “Does objective morality erase pluralism?”</w:t>
      </w:r>
    </w:p>
    <w:p>
      <w:pPr/>
      <w:r>
        <w:rPr>
          <w:rFonts w:ascii="Calibri" w:hAnsi="Calibri" w:cs="Calibri"/>
          <w:b w:val="0"/>
          <w:i w:val="0"/>
          <w:color w:val="1E252B"/>
          <w:sz w:val="22"/>
        </w:rPr>
        <w:t>No. Realism is compatible with underdetermination, multiple permissible goods, role-dependent duties, cultural variation in expression, tragic conflict, and epistemic humility. Objective music theory would not imply one composition; objective health does not imply one meal. Taqwā can inhabit many cultures while disciplining them through justice, truthfulness, and mercy.</w:t>
      </w:r>
    </w:p>
    <w:p>
      <w:pPr>
        <w:pStyle w:val="Heading2"/>
      </w:pPr>
      <w:r>
        <w:rPr>
          <w:rFonts w:ascii="Calibri" w:hAnsi="Calibri" w:cs="Calibri"/>
          <w:b/>
          <w:i w:val="0"/>
          <w:color w:val="2E74B5"/>
          <w:sz w:val="26"/>
        </w:rPr>
        <w:t>10.3 “Does 3:83 eliminate freedom?”</w:t>
      </w:r>
    </w:p>
    <w:p>
      <w:pPr/>
      <w:r>
        <w:rPr>
          <w:rFonts w:ascii="Calibri" w:hAnsi="Calibri" w:cs="Calibri"/>
          <w:b w:val="0"/>
          <w:i w:val="0"/>
          <w:color w:val="1E252B"/>
          <w:sz w:val="22"/>
        </w:rPr>
        <w:t xml:space="preserve">No. It distinguishes two levels. </w:t>
      </w:r>
      <w:r>
        <w:rPr>
          <w:rFonts w:ascii="Calibri" w:hAnsi="Calibri" w:cs="Calibri"/>
          <w:b/>
          <w:i w:val="0"/>
          <w:color w:val="1E252B"/>
          <w:sz w:val="22"/>
        </w:rPr>
        <w:t>Ontological or creative submission</w:t>
      </w:r>
      <w:r>
        <w:rPr>
          <w:rFonts w:ascii="Calibri" w:hAnsi="Calibri" w:cs="Calibri"/>
          <w:b w:val="0"/>
          <w:i w:val="0"/>
          <w:color w:val="1E252B"/>
          <w:sz w:val="22"/>
        </w:rPr>
        <w:t xml:space="preserve"> (</w:t>
      </w:r>
      <w:r>
        <w:rPr>
          <w:rFonts w:ascii="Calibri" w:hAnsi="Calibri" w:cs="Calibri"/>
          <w:b w:val="0"/>
          <w:i/>
          <w:color w:val="1E252B"/>
          <w:sz w:val="22"/>
        </w:rPr>
        <w:t>takwīnī</w:t>
      </w:r>
      <w:r>
        <w:rPr>
          <w:rFonts w:ascii="Calibri" w:hAnsi="Calibri" w:cs="Calibri"/>
          <w:b w:val="0"/>
          <w:i w:val="0"/>
          <w:color w:val="1E252B"/>
          <w:sz w:val="22"/>
        </w:rPr>
        <w:t xml:space="preserve">) is inescapable: creatures remain contingent, embodied, mortal, and destined for return. </w:t>
      </w:r>
      <w:r>
        <w:rPr>
          <w:rFonts w:ascii="Calibri" w:hAnsi="Calibri" w:cs="Calibri"/>
          <w:b/>
          <w:i w:val="0"/>
          <w:color w:val="1E252B"/>
          <w:sz w:val="22"/>
        </w:rPr>
        <w:t>Moral or prescriptive submission</w:t>
      </w:r>
      <w:r>
        <w:rPr>
          <w:rFonts w:ascii="Calibri" w:hAnsi="Calibri" w:cs="Calibri"/>
          <w:b w:val="0"/>
          <w:i w:val="0"/>
          <w:color w:val="1E252B"/>
          <w:sz w:val="22"/>
        </w:rPr>
        <w:t xml:space="preserve"> (</w:t>
      </w:r>
      <w:r>
        <w:rPr>
          <w:rFonts w:ascii="Calibri" w:hAnsi="Calibri" w:cs="Calibri"/>
          <w:b w:val="0"/>
          <w:i/>
          <w:color w:val="1E252B"/>
          <w:sz w:val="22"/>
        </w:rPr>
        <w:t>tashrīʿī</w:t>
      </w:r>
      <w:r>
        <w:rPr>
          <w:rFonts w:ascii="Calibri" w:hAnsi="Calibri" w:cs="Calibri"/>
          <w:b w:val="0"/>
          <w:i w:val="0"/>
          <w:color w:val="1E252B"/>
          <w:sz w:val="22"/>
        </w:rPr>
        <w:t>) is chosen: the rational agent can obey, resist, repent, or rebel. Freedom is not independence from being created; it is a finite power to align willingly with the truth of creaturehood.</w:t>
      </w:r>
    </w:p>
    <w:p>
      <w:pPr>
        <w:pStyle w:val="Heading2"/>
      </w:pPr>
      <w:r>
        <w:rPr>
          <w:rFonts w:ascii="Calibri" w:hAnsi="Calibri" w:cs="Calibri"/>
          <w:b/>
          <w:i w:val="0"/>
          <w:color w:val="2E74B5"/>
          <w:sz w:val="26"/>
        </w:rPr>
        <w:t>10.4 “Does ritual make morality heteronomous?”</w:t>
      </w:r>
    </w:p>
    <w:p>
      <w:pPr/>
      <w:r>
        <w:rPr>
          <w:rFonts w:ascii="Calibri" w:hAnsi="Calibri" w:cs="Calibri"/>
          <w:b w:val="0"/>
          <w:i w:val="0"/>
          <w:color w:val="1E252B"/>
          <w:sz w:val="22"/>
        </w:rPr>
        <w:t>Ritual can become heteronomous when reduced to external compulsion. Verse 22:32 locates its living source in the heart, and 22:37 denies that flesh and blood reach God. Properly understood, the sacred sign educates agency rather than replacing it. It rehearses gratitude, restraint, equality, memory, sacrifice, and attention. Empty performance is a moral failure precisely because the act possesses an end the performer has not inwardly appropriated.</w:t>
      </w:r>
    </w:p>
    <w:p>
      <w:pPr>
        <w:pStyle w:val="Heading2"/>
      </w:pPr>
      <w:r>
        <w:rPr>
          <w:rFonts w:ascii="Calibri" w:hAnsi="Calibri" w:cs="Calibri"/>
          <w:b/>
          <w:i w:val="0"/>
          <w:color w:val="2E74B5"/>
          <w:sz w:val="26"/>
        </w:rPr>
        <w:t>10.5 “If objective truth exists, why so much disagreement?”</w:t>
      </w:r>
    </w:p>
    <w:p>
      <w:pPr/>
      <w:r>
        <w:rPr>
          <w:rFonts w:ascii="Calibri" w:hAnsi="Calibri" w:cs="Calibri"/>
          <w:b w:val="0"/>
          <w:i w:val="0"/>
          <w:color w:val="1E252B"/>
          <w:sz w:val="22"/>
        </w:rPr>
        <w:t>Because objective truth and transparent access are different claims. Moral inquiry is distorted by interest, identity, fear, limited information, competing goods, and damaged character. The Qur’anic heart is a cognitive-affective organ capable of insight and disease. Realism explains why disagreement is worth arguing about: there is something to get right.</w:t>
      </w:r>
    </w:p>
    <w:p>
      <w:pPr>
        <w:pStyle w:val="Heading1"/>
      </w:pPr>
      <w:r>
        <w:rPr>
          <w:rFonts w:ascii="Calibri" w:hAnsi="Calibri" w:cs="Calibri"/>
          <w:b/>
          <w:i w:val="0"/>
          <w:color w:val="2E74B5"/>
          <w:sz w:val="32"/>
        </w:rPr>
        <w:t>11. The Moral Architecture of the Three Verses</w:t>
      </w:r>
    </w:p>
    <w:p>
      <w:pPr>
        <w:pStyle w:val="Heading2"/>
      </w:pPr>
      <w:r>
        <w:rPr>
          <w:rFonts w:ascii="Calibri" w:hAnsi="Calibri" w:cs="Calibri"/>
          <w:b/>
          <w:i w:val="0"/>
          <w:color w:val="2E74B5"/>
          <w:sz w:val="26"/>
        </w:rPr>
        <w:t>11.1 Reality before preference</w:t>
      </w:r>
    </w:p>
    <w:p>
      <w:pPr/>
      <w:r>
        <w:rPr>
          <w:rFonts w:ascii="Calibri" w:hAnsi="Calibri" w:cs="Calibri"/>
          <w:b w:val="0"/>
          <w:i w:val="0"/>
          <w:color w:val="1E252B"/>
          <w:sz w:val="22"/>
        </w:rPr>
        <w:t>Verse 3:83 begins not with the isolated chooser but with heaven and earth. The moral agent awakens within a world already given: bodies, other persons, dependence, vulnerability, truth, and return. The self is not sovereign enough to create all reasons by choosing them.</w:t>
      </w:r>
    </w:p>
    <w:p>
      <w:pPr>
        <w:pStyle w:val="Heading2"/>
      </w:pPr>
      <w:r>
        <w:rPr>
          <w:rFonts w:ascii="Calibri" w:hAnsi="Calibri" w:cs="Calibri"/>
          <w:b/>
          <w:i w:val="0"/>
          <w:color w:val="2E74B5"/>
          <w:sz w:val="26"/>
        </w:rPr>
        <w:t>11.2 Tawḥīd as moral unification</w:t>
      </w:r>
    </w:p>
    <w:p>
      <w:pPr/>
      <w:r>
        <w:rPr>
          <w:rFonts w:ascii="Calibri" w:hAnsi="Calibri" w:cs="Calibri"/>
          <w:b w:val="0"/>
          <w:i w:val="0"/>
          <w:color w:val="1E252B"/>
          <w:sz w:val="22"/>
        </w:rPr>
        <w:t>Verse 22:31 presents tawḥīd as the integration of ultimate concern. Shirk multiplies centers that demand incompatible absoluteness. Wealth asks to be the measure of worth; tribe asks to be the boundary of justice; power asks to be its own justification. Tawḥīd relativizes every finite loyalty before the one absolute God and thereby makes criticism of idolatrous power possible.</w:t>
      </w:r>
    </w:p>
    <w:p>
      <w:pPr>
        <w:pStyle w:val="Heading2"/>
      </w:pPr>
      <w:r>
        <w:rPr>
          <w:rFonts w:ascii="Calibri" w:hAnsi="Calibri" w:cs="Calibri"/>
          <w:b/>
          <w:i w:val="0"/>
          <w:color w:val="2E74B5"/>
          <w:sz w:val="26"/>
        </w:rPr>
        <w:t>11.3 Taqwā as realist moral perception</w:t>
      </w:r>
    </w:p>
    <w:p>
      <w:pPr/>
      <w:r>
        <w:rPr>
          <w:rFonts w:ascii="Calibri" w:hAnsi="Calibri" w:cs="Calibri"/>
          <w:b w:val="0"/>
          <w:i w:val="0"/>
          <w:color w:val="1E252B"/>
          <w:sz w:val="22"/>
        </w:rPr>
        <w:t xml:space="preserve">Verse 22:32 does not say that signs are sacred because hearts happen to revere them. It says their proper magnification is </w:t>
      </w:r>
      <w:r>
        <w:rPr>
          <w:rFonts w:ascii="Calibri" w:hAnsi="Calibri" w:cs="Calibri"/>
          <w:b/>
          <w:i w:val="0"/>
          <w:color w:val="1E252B"/>
          <w:sz w:val="22"/>
        </w:rPr>
        <w:t>from</w:t>
      </w:r>
      <w:r>
        <w:rPr>
          <w:rFonts w:ascii="Calibri" w:hAnsi="Calibri" w:cs="Calibri"/>
          <w:b w:val="0"/>
          <w:i w:val="0"/>
          <w:color w:val="1E252B"/>
          <w:sz w:val="22"/>
        </w:rPr>
        <w:t xml:space="preserve"> the taqwā of hearts. Taqwā is a fitting response to a reality whose value precedes that response. Yet without the response, the agent remains morally unformed. This is realism without cold abstraction: truth seeks a heart capable of seeing and loving it.</w:t>
      </w:r>
    </w:p>
    <w:p>
      <w:pPr>
        <w:pStyle w:val="Heading2"/>
      </w:pPr>
      <w:r>
        <w:rPr>
          <w:rFonts w:ascii="Calibri" w:hAnsi="Calibri" w:cs="Calibri"/>
          <w:b/>
          <w:i w:val="0"/>
          <w:color w:val="2E74B5"/>
          <w:sz w:val="26"/>
        </w:rPr>
        <w:t>11.4 Sacred signs as embodied knowledge</w:t>
      </w:r>
    </w:p>
    <w:p>
      <w:pPr/>
      <w:r>
        <w:rPr>
          <w:rFonts w:ascii="Calibri" w:hAnsi="Calibri" w:cs="Calibri"/>
          <w:b w:val="0"/>
          <w:i w:val="0"/>
          <w:color w:val="1E252B"/>
          <w:sz w:val="22"/>
        </w:rPr>
        <w:t>Humans know not only through propositions but through disciplined attention. Pilgrimage gathers bodies around one center, removes status-marking dress, recalls Abraham, restrains violence, and joins sacrifice with feeding the poor. These practices can be corrupted, but their telos is a moral pedagogy. In contemporary terms, they function as technologies of virtue under divine authorship.</w:t>
      </w:r>
    </w:p>
    <w:p>
      <w:pPr>
        <w:pStyle w:val="Heading2"/>
      </w:pPr>
      <w:r>
        <w:rPr>
          <w:rFonts w:ascii="Calibri" w:hAnsi="Calibri" w:cs="Calibri"/>
          <w:b/>
          <w:i w:val="0"/>
          <w:color w:val="2E74B5"/>
          <w:sz w:val="26"/>
        </w:rPr>
        <w:t>11.5 Return as the completion of justice</w:t>
      </w:r>
    </w:p>
    <w:p>
      <w:pPr/>
      <w:r>
        <w:rPr>
          <w:rFonts w:ascii="Calibri" w:hAnsi="Calibri" w:cs="Calibri"/>
          <w:b w:val="0"/>
          <w:i w:val="0"/>
          <w:color w:val="1E252B"/>
          <w:sz w:val="22"/>
        </w:rPr>
        <w:t>“To Him they shall be returned” prevents moral reality from being identified with immediate social outcome. Victims may die unheard; tyrants may die praised. Eschatology is not an excuse to neglect worldly justice. It is the claim that worldly failure does not exhaust the truth about an act. The final court makes explicit what realism already affirms: power does not determine value.</w:t>
      </w:r>
    </w:p>
    <w:p>
      <w:pPr>
        <w:pStyle w:val="Heading1"/>
      </w:pPr>
      <w:r>
        <w:rPr>
          <w:rFonts w:ascii="Calibri" w:hAnsi="Calibri" w:cs="Calibri"/>
          <w:b/>
          <w:i w:val="0"/>
          <w:color w:val="2E74B5"/>
          <w:sz w:val="32"/>
        </w:rPr>
        <w:t>12. Constructive Theses</w:t>
      </w:r>
    </w:p>
    <w:p>
      <w:pPr/>
      <w:r>
        <w:rPr>
          <w:rFonts w:ascii="Calibri" w:hAnsi="Calibri" w:cs="Calibri"/>
          <w:b w:val="0"/>
          <w:i w:val="0"/>
          <w:color w:val="1E252B"/>
          <w:sz w:val="22"/>
        </w:rPr>
        <w:t>The joint commentary can be condensed into twelve theses:</w:t>
      </w:r>
    </w:p>
    <w:p>
      <w:pPr>
        <w:numPr>
          <w:ilvl w:val="0"/>
          <w:numId w:val="13"/>
        </w:numPr>
        <w:spacing w:after="80"/>
        <w:ind w:left="540" w:hanging="279"/>
      </w:pPr>
      <w:r>
        <w:rPr>
          <w:rFonts w:ascii="Calibri" w:hAnsi="Calibri" w:cs="Calibri"/>
          <w:b w:val="0"/>
          <w:i w:val="0"/>
          <w:color w:val="1E252B"/>
          <w:sz w:val="22"/>
        </w:rPr>
        <w:t>All created reality is ontologically dependent upon God.</w:t>
      </w:r>
    </w:p>
    <w:p>
      <w:pPr>
        <w:numPr>
          <w:ilvl w:val="0"/>
          <w:numId w:val="13"/>
        </w:numPr>
        <w:spacing w:after="80"/>
        <w:ind w:left="540" w:hanging="279"/>
      </w:pPr>
      <w:r>
        <w:rPr>
          <w:rFonts w:ascii="Calibri" w:hAnsi="Calibri" w:cs="Calibri"/>
          <w:b w:val="0"/>
          <w:i w:val="0"/>
          <w:color w:val="1E252B"/>
          <w:sz w:val="22"/>
        </w:rPr>
        <w:t>Rational creatures can appropriate that dependence willingly or resist it morally.</w:t>
      </w:r>
    </w:p>
    <w:p>
      <w:pPr>
        <w:numPr>
          <w:ilvl w:val="0"/>
          <w:numId w:val="13"/>
        </w:numPr>
        <w:spacing w:after="80"/>
        <w:ind w:left="540" w:hanging="279"/>
      </w:pPr>
      <w:r>
        <w:rPr>
          <w:rFonts w:ascii="Calibri" w:hAnsi="Calibri" w:cs="Calibri"/>
          <w:b w:val="0"/>
          <w:i w:val="0"/>
          <w:color w:val="1E252B"/>
          <w:sz w:val="22"/>
        </w:rPr>
        <w:t>Moral truth is independent of created approval, including collective approval.</w:t>
      </w:r>
    </w:p>
    <w:p>
      <w:pPr>
        <w:numPr>
          <w:ilvl w:val="0"/>
          <w:numId w:val="13"/>
        </w:numPr>
        <w:spacing w:after="80"/>
        <w:ind w:left="540" w:hanging="279"/>
      </w:pPr>
      <w:r>
        <w:rPr>
          <w:rFonts w:ascii="Calibri" w:hAnsi="Calibri" w:cs="Calibri"/>
          <w:b w:val="0"/>
          <w:i w:val="0"/>
          <w:color w:val="1E252B"/>
          <w:sz w:val="22"/>
        </w:rPr>
        <w:t>Its ultimate ground is neither an autonomous realm above God nor arbitrary will, but God’s necessary perfection.</w:t>
      </w:r>
    </w:p>
    <w:p>
      <w:pPr>
        <w:numPr>
          <w:ilvl w:val="0"/>
          <w:numId w:val="13"/>
        </w:numPr>
        <w:spacing w:after="80"/>
        <w:ind w:left="540" w:hanging="279"/>
      </w:pPr>
      <w:r>
        <w:rPr>
          <w:rFonts w:ascii="Calibri" w:hAnsi="Calibri" w:cs="Calibri"/>
          <w:b w:val="0"/>
          <w:i w:val="0"/>
          <w:color w:val="1E252B"/>
          <w:sz w:val="22"/>
        </w:rPr>
        <w:t>Divine commands communicate and specify objective reasons for finite agents.</w:t>
      </w:r>
    </w:p>
    <w:p>
      <w:pPr>
        <w:numPr>
          <w:ilvl w:val="0"/>
          <w:numId w:val="13"/>
        </w:numPr>
        <w:spacing w:after="80"/>
        <w:ind w:left="540" w:hanging="279"/>
      </w:pPr>
      <w:r>
        <w:rPr>
          <w:rFonts w:ascii="Calibri" w:hAnsi="Calibri" w:cs="Calibri"/>
          <w:b w:val="0"/>
          <w:i w:val="0"/>
          <w:color w:val="1E252B"/>
          <w:sz w:val="22"/>
        </w:rPr>
        <w:t>Reason and fiṭra genuinely perceive moral truth but remain fallible.</w:t>
      </w:r>
    </w:p>
    <w:p>
      <w:pPr>
        <w:numPr>
          <w:ilvl w:val="0"/>
          <w:numId w:val="13"/>
        </w:numPr>
        <w:spacing w:after="80"/>
        <w:ind w:left="540" w:hanging="279"/>
      </w:pPr>
      <w:r>
        <w:rPr>
          <w:rFonts w:ascii="Calibri" w:hAnsi="Calibri" w:cs="Calibri"/>
          <w:b w:val="0"/>
          <w:i w:val="0"/>
          <w:color w:val="1E252B"/>
          <w:sz w:val="22"/>
        </w:rPr>
        <w:t>Revelation corrects, completes, and authoritatively directs moral knowledge.</w:t>
      </w:r>
    </w:p>
    <w:p>
      <w:pPr>
        <w:numPr>
          <w:ilvl w:val="0"/>
          <w:numId w:val="13"/>
        </w:numPr>
        <w:spacing w:after="80"/>
        <w:ind w:left="540" w:hanging="279"/>
      </w:pPr>
      <w:r>
        <w:rPr>
          <w:rFonts w:ascii="Calibri" w:hAnsi="Calibri" w:cs="Calibri"/>
          <w:b w:val="0"/>
          <w:i w:val="0"/>
          <w:color w:val="1E252B"/>
          <w:sz w:val="22"/>
        </w:rPr>
        <w:t>The heart is an epistemic, affective, and volitional center; its formation affects what the agent can see.</w:t>
      </w:r>
    </w:p>
    <w:p>
      <w:pPr>
        <w:numPr>
          <w:ilvl w:val="0"/>
          <w:numId w:val="13"/>
        </w:numPr>
        <w:spacing w:after="80"/>
        <w:ind w:left="540" w:hanging="279"/>
      </w:pPr>
      <w:r>
        <w:rPr>
          <w:rFonts w:ascii="Calibri" w:hAnsi="Calibri" w:cs="Calibri"/>
          <w:b w:val="0"/>
          <w:i w:val="0"/>
          <w:color w:val="1E252B"/>
          <w:sz w:val="22"/>
        </w:rPr>
        <w:t>Taqwā is a virtue of moral attention, restraint, and answerability.</w:t>
      </w:r>
    </w:p>
    <w:p>
      <w:pPr>
        <w:numPr>
          <w:ilvl w:val="0"/>
          <w:numId w:val="13"/>
        </w:numPr>
        <w:spacing w:after="80"/>
        <w:ind w:left="540" w:hanging="279"/>
      </w:pPr>
      <w:r>
        <w:rPr>
          <w:rFonts w:ascii="Calibri" w:hAnsi="Calibri" w:cs="Calibri"/>
          <w:b w:val="0"/>
          <w:i w:val="0"/>
          <w:color w:val="1E252B"/>
          <w:sz w:val="22"/>
        </w:rPr>
        <w:t>Sacred signs join objective meaning with subjective sincerity and embodied practice.</w:t>
      </w:r>
    </w:p>
    <w:p>
      <w:pPr>
        <w:numPr>
          <w:ilvl w:val="0"/>
          <w:numId w:val="13"/>
        </w:numPr>
        <w:spacing w:after="80"/>
        <w:ind w:left="540" w:hanging="279"/>
      </w:pPr>
      <w:r>
        <w:rPr>
          <w:rFonts w:ascii="Calibri" w:hAnsi="Calibri" w:cs="Calibri"/>
          <w:b w:val="0"/>
          <w:i w:val="0"/>
          <w:color w:val="1E252B"/>
          <w:sz w:val="22"/>
        </w:rPr>
        <w:t>Shirk is morally disintegrative because finite goods become rival absolutes.</w:t>
      </w:r>
    </w:p>
    <w:p>
      <w:pPr>
        <w:numPr>
          <w:ilvl w:val="0"/>
          <w:numId w:val="13"/>
        </w:numPr>
        <w:spacing w:after="80"/>
        <w:ind w:left="540" w:hanging="279"/>
      </w:pPr>
      <w:r>
        <w:rPr>
          <w:rFonts w:ascii="Calibri" w:hAnsi="Calibri" w:cs="Calibri"/>
          <w:b w:val="0"/>
          <w:i w:val="0"/>
          <w:color w:val="1E252B"/>
          <w:sz w:val="22"/>
        </w:rPr>
        <w:t>Return to God completes the moral order by disclosing the truth of deeds.</w:t>
      </w:r>
    </w:p>
    <w:p>
      <w:pPr>
        <w:pStyle w:val="Heading1"/>
        <w:pageBreakBefore/>
      </w:pPr>
      <w:r>
        <w:rPr>
          <w:rFonts w:ascii="Calibri" w:hAnsi="Calibri" w:cs="Calibri"/>
          <w:b/>
          <w:i w:val="0"/>
          <w:color w:val="2E74B5"/>
          <w:sz w:val="32"/>
        </w:rPr>
        <w:t>Thematic Epilogue: The Sky, the Heart, and the Return</w:t>
      </w:r>
    </w:p>
    <w:p>
      <w:pPr/>
      <w:r>
        <w:rPr>
          <w:rFonts w:ascii="Calibri" w:hAnsi="Calibri" w:cs="Calibri"/>
          <w:b w:val="0"/>
          <w:i w:val="0"/>
          <w:color w:val="1E252B"/>
          <w:sz w:val="22"/>
        </w:rPr>
        <w:t>The three verses leave us with three images: a sky from which one may fall, a heart from which reverence may arise, and a return no creature can evade.</w:t>
      </w:r>
    </w:p>
    <w:p>
      <w:pPr/>
      <w:r>
        <w:rPr>
          <w:rFonts w:ascii="Calibri" w:hAnsi="Calibri" w:cs="Calibri"/>
          <w:b w:val="0"/>
          <w:i w:val="0"/>
          <w:color w:val="1E252B"/>
          <w:sz w:val="22"/>
        </w:rPr>
        <w:t>The sky is the height of an ordered life. It is not the arrogance of imagining oneself above the world, but the freedom of standing beneath one ultimate truth. When that truth is fractured into competing absolutes, the self does not become liberated. It becomes available for capture. One desire tears at it; another wind carries it. The parable is severe because idolatry is severe: whatever we make ultimate gains permission to reorganize everything else.</w:t>
      </w:r>
    </w:p>
    <w:p>
      <w:pPr/>
      <w:r>
        <w:rPr>
          <w:rFonts w:ascii="Calibri" w:hAnsi="Calibri" w:cs="Calibri"/>
          <w:b w:val="0"/>
          <w:i w:val="0"/>
          <w:color w:val="1E252B"/>
          <w:sz w:val="22"/>
        </w:rPr>
        <w:t>The heart is not a private factory of value. It is the place where value is recognized, resisted, loved, or concealed. Its taqwā does not confer sacredness on God’s signs; it becomes capable of honoring the sacredness they possess. Ritual then becomes neither magic nor theater. It is truth entering posture, memory, appetite, wealth, time, and community.</w:t>
      </w:r>
    </w:p>
    <w:p>
      <w:pPr/>
      <w:r>
        <w:rPr>
          <w:rFonts w:ascii="Calibri" w:hAnsi="Calibri" w:cs="Calibri"/>
          <w:b w:val="0"/>
          <w:i w:val="0"/>
          <w:color w:val="1E252B"/>
          <w:sz w:val="22"/>
        </w:rPr>
        <w:t>The return is realism’s eschatological form. Every social consensus can fail; every court can be purchased; every conscience can be numbed. Yet no creature can make oppression just by celebrating it, or make fidelity worthless by forgetting it. To return to God is to return to the One before whom the truth of an act and the truth of a heart are finally one disclosure.</w:t>
      </w:r>
    </w:p>
    <w:p>
      <w:pPr/>
      <w:r>
        <w:rPr>
          <w:rFonts w:ascii="Calibri" w:hAnsi="Calibri" w:cs="Calibri"/>
          <w:b w:val="0"/>
          <w:i w:val="0"/>
          <w:color w:val="1E252B"/>
          <w:sz w:val="22"/>
        </w:rPr>
        <w:t>Moral anti-realism sees, with real insight, how passion colors judgment, culture forms conscience, power manufactures vocabularies, and evolution shapes response. The Qur’an does not deny any of these human vulnerabilities. It names them as winds, birds, veils, diseases, forgetfulness, and pride. But diagnosis is not ontology. That our access to moral truth is conditioned does not mean truth is created by the conditions. The cure for distorted sight is not to declare that nothing is there to see.</w:t>
      </w:r>
    </w:p>
    <w:p>
      <w:pPr/>
      <w:r>
        <w:rPr>
          <w:rFonts w:ascii="Calibri" w:hAnsi="Calibri" w:cs="Calibri"/>
          <w:b w:val="0"/>
          <w:i w:val="0"/>
          <w:color w:val="1E252B"/>
          <w:sz w:val="22"/>
        </w:rPr>
        <w:t>Thus 3:83 asks whether a way other than God’s can finally be sought, when reality itself bears the signature of dependence and return. Verse 22:31 warns that refusing the one moral center does not leave us neutral; it delivers us to fragments. Verse 22:32 answers with the quiet gravity of the heart: magnify the signs, not because feeling makes them true, but because a truthful heart learns to respond to what is true.</w:t>
      </w:r>
    </w:p>
    <w:p>
      <w:pPr/>
      <w:r>
        <w:rPr>
          <w:rFonts w:ascii="Calibri" w:hAnsi="Calibri" w:cs="Calibri"/>
          <w:b w:val="0"/>
          <w:i w:val="0"/>
          <w:color w:val="1E252B"/>
          <w:sz w:val="22"/>
        </w:rPr>
        <w:t>The deepest moral freedom is therefore not the power to manufacture good and evil. It is the power to say willingly, before one must learn unwillingly, that reality is not ours to invent—and then to live with a heart made whole by that recognition.</w:t>
      </w:r>
    </w:p>
    <w:p>
      <w:pPr>
        <w:pStyle w:val="Heading1"/>
        <w:pageBreakBefore/>
      </w:pPr>
      <w:r>
        <w:rPr>
          <w:rFonts w:ascii="Calibri" w:hAnsi="Calibri" w:cs="Calibri"/>
          <w:b/>
          <w:i w:val="0"/>
          <w:color w:val="2E74B5"/>
          <w:sz w:val="32"/>
        </w:rPr>
        <w:t>Selected Bibliography and Research Links</w:t>
      </w:r>
    </w:p>
    <w:p>
      <w:pPr>
        <w:pStyle w:val="Heading2"/>
      </w:pPr>
      <w:r>
        <w:rPr>
          <w:rFonts w:ascii="Calibri" w:hAnsi="Calibri" w:cs="Calibri"/>
          <w:b/>
          <w:i w:val="0"/>
          <w:color w:val="2E74B5"/>
          <w:sz w:val="26"/>
        </w:rPr>
        <w:t>Qur’an, translation, and tafsīr</w:t>
      </w:r>
    </w:p>
    <w:p>
      <w:pPr>
        <w:pStyle w:val="Bibliography"/>
        <w:numPr>
          <w:ilvl w:val="0"/>
          <w:numId w:val="10"/>
        </w:numPr>
        <w:spacing w:after="80"/>
        <w:ind w:left="540" w:hanging="279"/>
      </w:pPr>
      <w:r>
        <w:rPr>
          <w:rFonts w:ascii="Calibri" w:hAnsi="Calibri" w:cs="Calibri"/>
          <w:b w:val="0"/>
          <w:i w:val="0"/>
          <w:color w:val="1E252B"/>
          <w:sz w:val="19"/>
        </w:rPr>
        <w:t xml:space="preserve">The Qur’an, 22:31–32 and 3:83; M. A. S. Abdel Haleem, trans., </w:t>
      </w:r>
      <w:r>
        <w:rPr>
          <w:rFonts w:ascii="Calibri" w:hAnsi="Calibri" w:cs="Calibri"/>
          <w:b w:val="0"/>
          <w:i/>
          <w:color w:val="1E252B"/>
          <w:sz w:val="19"/>
        </w:rPr>
        <w:t>The Qur’an</w:t>
      </w:r>
      <w:r>
        <w:rPr>
          <w:rFonts w:ascii="Calibri" w:hAnsi="Calibri" w:cs="Calibri"/>
          <w:b w:val="0"/>
          <w:i w:val="0"/>
          <w:color w:val="1E252B"/>
          <w:sz w:val="19"/>
        </w:rPr>
        <w:t xml:space="preserve"> (Oxford University Press, 2004), compared through </w:t>
      </w:r>
      <w:hyperlink r:id="rId16">
        <w:r>
          <w:rPr>
            <w:rFonts w:ascii="Calibri" w:hAnsi="Calibri"/>
            <w:color w:val="2E74B5"/>
            <w:u w:val="single"/>
            <w:sz w:val="19"/>
          </w:rPr>
          <w:t>Quran.com</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Al-Ṭabarī, </w:t>
      </w:r>
      <w:r>
        <w:rPr>
          <w:rFonts w:ascii="Calibri" w:hAnsi="Calibri" w:cs="Calibri"/>
          <w:b w:val="0"/>
          <w:i/>
          <w:color w:val="1E252B"/>
          <w:sz w:val="19"/>
        </w:rPr>
        <w:t>Jāmiʿ al-bayān</w:t>
      </w:r>
      <w:r>
        <w:rPr>
          <w:rFonts w:ascii="Calibri" w:hAnsi="Calibri" w:cs="Calibri"/>
          <w:b w:val="0"/>
          <w:i w:val="0"/>
          <w:color w:val="1E252B"/>
          <w:sz w:val="19"/>
        </w:rPr>
        <w:t xml:space="preserve">, </w:t>
      </w:r>
      <w:hyperlink r:id="rId22">
        <w:r>
          <w:rPr>
            <w:rFonts w:ascii="Calibri" w:hAnsi="Calibri"/>
            <w:color w:val="2E74B5"/>
            <w:u w:val="single"/>
            <w:sz w:val="19"/>
          </w:rPr>
          <w:t>22:31</w:t>
        </w:r>
      </w:hyperlink>
      <w:r>
        <w:rPr>
          <w:rFonts w:ascii="Calibri" w:hAnsi="Calibri" w:cs="Calibri"/>
          <w:b w:val="0"/>
          <w:i w:val="0"/>
          <w:color w:val="1E252B"/>
          <w:sz w:val="19"/>
        </w:rPr>
        <w:t xml:space="preserve">, </w:t>
      </w:r>
      <w:hyperlink r:id="rId28">
        <w:r>
          <w:rPr>
            <w:rFonts w:ascii="Calibri" w:hAnsi="Calibri"/>
            <w:color w:val="2E74B5"/>
            <w:u w:val="single"/>
            <w:sz w:val="19"/>
          </w:rPr>
          <w:t>22:32</w:t>
        </w:r>
      </w:hyperlink>
      <w:r>
        <w:rPr>
          <w:rFonts w:ascii="Calibri" w:hAnsi="Calibri" w:cs="Calibri"/>
          <w:b w:val="0"/>
          <w:i w:val="0"/>
          <w:color w:val="1E252B"/>
          <w:sz w:val="19"/>
        </w:rPr>
        <w:t xml:space="preserve">, and </w:t>
      </w:r>
      <w:hyperlink r:id="rId31">
        <w:r>
          <w:rPr>
            <w:rFonts w:ascii="Calibri" w:hAnsi="Calibri"/>
            <w:color w:val="2E74B5"/>
            <w:u w:val="single"/>
            <w:sz w:val="19"/>
          </w:rPr>
          <w:t>3:83</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Al-Qurṭubī, </w:t>
      </w:r>
      <w:r>
        <w:rPr>
          <w:rFonts w:ascii="Calibri" w:hAnsi="Calibri" w:cs="Calibri"/>
          <w:b w:val="0"/>
          <w:i/>
          <w:color w:val="1E252B"/>
          <w:sz w:val="19"/>
        </w:rPr>
        <w:t>Al-Jāmiʿ li-aḥkām al-Qurʾān</w:t>
      </w:r>
      <w:r>
        <w:rPr>
          <w:rFonts w:ascii="Calibri" w:hAnsi="Calibri" w:cs="Calibri"/>
          <w:b w:val="0"/>
          <w:i w:val="0"/>
          <w:color w:val="1E252B"/>
          <w:sz w:val="19"/>
        </w:rPr>
        <w:t xml:space="preserve">, </w:t>
      </w:r>
      <w:hyperlink r:id="rId24">
        <w:r>
          <w:rPr>
            <w:rFonts w:ascii="Calibri" w:hAnsi="Calibri"/>
            <w:color w:val="2E74B5"/>
            <w:u w:val="single"/>
            <w:sz w:val="19"/>
          </w:rPr>
          <w:t>22:31</w:t>
        </w:r>
      </w:hyperlink>
      <w:r>
        <w:rPr>
          <w:rFonts w:ascii="Calibri" w:hAnsi="Calibri" w:cs="Calibri"/>
          <w:b w:val="0"/>
          <w:i w:val="0"/>
          <w:color w:val="1E252B"/>
          <w:sz w:val="19"/>
        </w:rPr>
        <w:t xml:space="preserve">, </w:t>
      </w:r>
      <w:hyperlink r:id="rId29">
        <w:r>
          <w:rPr>
            <w:rFonts w:ascii="Calibri" w:hAnsi="Calibri"/>
            <w:color w:val="2E74B5"/>
            <w:u w:val="single"/>
            <w:sz w:val="19"/>
          </w:rPr>
          <w:t>22:32</w:t>
        </w:r>
      </w:hyperlink>
      <w:r>
        <w:rPr>
          <w:rFonts w:ascii="Calibri" w:hAnsi="Calibri" w:cs="Calibri"/>
          <w:b w:val="0"/>
          <w:i w:val="0"/>
          <w:color w:val="1E252B"/>
          <w:sz w:val="19"/>
        </w:rPr>
        <w:t xml:space="preserve">, and </w:t>
      </w:r>
      <w:hyperlink r:id="rId33">
        <w:r>
          <w:rPr>
            <w:rFonts w:ascii="Calibri" w:hAnsi="Calibri"/>
            <w:color w:val="2E74B5"/>
            <w:u w:val="single"/>
            <w:sz w:val="19"/>
          </w:rPr>
          <w:t>3:83</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Ibn Kathīr, </w:t>
      </w:r>
      <w:r>
        <w:rPr>
          <w:rFonts w:ascii="Calibri" w:hAnsi="Calibri" w:cs="Calibri"/>
          <w:b w:val="0"/>
          <w:i/>
          <w:color w:val="1E252B"/>
          <w:sz w:val="19"/>
        </w:rPr>
        <w:t>Tafsīr al-Qurʾān al-ʿaẓīm</w:t>
      </w:r>
      <w:r>
        <w:rPr>
          <w:rFonts w:ascii="Calibri" w:hAnsi="Calibri" w:cs="Calibri"/>
          <w:b w:val="0"/>
          <w:i w:val="0"/>
          <w:color w:val="1E252B"/>
          <w:sz w:val="19"/>
        </w:rPr>
        <w:t xml:space="preserve">, </w:t>
      </w:r>
      <w:hyperlink r:id="rId23">
        <w:r>
          <w:rPr>
            <w:rFonts w:ascii="Calibri" w:hAnsi="Calibri"/>
            <w:color w:val="2E74B5"/>
            <w:u w:val="single"/>
            <w:sz w:val="19"/>
          </w:rPr>
          <w:t>22:31</w:t>
        </w:r>
      </w:hyperlink>
      <w:r>
        <w:rPr>
          <w:rFonts w:ascii="Calibri" w:hAnsi="Calibri" w:cs="Calibri"/>
          <w:b w:val="0"/>
          <w:i w:val="0"/>
          <w:color w:val="1E252B"/>
          <w:sz w:val="19"/>
        </w:rPr>
        <w:t xml:space="preserve">, </w:t>
      </w:r>
      <w:hyperlink r:id="rId30">
        <w:r>
          <w:rPr>
            <w:rFonts w:ascii="Calibri" w:hAnsi="Calibri"/>
            <w:color w:val="2E74B5"/>
            <w:u w:val="single"/>
            <w:sz w:val="19"/>
          </w:rPr>
          <w:t>22:32</w:t>
        </w:r>
      </w:hyperlink>
      <w:r>
        <w:rPr>
          <w:rFonts w:ascii="Calibri" w:hAnsi="Calibri" w:cs="Calibri"/>
          <w:b w:val="0"/>
          <w:i w:val="0"/>
          <w:color w:val="1E252B"/>
          <w:sz w:val="19"/>
        </w:rPr>
        <w:t xml:space="preserve">, and </w:t>
      </w:r>
      <w:hyperlink r:id="rId32">
        <w:r>
          <w:rPr>
            <w:rFonts w:ascii="Calibri" w:hAnsi="Calibri"/>
            <w:color w:val="2E74B5"/>
            <w:u w:val="single"/>
            <w:sz w:val="19"/>
          </w:rPr>
          <w:t>3:83</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Fakhr al-Dīn al-Rāzī, </w:t>
      </w:r>
      <w:r>
        <w:rPr>
          <w:rFonts w:ascii="Calibri" w:hAnsi="Calibri" w:cs="Calibri"/>
          <w:b w:val="0"/>
          <w:i/>
          <w:color w:val="1E252B"/>
          <w:sz w:val="19"/>
        </w:rPr>
        <w:t>Mafātīḥ al-ghayb</w:t>
      </w:r>
      <w:r>
        <w:rPr>
          <w:rFonts w:ascii="Calibri" w:hAnsi="Calibri" w:cs="Calibri"/>
          <w:b w:val="0"/>
          <w:i w:val="0"/>
          <w:color w:val="1E252B"/>
          <w:sz w:val="19"/>
        </w:rPr>
        <w:t xml:space="preserve">, </w:t>
      </w:r>
      <w:hyperlink r:id="rId25">
        <w:r>
          <w:rPr>
            <w:rFonts w:ascii="Calibri" w:hAnsi="Calibri"/>
            <w:color w:val="2E74B5"/>
            <w:u w:val="single"/>
            <w:sz w:val="19"/>
          </w:rPr>
          <w:t>22:31–32</w:t>
        </w:r>
      </w:hyperlink>
      <w:r>
        <w:rPr>
          <w:rFonts w:ascii="Calibri" w:hAnsi="Calibri" w:cs="Calibri"/>
          <w:b w:val="0"/>
          <w:i w:val="0"/>
          <w:color w:val="1E252B"/>
          <w:sz w:val="19"/>
        </w:rPr>
        <w:t xml:space="preserve"> and </w:t>
      </w:r>
      <w:hyperlink r:id="rId34">
        <w:r>
          <w:rPr>
            <w:rFonts w:ascii="Calibri" w:hAnsi="Calibri"/>
            <w:color w:val="2E74B5"/>
            <w:u w:val="single"/>
            <w:sz w:val="19"/>
          </w:rPr>
          <w:t>3:83</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Ibn ʿĀshūr, </w:t>
      </w:r>
      <w:r>
        <w:rPr>
          <w:rFonts w:ascii="Calibri" w:hAnsi="Calibri" w:cs="Calibri"/>
          <w:b w:val="0"/>
          <w:i/>
          <w:color w:val="1E252B"/>
          <w:sz w:val="19"/>
        </w:rPr>
        <w:t>Al-Taḥrīr wa-l-tanwīr</w:t>
      </w:r>
      <w:r>
        <w:rPr>
          <w:rFonts w:ascii="Calibri" w:hAnsi="Calibri" w:cs="Calibri"/>
          <w:b w:val="0"/>
          <w:i w:val="0"/>
          <w:color w:val="1E252B"/>
          <w:sz w:val="19"/>
        </w:rPr>
        <w:t xml:space="preserve">, </w:t>
      </w:r>
      <w:hyperlink r:id="rId26">
        <w:r>
          <w:rPr>
            <w:rFonts w:ascii="Calibri" w:hAnsi="Calibri"/>
            <w:color w:val="2E74B5"/>
            <w:u w:val="single"/>
            <w:sz w:val="19"/>
          </w:rPr>
          <w:t>22:31</w:t>
        </w:r>
      </w:hyperlink>
      <w:r>
        <w:rPr>
          <w:rFonts w:ascii="Calibri" w:hAnsi="Calibri" w:cs="Calibri"/>
          <w:b w:val="0"/>
          <w:i w:val="0"/>
          <w:color w:val="1E252B"/>
          <w:sz w:val="19"/>
        </w:rPr>
        <w:t xml:space="preserve">, </w:t>
      </w:r>
      <w:hyperlink r:id="rId53">
        <w:r>
          <w:rPr>
            <w:rFonts w:ascii="Calibri" w:hAnsi="Calibri"/>
            <w:color w:val="2E74B5"/>
            <w:u w:val="single"/>
            <w:sz w:val="19"/>
          </w:rPr>
          <w:t>22:32</w:t>
        </w:r>
      </w:hyperlink>
      <w:r>
        <w:rPr>
          <w:rFonts w:ascii="Calibri" w:hAnsi="Calibri" w:cs="Calibri"/>
          <w:b w:val="0"/>
          <w:i w:val="0"/>
          <w:color w:val="1E252B"/>
          <w:sz w:val="19"/>
        </w:rPr>
        <w:t xml:space="preserve">, and </w:t>
      </w:r>
      <w:hyperlink r:id="rId54">
        <w:r>
          <w:rPr>
            <w:rFonts w:ascii="Calibri" w:hAnsi="Calibri"/>
            <w:color w:val="2E74B5"/>
            <w:u w:val="single"/>
            <w:sz w:val="19"/>
          </w:rPr>
          <w:t>3:83</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Abū al-Aʿlā Mawdūdī, </w:t>
      </w:r>
      <w:r>
        <w:rPr>
          <w:rFonts w:ascii="Calibri" w:hAnsi="Calibri" w:cs="Calibri"/>
          <w:b w:val="0"/>
          <w:i/>
          <w:color w:val="1E252B"/>
          <w:sz w:val="19"/>
        </w:rPr>
        <w:t>Tafhīm al-Qurʾān</w:t>
      </w:r>
      <w:r>
        <w:rPr>
          <w:rFonts w:ascii="Calibri" w:hAnsi="Calibri" w:cs="Calibri"/>
          <w:b w:val="0"/>
          <w:i w:val="0"/>
          <w:color w:val="1E252B"/>
          <w:sz w:val="19"/>
        </w:rPr>
        <w:t xml:space="preserve">, </w:t>
      </w:r>
      <w:hyperlink r:id="rId27">
        <w:r>
          <w:rPr>
            <w:rFonts w:ascii="Calibri" w:hAnsi="Calibri"/>
            <w:color w:val="2E74B5"/>
            <w:u w:val="single"/>
            <w:sz w:val="19"/>
          </w:rPr>
          <w:t>22:31–33</w:t>
        </w:r>
      </w:hyperlink>
      <w:r>
        <w:rPr>
          <w:rFonts w:ascii="Calibri" w:hAnsi="Calibri" w:cs="Calibri"/>
          <w:b w:val="0"/>
          <w:i w:val="0"/>
          <w:color w:val="1E252B"/>
          <w:sz w:val="19"/>
        </w:rPr>
        <w:t xml:space="preserve"> and </w:t>
      </w:r>
      <w:hyperlink r:id="rId55">
        <w:r>
          <w:rPr>
            <w:rFonts w:ascii="Calibri" w:hAnsi="Calibri"/>
            <w:color w:val="2E74B5"/>
            <w:u w:val="single"/>
            <w:sz w:val="19"/>
          </w:rPr>
          <w:t>3:83–85</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Sayyid Quṭb, </w:t>
      </w:r>
      <w:r>
        <w:rPr>
          <w:rFonts w:ascii="Calibri" w:hAnsi="Calibri" w:cs="Calibri"/>
          <w:b w:val="0"/>
          <w:i/>
          <w:color w:val="1E252B"/>
          <w:sz w:val="19"/>
        </w:rPr>
        <w:t>Fī Ẓilāl al-Qurʾān</w:t>
      </w:r>
      <w:r>
        <w:rPr>
          <w:rFonts w:ascii="Calibri" w:hAnsi="Calibri" w:cs="Calibri"/>
          <w:b w:val="0"/>
          <w:i w:val="0"/>
          <w:color w:val="1E252B"/>
          <w:sz w:val="19"/>
        </w:rPr>
        <w:t xml:space="preserve">, </w:t>
      </w:r>
      <w:hyperlink r:id="rId35">
        <w:r>
          <w:rPr>
            <w:rFonts w:ascii="Calibri" w:hAnsi="Calibri"/>
            <w:color w:val="2E74B5"/>
            <w:u w:val="single"/>
            <w:sz w:val="19"/>
          </w:rPr>
          <w:t>22:32</w:t>
        </w:r>
      </w:hyperlink>
      <w:r>
        <w:rPr>
          <w:rFonts w:ascii="Calibri" w:hAnsi="Calibri" w:cs="Calibri"/>
          <w:b w:val="0"/>
          <w:i w:val="0"/>
          <w:color w:val="1E252B"/>
          <w:sz w:val="19"/>
        </w:rPr>
        <w:t xml:space="preserve"> and </w:t>
      </w:r>
      <w:hyperlink r:id="rId36">
        <w:r>
          <w:rPr>
            <w:rFonts w:ascii="Calibri" w:hAnsi="Calibri"/>
            <w:color w:val="2E74B5"/>
            <w:u w:val="single"/>
            <w:sz w:val="19"/>
          </w:rPr>
          <w:t>3:83</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Muhammad Asad, </w:t>
      </w:r>
      <w:r>
        <w:rPr>
          <w:rFonts w:ascii="Calibri" w:hAnsi="Calibri" w:cs="Calibri"/>
          <w:b w:val="0"/>
          <w:i/>
          <w:color w:val="1E252B"/>
          <w:sz w:val="19"/>
        </w:rPr>
        <w:t>The Message of the Qur’an</w:t>
      </w:r>
      <w:r>
        <w:rPr>
          <w:rFonts w:ascii="Calibri" w:hAnsi="Calibri" w:cs="Calibri"/>
          <w:b w:val="0"/>
          <w:i w:val="0"/>
          <w:color w:val="1E252B"/>
          <w:sz w:val="19"/>
        </w:rPr>
        <w:t xml:space="preserve">, </w:t>
      </w:r>
      <w:hyperlink r:id="rId20">
        <w:r>
          <w:rPr>
            <w:rFonts w:ascii="Calibri" w:hAnsi="Calibri"/>
            <w:color w:val="2E74B5"/>
            <w:u w:val="single"/>
            <w:sz w:val="19"/>
          </w:rPr>
          <w:t>Sūrah 22</w:t>
        </w:r>
      </w:hyperlink>
      <w:r>
        <w:rPr>
          <w:rFonts w:ascii="Calibri" w:hAnsi="Calibri" w:cs="Calibri"/>
          <w:b w:val="0"/>
          <w:i w:val="0"/>
          <w:color w:val="1E252B"/>
          <w:sz w:val="19"/>
        </w:rPr>
        <w:t>.</w:t>
      </w:r>
    </w:p>
    <w:p>
      <w:pPr>
        <w:pStyle w:val="Heading2"/>
      </w:pPr>
      <w:r>
        <w:rPr>
          <w:rFonts w:ascii="Calibri" w:hAnsi="Calibri" w:cs="Calibri"/>
          <w:b/>
          <w:i w:val="0"/>
          <w:color w:val="2E74B5"/>
          <w:sz w:val="26"/>
        </w:rPr>
        <w:t>Moral realism and anti-realism</w:t>
      </w:r>
    </w:p>
    <w:p>
      <w:pPr>
        <w:pStyle w:val="Bibliography"/>
        <w:numPr>
          <w:ilvl w:val="0"/>
          <w:numId w:val="10"/>
        </w:numPr>
        <w:spacing w:after="80"/>
        <w:ind w:left="540" w:hanging="279"/>
      </w:pPr>
      <w:r>
        <w:rPr>
          <w:rFonts w:ascii="Calibri" w:hAnsi="Calibri" w:cs="Calibri"/>
          <w:b w:val="0"/>
          <w:i w:val="0"/>
          <w:color w:val="1E252B"/>
          <w:sz w:val="19"/>
        </w:rPr>
        <w:t xml:space="preserve">David Bourget and David J. Chalmers, </w:t>
      </w:r>
      <w:hyperlink r:id="rId56">
        <w:r>
          <w:rPr>
            <w:rFonts w:ascii="Calibri" w:hAnsi="Calibri"/>
            <w:color w:val="2E74B5"/>
            <w:u w:val="single"/>
            <w:sz w:val="19"/>
          </w:rPr>
          <w:t>“Philosophers on Philosophy: The 2020 PhilPapers Survey”</w:t>
        </w:r>
      </w:hyperlink>
      <w:r>
        <w:rPr>
          <w:rFonts w:ascii="Calibri" w:hAnsi="Calibri" w:cs="Calibri"/>
          <w:b w:val="0"/>
          <w:i w:val="0"/>
          <w:color w:val="1E252B"/>
          <w:sz w:val="19"/>
        </w:rPr>
        <w:t xml:space="preserve">, </w:t>
      </w:r>
      <w:r>
        <w:rPr>
          <w:rFonts w:ascii="Calibri" w:hAnsi="Calibri" w:cs="Calibri"/>
          <w:b w:val="0"/>
          <w:i/>
          <w:color w:val="1E252B"/>
          <w:sz w:val="19"/>
        </w:rPr>
        <w:t>Philosophers’ Imprint</w:t>
      </w:r>
      <w:r>
        <w:rPr>
          <w:rFonts w:ascii="Calibri" w:hAnsi="Calibri" w:cs="Calibri"/>
          <w:b w:val="0"/>
          <w:i w:val="0"/>
          <w:color w:val="1E252B"/>
          <w:sz w:val="19"/>
        </w:rPr>
        <w:t xml:space="preserve"> 23 (2023); </w:t>
      </w:r>
      <w:hyperlink r:id="rId11">
        <w:r>
          <w:rPr>
            <w:rFonts w:ascii="Calibri" w:hAnsi="Calibri"/>
            <w:color w:val="2E74B5"/>
            <w:u w:val="single"/>
            <w:sz w:val="19"/>
          </w:rPr>
          <w:t>official metaethics results</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Plato, </w:t>
      </w:r>
      <w:r>
        <w:rPr>
          <w:rFonts w:ascii="Calibri" w:hAnsi="Calibri" w:cs="Calibri"/>
          <w:b w:val="0"/>
          <w:i/>
          <w:color w:val="1E252B"/>
          <w:sz w:val="19"/>
        </w:rPr>
        <w:t>Republic</w:t>
      </w:r>
      <w:r>
        <w:rPr>
          <w:rFonts w:ascii="Calibri" w:hAnsi="Calibri" w:cs="Calibri"/>
          <w:b w:val="0"/>
          <w:i w:val="0"/>
          <w:color w:val="1E252B"/>
          <w:sz w:val="19"/>
        </w:rPr>
        <w:t xml:space="preserve">, Books VI–VII, including the analogy of the Good; </w:t>
      </w:r>
      <w:hyperlink r:id="rId57">
        <w:r>
          <w:rPr>
            <w:rFonts w:ascii="Calibri" w:hAnsi="Calibri"/>
            <w:color w:val="2E74B5"/>
            <w:u w:val="single"/>
            <w:sz w:val="19"/>
          </w:rPr>
          <w:t>Perseus/Scaife text</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Thomas Aquinas, </w:t>
      </w:r>
      <w:r>
        <w:rPr>
          <w:rFonts w:ascii="Calibri" w:hAnsi="Calibri" w:cs="Calibri"/>
          <w:b w:val="0"/>
          <w:i/>
          <w:color w:val="1E252B"/>
          <w:sz w:val="19"/>
        </w:rPr>
        <w:t>Summa theologiae</w:t>
      </w:r>
      <w:r>
        <w:rPr>
          <w:rFonts w:ascii="Calibri" w:hAnsi="Calibri" w:cs="Calibri"/>
          <w:b w:val="0"/>
          <w:i w:val="0"/>
          <w:color w:val="1E252B"/>
          <w:sz w:val="19"/>
        </w:rPr>
        <w:t xml:space="preserve"> I–II, </w:t>
      </w:r>
      <w:hyperlink r:id="rId39">
        <w:r>
          <w:rPr>
            <w:rFonts w:ascii="Calibri" w:hAnsi="Calibri"/>
            <w:color w:val="2E74B5"/>
            <w:u w:val="single"/>
            <w:sz w:val="19"/>
          </w:rPr>
          <w:t>q. 91</w:t>
        </w:r>
      </w:hyperlink>
      <w:r>
        <w:rPr>
          <w:rFonts w:ascii="Calibri" w:hAnsi="Calibri" w:cs="Calibri"/>
          <w:b w:val="0"/>
          <w:i w:val="0"/>
          <w:color w:val="1E252B"/>
          <w:sz w:val="19"/>
        </w:rPr>
        <w:t xml:space="preserve"> and </w:t>
      </w:r>
      <w:hyperlink r:id="rId40">
        <w:r>
          <w:rPr>
            <w:rFonts w:ascii="Calibri" w:hAnsi="Calibri"/>
            <w:color w:val="2E74B5"/>
            <w:u w:val="single"/>
            <w:sz w:val="19"/>
          </w:rPr>
          <w:t>q. 94</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G. E. Moore, </w:t>
      </w:r>
      <w:hyperlink r:id="rId41">
        <w:r>
          <w:rPr>
            <w:rFonts w:ascii="Calibri" w:hAnsi="Calibri"/>
            <w:color w:val="2E74B5"/>
            <w:u w:val="single"/>
            <w:sz w:val="19"/>
            <w:i/>
          </w:rPr>
          <w:t>Principia Ethica</w:t>
        </w:r>
      </w:hyperlink>
      <w:r>
        <w:rPr>
          <w:rFonts w:ascii="Calibri" w:hAnsi="Calibri" w:cs="Calibri"/>
          <w:b w:val="0"/>
          <w:i w:val="0"/>
          <w:color w:val="1E252B"/>
          <w:sz w:val="19"/>
        </w:rPr>
        <w:t xml:space="preserve"> (1903).</w:t>
      </w:r>
    </w:p>
    <w:p>
      <w:pPr>
        <w:pStyle w:val="Bibliography"/>
        <w:numPr>
          <w:ilvl w:val="0"/>
          <w:numId w:val="10"/>
        </w:numPr>
        <w:spacing w:after="80"/>
        <w:ind w:left="540" w:hanging="279"/>
      </w:pPr>
      <w:r>
        <w:rPr>
          <w:rFonts w:ascii="Calibri" w:hAnsi="Calibri" w:cs="Calibri"/>
          <w:b w:val="0"/>
          <w:i w:val="0"/>
          <w:color w:val="1E252B"/>
          <w:sz w:val="19"/>
        </w:rPr>
        <w:t xml:space="preserve">W. D. Ross, </w:t>
      </w:r>
      <w:r>
        <w:rPr>
          <w:rFonts w:ascii="Calibri" w:hAnsi="Calibri" w:cs="Calibri"/>
          <w:b w:val="0"/>
          <w:i/>
          <w:color w:val="1E252B"/>
          <w:sz w:val="19"/>
        </w:rPr>
        <w:t>The Right and the Good</w:t>
      </w:r>
      <w:r>
        <w:rPr>
          <w:rFonts w:ascii="Calibri" w:hAnsi="Calibri" w:cs="Calibri"/>
          <w:b w:val="0"/>
          <w:i w:val="0"/>
          <w:color w:val="1E252B"/>
          <w:sz w:val="19"/>
        </w:rPr>
        <w:t xml:space="preserve"> (1930); </w:t>
      </w:r>
      <w:hyperlink r:id="rId42">
        <w:r>
          <w:rPr>
            <w:rFonts w:ascii="Calibri" w:hAnsi="Calibri"/>
            <w:color w:val="2E74B5"/>
            <w:u w:val="single"/>
            <w:sz w:val="19"/>
          </w:rPr>
          <w:t>Stanford Encyclopedia overview</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David O. Brink, </w:t>
      </w:r>
      <w:hyperlink r:id="rId43">
        <w:r>
          <w:rPr>
            <w:rFonts w:ascii="Calibri" w:hAnsi="Calibri"/>
            <w:color w:val="2E74B5"/>
            <w:u w:val="single"/>
            <w:sz w:val="19"/>
            <w:i/>
          </w:rPr>
          <w:t>Moral Realism and the Foundations of Ethics</w:t>
        </w:r>
      </w:hyperlink>
      <w:r>
        <w:rPr>
          <w:rFonts w:ascii="Calibri" w:hAnsi="Calibri" w:cs="Calibri"/>
          <w:b w:val="0"/>
          <w:i w:val="0"/>
          <w:color w:val="1E252B"/>
          <w:sz w:val="19"/>
        </w:rPr>
        <w:t xml:space="preserve"> (Cambridge University Press, 1989).</w:t>
      </w:r>
    </w:p>
    <w:p>
      <w:pPr>
        <w:pStyle w:val="Bibliography"/>
        <w:numPr>
          <w:ilvl w:val="0"/>
          <w:numId w:val="10"/>
        </w:numPr>
        <w:spacing w:after="80"/>
        <w:ind w:left="540" w:hanging="279"/>
      </w:pPr>
      <w:r>
        <w:rPr>
          <w:rFonts w:ascii="Calibri" w:hAnsi="Calibri" w:cs="Calibri"/>
          <w:b w:val="0"/>
          <w:i w:val="0"/>
          <w:color w:val="1E252B"/>
          <w:sz w:val="19"/>
        </w:rPr>
        <w:t xml:space="preserve">Russ Shafer-Landau, </w:t>
      </w:r>
      <w:hyperlink r:id="rId45">
        <w:r>
          <w:rPr>
            <w:rFonts w:ascii="Calibri" w:hAnsi="Calibri"/>
            <w:color w:val="2E74B5"/>
            <w:u w:val="single"/>
            <w:sz w:val="19"/>
            <w:i/>
          </w:rPr>
          <w:t>Moral Realism: A Defence</w:t>
        </w:r>
      </w:hyperlink>
      <w:r>
        <w:rPr>
          <w:rFonts w:ascii="Calibri" w:hAnsi="Calibri" w:cs="Calibri"/>
          <w:b w:val="0"/>
          <w:i w:val="0"/>
          <w:color w:val="1E252B"/>
          <w:sz w:val="19"/>
        </w:rPr>
        <w:t xml:space="preserve"> (Oxford University Press, 2003).</w:t>
      </w:r>
    </w:p>
    <w:p>
      <w:pPr>
        <w:pStyle w:val="Bibliography"/>
        <w:numPr>
          <w:ilvl w:val="0"/>
          <w:numId w:val="10"/>
        </w:numPr>
        <w:spacing w:after="80"/>
        <w:ind w:left="540" w:hanging="279"/>
      </w:pPr>
      <w:r>
        <w:rPr>
          <w:rFonts w:ascii="Calibri" w:hAnsi="Calibri" w:cs="Calibri"/>
          <w:b w:val="0"/>
          <w:i w:val="0"/>
          <w:color w:val="1E252B"/>
          <w:sz w:val="19"/>
        </w:rPr>
        <w:t xml:space="preserve">Thomas Nagel, </w:t>
      </w:r>
      <w:hyperlink r:id="rId48">
        <w:r>
          <w:rPr>
            <w:rFonts w:ascii="Calibri" w:hAnsi="Calibri"/>
            <w:color w:val="2E74B5"/>
            <w:u w:val="single"/>
            <w:sz w:val="19"/>
            <w:i/>
          </w:rPr>
          <w:t>The View from Nowhere</w:t>
        </w:r>
      </w:hyperlink>
      <w:r>
        <w:rPr>
          <w:rFonts w:ascii="Calibri" w:hAnsi="Calibri" w:cs="Calibri"/>
          <w:b w:val="0"/>
          <w:i w:val="0"/>
          <w:color w:val="1E252B"/>
          <w:sz w:val="19"/>
        </w:rPr>
        <w:t xml:space="preserve"> (Oxford University Press, 1986).</w:t>
      </w:r>
    </w:p>
    <w:p>
      <w:pPr>
        <w:pStyle w:val="Bibliography"/>
        <w:numPr>
          <w:ilvl w:val="0"/>
          <w:numId w:val="10"/>
        </w:numPr>
        <w:spacing w:after="80"/>
        <w:ind w:left="540" w:hanging="279"/>
      </w:pPr>
      <w:r>
        <w:rPr>
          <w:rFonts w:ascii="Calibri" w:hAnsi="Calibri" w:cs="Calibri"/>
          <w:b w:val="0"/>
          <w:i w:val="0"/>
          <w:color w:val="1E252B"/>
          <w:sz w:val="19"/>
        </w:rPr>
        <w:t xml:space="preserve">Derek Parfit, </w:t>
      </w:r>
      <w:hyperlink r:id="rId49">
        <w:r>
          <w:rPr>
            <w:rFonts w:ascii="Calibri" w:hAnsi="Calibri"/>
            <w:color w:val="2E74B5"/>
            <w:u w:val="single"/>
            <w:sz w:val="19"/>
            <w:i/>
          </w:rPr>
          <w:t>On What Matters</w:t>
        </w:r>
      </w:hyperlink>
      <w:r>
        <w:rPr>
          <w:rFonts w:ascii="Calibri" w:hAnsi="Calibri" w:cs="Calibri"/>
          <w:b w:val="0"/>
          <w:i w:val="0"/>
          <w:color w:val="1E252B"/>
          <w:sz w:val="19"/>
        </w:rPr>
        <w:t>, vols. 1–3 (Oxford University Press, 2011–2017).</w:t>
      </w:r>
    </w:p>
    <w:p>
      <w:pPr>
        <w:pStyle w:val="Bibliography"/>
        <w:numPr>
          <w:ilvl w:val="0"/>
          <w:numId w:val="10"/>
        </w:numPr>
        <w:spacing w:after="80"/>
        <w:ind w:left="540" w:hanging="279"/>
      </w:pPr>
      <w:r>
        <w:rPr>
          <w:rFonts w:ascii="Calibri" w:hAnsi="Calibri" w:cs="Calibri"/>
          <w:b w:val="0"/>
          <w:i w:val="0"/>
          <w:color w:val="1E252B"/>
          <w:sz w:val="19"/>
        </w:rPr>
        <w:t xml:space="preserve">David Enoch, </w:t>
      </w:r>
      <w:hyperlink r:id="rId46">
        <w:r>
          <w:rPr>
            <w:rFonts w:ascii="Calibri" w:hAnsi="Calibri"/>
            <w:color w:val="2E74B5"/>
            <w:u w:val="single"/>
            <w:sz w:val="19"/>
            <w:i/>
          </w:rPr>
          <w:t>Taking Morality Seriously</w:t>
        </w:r>
      </w:hyperlink>
      <w:r>
        <w:rPr>
          <w:rFonts w:ascii="Calibri" w:hAnsi="Calibri" w:cs="Calibri"/>
          <w:b w:val="0"/>
          <w:i w:val="0"/>
          <w:color w:val="1E252B"/>
          <w:sz w:val="19"/>
        </w:rPr>
        <w:t xml:space="preserve"> (Oxford University Press, 2011).</w:t>
      </w:r>
    </w:p>
    <w:p>
      <w:pPr>
        <w:pStyle w:val="Bibliography"/>
        <w:numPr>
          <w:ilvl w:val="0"/>
          <w:numId w:val="10"/>
        </w:numPr>
        <w:spacing w:after="80"/>
        <w:ind w:left="540" w:hanging="279"/>
      </w:pPr>
      <w:r>
        <w:rPr>
          <w:rFonts w:ascii="Calibri" w:hAnsi="Calibri" w:cs="Calibri"/>
          <w:b w:val="0"/>
          <w:i w:val="0"/>
          <w:color w:val="1E252B"/>
          <w:sz w:val="19"/>
        </w:rPr>
        <w:t xml:space="preserve">Michael Huemer, </w:t>
      </w:r>
      <w:hyperlink r:id="rId47">
        <w:r>
          <w:rPr>
            <w:rFonts w:ascii="Calibri" w:hAnsi="Calibri"/>
            <w:color w:val="2E74B5"/>
            <w:u w:val="single"/>
            <w:sz w:val="19"/>
            <w:i/>
          </w:rPr>
          <w:t>Ethical Intuitionism</w:t>
        </w:r>
      </w:hyperlink>
      <w:r>
        <w:rPr>
          <w:rFonts w:ascii="Calibri" w:hAnsi="Calibri" w:cs="Calibri"/>
          <w:b w:val="0"/>
          <w:i w:val="0"/>
          <w:color w:val="1E252B"/>
          <w:sz w:val="19"/>
        </w:rPr>
        <w:t xml:space="preserve"> (Palgrave Macmillan, 2005).</w:t>
      </w:r>
    </w:p>
    <w:p>
      <w:pPr>
        <w:pStyle w:val="Bibliography"/>
        <w:numPr>
          <w:ilvl w:val="0"/>
          <w:numId w:val="10"/>
        </w:numPr>
        <w:spacing w:after="80"/>
        <w:ind w:left="540" w:hanging="279"/>
      </w:pPr>
      <w:r>
        <w:rPr>
          <w:rFonts w:ascii="Calibri" w:hAnsi="Calibri" w:cs="Calibri"/>
          <w:b w:val="0"/>
          <w:i w:val="0"/>
          <w:color w:val="1E252B"/>
          <w:sz w:val="19"/>
        </w:rPr>
        <w:t xml:space="preserve">Stanford Encyclopedia of Philosophy, </w:t>
      </w:r>
      <w:hyperlink r:id="rId14">
        <w:r>
          <w:rPr>
            <w:rFonts w:ascii="Calibri" w:hAnsi="Calibri"/>
            <w:color w:val="2E74B5"/>
            <w:u w:val="single"/>
            <w:sz w:val="19"/>
          </w:rPr>
          <w:t>“Moral Realism”</w:t>
        </w:r>
      </w:hyperlink>
      <w:r>
        <w:rPr>
          <w:rFonts w:ascii="Calibri" w:hAnsi="Calibri" w:cs="Calibri"/>
          <w:b w:val="0"/>
          <w:i w:val="0"/>
          <w:color w:val="1E252B"/>
          <w:sz w:val="19"/>
        </w:rPr>
        <w:t xml:space="preserve">, </w:t>
      </w:r>
      <w:hyperlink r:id="rId15">
        <w:r>
          <w:rPr>
            <w:rFonts w:ascii="Calibri" w:hAnsi="Calibri"/>
            <w:color w:val="2E74B5"/>
            <w:u w:val="single"/>
            <w:sz w:val="19"/>
          </w:rPr>
          <w:t>“Moral Anti-Realism”</w:t>
        </w:r>
      </w:hyperlink>
      <w:r>
        <w:rPr>
          <w:rFonts w:ascii="Calibri" w:hAnsi="Calibri" w:cs="Calibri"/>
          <w:b w:val="0"/>
          <w:i w:val="0"/>
          <w:color w:val="1E252B"/>
          <w:sz w:val="19"/>
        </w:rPr>
        <w:t xml:space="preserve">, and </w:t>
      </w:r>
      <w:hyperlink r:id="rId58">
        <w:r>
          <w:rPr>
            <w:rFonts w:ascii="Calibri" w:hAnsi="Calibri"/>
            <w:color w:val="2E74B5"/>
            <w:u w:val="single"/>
            <w:sz w:val="19"/>
          </w:rPr>
          <w:t>“Moral Sentimentalism”</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David Hume, </w:t>
      </w:r>
      <w:hyperlink r:id="rId59">
        <w:r>
          <w:rPr>
            <w:rFonts w:ascii="Calibri" w:hAnsi="Calibri"/>
            <w:color w:val="2E74B5"/>
            <w:u w:val="single"/>
            <w:sz w:val="19"/>
          </w:rPr>
          <w:t>A Treatise of Human Nature, Book III</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Friedrich Nietzsche, </w:t>
      </w:r>
      <w:hyperlink r:id="rId60">
        <w:r>
          <w:rPr>
            <w:rFonts w:ascii="Calibri" w:hAnsi="Calibri"/>
            <w:color w:val="2E74B5"/>
            <w:u w:val="single"/>
            <w:sz w:val="19"/>
            <w:i/>
          </w:rPr>
          <w:t>Beyond Good and Evil</w:t>
        </w:r>
      </w:hyperlink>
      <w:r>
        <w:rPr>
          <w:rFonts w:ascii="Calibri" w:hAnsi="Calibri" w:cs="Calibri"/>
          <w:b w:val="0"/>
          <w:i w:val="0"/>
          <w:color w:val="1E252B"/>
          <w:sz w:val="19"/>
        </w:rPr>
        <w:t xml:space="preserve"> and </w:t>
      </w:r>
      <w:r>
        <w:rPr>
          <w:rFonts w:ascii="Calibri" w:hAnsi="Calibri" w:cs="Calibri"/>
          <w:b w:val="0"/>
          <w:i/>
          <w:color w:val="1E252B"/>
          <w:sz w:val="19"/>
        </w:rPr>
        <w:t>On the Genealogy of Morality</w:t>
      </w:r>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A. J. Ayer, </w:t>
      </w:r>
      <w:hyperlink r:id="rId61">
        <w:r>
          <w:rPr>
            <w:rFonts w:ascii="Calibri" w:hAnsi="Calibri"/>
            <w:color w:val="2E74B5"/>
            <w:u w:val="single"/>
            <w:sz w:val="19"/>
            <w:i/>
          </w:rPr>
          <w:t>Language, Truth and Logic</w:t>
        </w:r>
      </w:hyperlink>
      <w:r>
        <w:rPr>
          <w:rFonts w:ascii="Calibri" w:hAnsi="Calibri" w:cs="Calibri"/>
          <w:b w:val="0"/>
          <w:i w:val="0"/>
          <w:color w:val="1E252B"/>
          <w:sz w:val="19"/>
        </w:rPr>
        <w:t xml:space="preserve"> (1936).</w:t>
      </w:r>
    </w:p>
    <w:p>
      <w:pPr>
        <w:pStyle w:val="Bibliography"/>
        <w:numPr>
          <w:ilvl w:val="0"/>
          <w:numId w:val="10"/>
        </w:numPr>
        <w:spacing w:after="80"/>
        <w:ind w:left="540" w:hanging="279"/>
      </w:pPr>
      <w:r>
        <w:rPr>
          <w:rFonts w:ascii="Calibri" w:hAnsi="Calibri" w:cs="Calibri"/>
          <w:b w:val="0"/>
          <w:i w:val="0"/>
          <w:color w:val="1E252B"/>
          <w:sz w:val="19"/>
        </w:rPr>
        <w:t xml:space="preserve">C. L. Stevenson, </w:t>
      </w:r>
      <w:hyperlink r:id="rId62">
        <w:r>
          <w:rPr>
            <w:rFonts w:ascii="Calibri" w:hAnsi="Calibri"/>
            <w:color w:val="2E74B5"/>
            <w:u w:val="single"/>
            <w:sz w:val="19"/>
          </w:rPr>
          <w:t>“The Emotive Meaning of Ethical Terms”</w:t>
        </w:r>
      </w:hyperlink>
      <w:r>
        <w:rPr>
          <w:rFonts w:ascii="Calibri" w:hAnsi="Calibri" w:cs="Calibri"/>
          <w:b w:val="0"/>
          <w:i w:val="0"/>
          <w:color w:val="1E252B"/>
          <w:sz w:val="19"/>
        </w:rPr>
        <w:t xml:space="preserve"> (1937) and </w:t>
      </w:r>
      <w:r>
        <w:rPr>
          <w:rFonts w:ascii="Calibri" w:hAnsi="Calibri" w:cs="Calibri"/>
          <w:b w:val="0"/>
          <w:i/>
          <w:color w:val="1E252B"/>
          <w:sz w:val="19"/>
        </w:rPr>
        <w:t>Ethics and Language</w:t>
      </w:r>
      <w:r>
        <w:rPr>
          <w:rFonts w:ascii="Calibri" w:hAnsi="Calibri" w:cs="Calibri"/>
          <w:b w:val="0"/>
          <w:i w:val="0"/>
          <w:color w:val="1E252B"/>
          <w:sz w:val="19"/>
        </w:rPr>
        <w:t xml:space="preserve"> (1944).</w:t>
      </w:r>
    </w:p>
    <w:p>
      <w:pPr>
        <w:pStyle w:val="Bibliography"/>
        <w:numPr>
          <w:ilvl w:val="0"/>
          <w:numId w:val="10"/>
        </w:numPr>
        <w:spacing w:after="80"/>
        <w:ind w:left="540" w:hanging="279"/>
      </w:pPr>
      <w:r>
        <w:rPr>
          <w:rFonts w:ascii="Calibri" w:hAnsi="Calibri" w:cs="Calibri"/>
          <w:b w:val="0"/>
          <w:i w:val="0"/>
          <w:color w:val="1E252B"/>
          <w:sz w:val="19"/>
        </w:rPr>
        <w:t xml:space="preserve">J. L. Mackie, </w:t>
      </w:r>
      <w:hyperlink r:id="rId51">
        <w:r>
          <w:rPr>
            <w:rFonts w:ascii="Calibri" w:hAnsi="Calibri"/>
            <w:color w:val="2E74B5"/>
            <w:u w:val="single"/>
            <w:sz w:val="19"/>
            <w:i/>
          </w:rPr>
          <w:t>Ethics: Inventing Right and Wrong</w:t>
        </w:r>
      </w:hyperlink>
      <w:r>
        <w:rPr>
          <w:rFonts w:ascii="Calibri" w:hAnsi="Calibri" w:cs="Calibri"/>
          <w:b w:val="0"/>
          <w:i w:val="0"/>
          <w:color w:val="1E252B"/>
          <w:sz w:val="19"/>
        </w:rPr>
        <w:t xml:space="preserve"> (Penguin, 1977).</w:t>
      </w:r>
    </w:p>
    <w:p>
      <w:pPr>
        <w:pStyle w:val="Bibliography"/>
        <w:numPr>
          <w:ilvl w:val="0"/>
          <w:numId w:val="10"/>
        </w:numPr>
        <w:spacing w:after="80"/>
        <w:ind w:left="540" w:hanging="279"/>
      </w:pPr>
      <w:r>
        <w:rPr>
          <w:rFonts w:ascii="Calibri" w:hAnsi="Calibri" w:cs="Calibri"/>
          <w:b w:val="0"/>
          <w:i w:val="0"/>
          <w:color w:val="1E252B"/>
          <w:sz w:val="19"/>
        </w:rPr>
        <w:t xml:space="preserve">Simon Blackburn, </w:t>
      </w:r>
      <w:hyperlink r:id="rId63">
        <w:r>
          <w:rPr>
            <w:rFonts w:ascii="Calibri" w:hAnsi="Calibri"/>
            <w:color w:val="2E74B5"/>
            <w:u w:val="single"/>
            <w:sz w:val="19"/>
            <w:i/>
          </w:rPr>
          <w:t>Essays in Quasi-Realism</w:t>
        </w:r>
      </w:hyperlink>
      <w:r>
        <w:rPr>
          <w:rFonts w:ascii="Calibri" w:hAnsi="Calibri" w:cs="Calibri"/>
          <w:b w:val="0"/>
          <w:i w:val="0"/>
          <w:color w:val="1E252B"/>
          <w:sz w:val="19"/>
        </w:rPr>
        <w:t xml:space="preserve"> (Oxford University Press, 1993).</w:t>
      </w:r>
    </w:p>
    <w:p>
      <w:pPr>
        <w:pStyle w:val="Bibliography"/>
        <w:numPr>
          <w:ilvl w:val="0"/>
          <w:numId w:val="10"/>
        </w:numPr>
        <w:spacing w:after="80"/>
        <w:ind w:left="540" w:hanging="279"/>
      </w:pPr>
      <w:r>
        <w:rPr>
          <w:rFonts w:ascii="Calibri" w:hAnsi="Calibri" w:cs="Calibri"/>
          <w:b w:val="0"/>
          <w:i w:val="0"/>
          <w:color w:val="1E252B"/>
          <w:sz w:val="19"/>
        </w:rPr>
        <w:t xml:space="preserve">Allan Gibbard, </w:t>
      </w:r>
      <w:hyperlink r:id="rId64">
        <w:r>
          <w:rPr>
            <w:rFonts w:ascii="Calibri" w:hAnsi="Calibri"/>
            <w:color w:val="2E74B5"/>
            <w:u w:val="single"/>
            <w:sz w:val="19"/>
            <w:i/>
          </w:rPr>
          <w:t>Wise Choices, Apt Feelings</w:t>
        </w:r>
      </w:hyperlink>
      <w:r>
        <w:rPr>
          <w:rFonts w:ascii="Calibri" w:hAnsi="Calibri" w:cs="Calibri"/>
          <w:b w:val="0"/>
          <w:i w:val="0"/>
          <w:color w:val="1E252B"/>
          <w:sz w:val="19"/>
        </w:rPr>
        <w:t xml:space="preserve"> (Harvard University Press, 1990).</w:t>
      </w:r>
    </w:p>
    <w:p>
      <w:pPr>
        <w:pStyle w:val="Bibliography"/>
        <w:numPr>
          <w:ilvl w:val="0"/>
          <w:numId w:val="10"/>
        </w:numPr>
        <w:spacing w:after="80"/>
        <w:ind w:left="540" w:hanging="279"/>
      </w:pPr>
      <w:hyperlink r:id="rId65">
        <w:r>
          <w:rPr>
            <w:rFonts w:ascii="Calibri" w:hAnsi="Calibri"/>
            <w:color w:val="2E74B5"/>
            <w:u w:val="single"/>
            <w:sz w:val="19"/>
          </w:rPr>
          <w:t>R. M. Hare</w:t>
        </w:r>
      </w:hyperlink>
      <w:r>
        <w:rPr>
          <w:rFonts w:ascii="Calibri" w:hAnsi="Calibri" w:cs="Calibri"/>
          <w:b w:val="0"/>
          <w:i w:val="0"/>
          <w:color w:val="1E252B"/>
          <w:sz w:val="19"/>
        </w:rPr>
        <w:t xml:space="preserve">, </w:t>
      </w:r>
      <w:r>
        <w:rPr>
          <w:rFonts w:ascii="Calibri" w:hAnsi="Calibri" w:cs="Calibri"/>
          <w:b w:val="0"/>
          <w:i/>
          <w:color w:val="1E252B"/>
          <w:sz w:val="19"/>
        </w:rPr>
        <w:t>The Language of Morals</w:t>
      </w:r>
      <w:r>
        <w:rPr>
          <w:rFonts w:ascii="Calibri" w:hAnsi="Calibri" w:cs="Calibri"/>
          <w:b w:val="0"/>
          <w:i w:val="0"/>
          <w:color w:val="1E252B"/>
          <w:sz w:val="19"/>
        </w:rPr>
        <w:t xml:space="preserve"> (1952).</w:t>
      </w:r>
    </w:p>
    <w:p>
      <w:pPr>
        <w:pStyle w:val="Bibliography"/>
        <w:numPr>
          <w:ilvl w:val="0"/>
          <w:numId w:val="10"/>
        </w:numPr>
        <w:spacing w:after="80"/>
        <w:ind w:left="540" w:hanging="279"/>
      </w:pPr>
      <w:r>
        <w:rPr>
          <w:rFonts w:ascii="Calibri" w:hAnsi="Calibri" w:cs="Calibri"/>
          <w:b w:val="0"/>
          <w:i w:val="0"/>
          <w:color w:val="1E252B"/>
          <w:sz w:val="19"/>
        </w:rPr>
        <w:t xml:space="preserve">Richard Joyce, </w:t>
      </w:r>
      <w:hyperlink r:id="rId66">
        <w:r>
          <w:rPr>
            <w:rFonts w:ascii="Calibri" w:hAnsi="Calibri"/>
            <w:color w:val="2E74B5"/>
            <w:u w:val="single"/>
            <w:sz w:val="19"/>
            <w:i/>
          </w:rPr>
          <w:t>The Myth of Morality</w:t>
        </w:r>
      </w:hyperlink>
      <w:r>
        <w:rPr>
          <w:rFonts w:ascii="Calibri" w:hAnsi="Calibri" w:cs="Calibri"/>
          <w:b w:val="0"/>
          <w:i w:val="0"/>
          <w:color w:val="1E252B"/>
          <w:sz w:val="19"/>
        </w:rPr>
        <w:t xml:space="preserve"> (Cambridge University Press, 2001) and later work on moral fictionalism.</w:t>
      </w:r>
    </w:p>
    <w:p>
      <w:pPr>
        <w:pStyle w:val="Bibliography"/>
        <w:numPr>
          <w:ilvl w:val="0"/>
          <w:numId w:val="10"/>
        </w:numPr>
        <w:spacing w:after="80"/>
        <w:ind w:left="540" w:hanging="279"/>
      </w:pPr>
      <w:r>
        <w:rPr>
          <w:rFonts w:ascii="Calibri" w:hAnsi="Calibri" w:cs="Calibri"/>
          <w:b w:val="0"/>
          <w:i w:val="0"/>
          <w:color w:val="1E252B"/>
          <w:sz w:val="19"/>
        </w:rPr>
        <w:t xml:space="preserve">Sharon Street, </w:t>
      </w:r>
      <w:hyperlink r:id="rId52">
        <w:r>
          <w:rPr>
            <w:rFonts w:ascii="Calibri" w:hAnsi="Calibri"/>
            <w:color w:val="2E74B5"/>
            <w:u w:val="single"/>
            <w:sz w:val="19"/>
          </w:rPr>
          <w:t>“A Darwinian Dilemma for Realist Theories of Value”</w:t>
        </w:r>
      </w:hyperlink>
      <w:r>
        <w:rPr>
          <w:rFonts w:ascii="Calibri" w:hAnsi="Calibri" w:cs="Calibri"/>
          <w:b w:val="0"/>
          <w:i w:val="0"/>
          <w:color w:val="1E252B"/>
          <w:sz w:val="19"/>
        </w:rPr>
        <w:t xml:space="preserve">, </w:t>
      </w:r>
      <w:r>
        <w:rPr>
          <w:rFonts w:ascii="Calibri" w:hAnsi="Calibri" w:cs="Calibri"/>
          <w:b w:val="0"/>
          <w:i/>
          <w:color w:val="1E252B"/>
          <w:sz w:val="19"/>
        </w:rPr>
        <w:t>Philosophical Studies</w:t>
      </w:r>
      <w:r>
        <w:rPr>
          <w:rFonts w:ascii="Calibri" w:hAnsi="Calibri" w:cs="Calibri"/>
          <w:b w:val="0"/>
          <w:i w:val="0"/>
          <w:color w:val="1E252B"/>
          <w:sz w:val="19"/>
        </w:rPr>
        <w:t xml:space="preserve"> 127 (2006): 109–166.</w:t>
      </w:r>
    </w:p>
    <w:p>
      <w:pPr>
        <w:pStyle w:val="Bibliography"/>
        <w:numPr>
          <w:ilvl w:val="0"/>
          <w:numId w:val="10"/>
        </w:numPr>
        <w:spacing w:after="80"/>
        <w:ind w:left="540" w:hanging="279"/>
      </w:pPr>
      <w:r>
        <w:rPr>
          <w:rFonts w:ascii="Calibri" w:hAnsi="Calibri" w:cs="Calibri"/>
          <w:b w:val="0"/>
          <w:i w:val="0"/>
          <w:color w:val="1E252B"/>
          <w:sz w:val="19"/>
        </w:rPr>
        <w:t xml:space="preserve">Terence Cuneo, </w:t>
      </w:r>
      <w:r>
        <w:rPr>
          <w:rFonts w:ascii="Calibri" w:hAnsi="Calibri" w:cs="Calibri"/>
          <w:b w:val="0"/>
          <w:i/>
          <w:color w:val="1E252B"/>
          <w:sz w:val="19"/>
        </w:rPr>
        <w:t>The Normative Web</w:t>
      </w:r>
      <w:r>
        <w:rPr>
          <w:rFonts w:ascii="Calibri" w:hAnsi="Calibri" w:cs="Calibri"/>
          <w:b w:val="0"/>
          <w:i w:val="0"/>
          <w:color w:val="1E252B"/>
          <w:sz w:val="19"/>
        </w:rPr>
        <w:t xml:space="preserve"> (Oxford University Press, 2007); </w:t>
      </w:r>
      <w:hyperlink r:id="rId67">
        <w:r>
          <w:rPr>
            <w:rFonts w:ascii="Calibri" w:hAnsi="Calibri"/>
            <w:color w:val="2E74B5"/>
            <w:u w:val="single"/>
            <w:sz w:val="19"/>
          </w:rPr>
          <w:t>Notre Dame Philosophical Reviews</w:t>
        </w:r>
      </w:hyperlink>
      <w:r>
        <w:rPr>
          <w:rFonts w:ascii="Calibri" w:hAnsi="Calibri" w:cs="Calibri"/>
          <w:b w:val="0"/>
          <w:i w:val="0"/>
          <w:color w:val="1E252B"/>
          <w:sz w:val="19"/>
        </w:rPr>
        <w:t>.</w:t>
      </w:r>
    </w:p>
    <w:p>
      <w:pPr>
        <w:pStyle w:val="Bibliography"/>
        <w:numPr>
          <w:ilvl w:val="0"/>
          <w:numId w:val="10"/>
        </w:numPr>
        <w:spacing w:after="80"/>
        <w:ind w:left="540" w:hanging="279"/>
      </w:pPr>
      <w:r>
        <w:rPr>
          <w:rFonts w:ascii="Calibri" w:hAnsi="Calibri" w:cs="Calibri"/>
          <w:b w:val="0"/>
          <w:i w:val="0"/>
          <w:color w:val="1E252B"/>
          <w:sz w:val="19"/>
        </w:rPr>
        <w:t xml:space="preserve">Robert Merrihew Adams, </w:t>
      </w:r>
      <w:hyperlink r:id="rId68">
        <w:r>
          <w:rPr>
            <w:rFonts w:ascii="Calibri" w:hAnsi="Calibri"/>
            <w:color w:val="2E74B5"/>
            <w:u w:val="single"/>
            <w:sz w:val="19"/>
            <w:i/>
          </w:rPr>
          <w:t>Finite and Infinite Goods</w:t>
        </w:r>
      </w:hyperlink>
      <w:r>
        <w:rPr>
          <w:rFonts w:ascii="Calibri" w:hAnsi="Calibri" w:cs="Calibri"/>
          <w:b w:val="0"/>
          <w:i w:val="0"/>
          <w:color w:val="1E252B"/>
          <w:sz w:val="19"/>
        </w:rPr>
        <w:t xml:space="preserve"> (Oxford University Press, 1999).</w:t>
      </w:r>
    </w:p>
    <w:p>
      <w:pPr>
        <w:pStyle w:val="Heading2"/>
      </w:pPr>
      <w:r>
        <w:rPr>
          <w:rFonts w:ascii="Calibri" w:hAnsi="Calibri" w:cs="Calibri"/>
          <w:b/>
          <w:i w:val="0"/>
          <w:color w:val="2E74B5"/>
          <w:sz w:val="26"/>
        </w:rPr>
        <w:t>Islamic ethics and constructive theology</w:t>
      </w:r>
    </w:p>
    <w:p>
      <w:pPr>
        <w:pStyle w:val="Bibliography"/>
        <w:numPr>
          <w:ilvl w:val="0"/>
          <w:numId w:val="10"/>
        </w:numPr>
        <w:spacing w:after="80"/>
        <w:ind w:left="540" w:hanging="279"/>
      </w:pPr>
      <w:r>
        <w:rPr>
          <w:rFonts w:ascii="Calibri" w:hAnsi="Calibri" w:cs="Calibri"/>
          <w:b w:val="0"/>
          <w:i w:val="0"/>
          <w:color w:val="1E252B"/>
          <w:sz w:val="19"/>
        </w:rPr>
        <w:t xml:space="preserve">Atif Khalil, </w:t>
      </w:r>
      <w:hyperlink r:id="rId37">
        <w:r>
          <w:rPr>
            <w:rFonts w:ascii="Calibri" w:hAnsi="Calibri"/>
            <w:color w:val="2E74B5"/>
            <w:u w:val="single"/>
            <w:sz w:val="19"/>
          </w:rPr>
          <w:t>“Ethics in Islam”</w:t>
        </w:r>
      </w:hyperlink>
      <w:r>
        <w:rPr>
          <w:rFonts w:ascii="Calibri" w:hAnsi="Calibri" w:cs="Calibri"/>
          <w:b w:val="0"/>
          <w:i w:val="0"/>
          <w:color w:val="1E252B"/>
          <w:sz w:val="19"/>
        </w:rPr>
        <w:t xml:space="preserve">, </w:t>
      </w:r>
      <w:r>
        <w:rPr>
          <w:rFonts w:ascii="Calibri" w:hAnsi="Calibri" w:cs="Calibri"/>
          <w:b w:val="0"/>
          <w:i/>
          <w:color w:val="1E252B"/>
          <w:sz w:val="19"/>
        </w:rPr>
        <w:t>St Andrews Encyclopaedia of Theology</w:t>
      </w:r>
      <w:r>
        <w:rPr>
          <w:rFonts w:ascii="Calibri" w:hAnsi="Calibri" w:cs="Calibri"/>
          <w:b w:val="0"/>
          <w:i w:val="0"/>
          <w:color w:val="1E252B"/>
          <w:sz w:val="19"/>
        </w:rPr>
        <w:t xml:space="preserve"> (2025).</w:t>
      </w:r>
    </w:p>
    <w:p>
      <w:pPr>
        <w:pStyle w:val="Bibliography"/>
        <w:numPr>
          <w:ilvl w:val="0"/>
          <w:numId w:val="10"/>
        </w:numPr>
        <w:spacing w:after="80"/>
        <w:ind w:left="540" w:hanging="279"/>
      </w:pPr>
      <w:r>
        <w:rPr>
          <w:rFonts w:ascii="Calibri" w:hAnsi="Calibri" w:cs="Calibri"/>
          <w:b w:val="0"/>
          <w:i w:val="0"/>
          <w:color w:val="1E252B"/>
          <w:sz w:val="19"/>
        </w:rPr>
        <w:t xml:space="preserve">Stanford Encyclopedia of Philosophy, </w:t>
      </w:r>
      <w:hyperlink r:id="rId69">
        <w:r>
          <w:rPr>
            <w:rFonts w:ascii="Calibri" w:hAnsi="Calibri"/>
            <w:color w:val="2E74B5"/>
            <w:u w:val="single"/>
            <w:sz w:val="19"/>
          </w:rPr>
          <w:t>“Al-Ghazali”</w:t>
        </w:r>
      </w:hyperlink>
      <w:r>
        <w:rPr>
          <w:rFonts w:ascii="Calibri" w:hAnsi="Calibri" w:cs="Calibri"/>
          <w:b w:val="0"/>
          <w:i w:val="0"/>
          <w:color w:val="1E252B"/>
          <w:sz w:val="19"/>
        </w:rPr>
        <w:t>.</w:t>
      </w:r>
    </w:p>
    <w:p>
      <w:pPr>
        <w:pStyle w:val="Bibliography"/>
        <w:numPr>
          <w:ilvl w:val="0"/>
          <w:numId w:val="10"/>
        </w:numPr>
        <w:spacing w:after="80"/>
        <w:ind w:left="540" w:hanging="279"/>
      </w:pPr>
      <w:hyperlink r:id="rId70">
        <w:r>
          <w:rPr>
            <w:rFonts w:ascii="Calibri" w:hAnsi="Calibri"/>
            <w:color w:val="2E74B5"/>
            <w:u w:val="single"/>
            <w:sz w:val="19"/>
          </w:rPr>
          <w:t>“Three Interpretations of Māturīdī Ethics”</w:t>
        </w:r>
      </w:hyperlink>
      <w:r>
        <w:rPr>
          <w:rFonts w:ascii="Calibri" w:hAnsi="Calibri" w:cs="Calibri"/>
          <w:b w:val="0"/>
          <w:i w:val="0"/>
          <w:color w:val="1E252B"/>
          <w:sz w:val="19"/>
        </w:rPr>
        <w:t xml:space="preserve">, </w:t>
      </w:r>
      <w:r>
        <w:rPr>
          <w:rFonts w:ascii="Calibri" w:hAnsi="Calibri" w:cs="Calibri"/>
          <w:b w:val="0"/>
          <w:i/>
          <w:color w:val="1E252B"/>
          <w:sz w:val="19"/>
        </w:rPr>
        <w:t>Journal of Islamic Ethics</w:t>
      </w:r>
      <w:r>
        <w:rPr>
          <w:rFonts w:ascii="Calibri" w:hAnsi="Calibri" w:cs="Calibri"/>
          <w:b w:val="0"/>
          <w:i w:val="0"/>
          <w:color w:val="1E252B"/>
          <w:sz w:val="19"/>
        </w:rPr>
        <w:t xml:space="preserve"> 8 (2024), for cautions about treating Māturīdī ethics as monolithic.</w:t>
      </w:r>
    </w:p>
    <w:p>
      <w:pPr>
        <w:pStyle w:val="Bibliography"/>
        <w:numPr>
          <w:ilvl w:val="0"/>
          <w:numId w:val="10"/>
        </w:numPr>
        <w:spacing w:after="80"/>
        <w:ind w:left="540" w:hanging="279"/>
      </w:pPr>
      <w:hyperlink r:id="rId71">
        <w:r>
          <w:rPr>
            <w:rFonts w:ascii="Calibri" w:hAnsi="Calibri"/>
            <w:color w:val="2E74B5"/>
            <w:u w:val="single"/>
            <w:sz w:val="19"/>
            <w:i/>
          </w:rPr>
          <w:t>Morality and Divine Law: A Muslim Theological Ethics</w:t>
        </w:r>
      </w:hyperlink>
      <w:r>
        <w:rPr>
          <w:rFonts w:ascii="Calibri" w:hAnsi="Calibri" w:cs="Calibri"/>
          <w:b w:val="0"/>
          <w:i w:val="0"/>
          <w:color w:val="1E252B"/>
          <w:sz w:val="19"/>
        </w:rPr>
        <w:t xml:space="preserve"> (Oxford University Press, 2024).</w:t>
      </w:r>
    </w:p>
    <w:p>
      <w:pPr>
        <w:pStyle w:val="Bibliography"/>
        <w:numPr>
          <w:ilvl w:val="0"/>
          <w:numId w:val="10"/>
        </w:numPr>
        <w:spacing w:after="80"/>
        <w:ind w:left="540" w:hanging="279"/>
      </w:pPr>
      <w:r>
        <w:rPr>
          <w:rFonts w:ascii="Calibri" w:hAnsi="Calibri" w:cs="Calibri"/>
          <w:b w:val="0"/>
          <w:i w:val="0"/>
          <w:color w:val="1E252B"/>
          <w:sz w:val="19"/>
        </w:rPr>
        <w:t xml:space="preserve">Zia H. Shah, </w:t>
      </w:r>
      <w:hyperlink r:id="rId38">
        <w:r>
          <w:rPr>
            <w:rFonts w:ascii="Calibri" w:hAnsi="Calibri"/>
            <w:color w:val="2E74B5"/>
            <w:u w:val="single"/>
            <w:sz w:val="19"/>
          </w:rPr>
          <w:t>“The Ontology of Absolute Reality”</w:t>
        </w:r>
      </w:hyperlink>
      <w:r>
        <w:rPr>
          <w:rFonts w:ascii="Calibri" w:hAnsi="Calibri" w:cs="Calibri"/>
          <w:b w:val="0"/>
          <w:i w:val="0"/>
          <w:color w:val="1E252B"/>
          <w:sz w:val="19"/>
        </w:rPr>
        <w:t xml:space="preserve"> (2026).</w:t>
      </w:r>
    </w:p>
    <w:p>
      <w:pPr>
        <w:pStyle w:val="Heading1"/>
      </w:pPr>
      <w:r>
        <w:rPr>
          <w:rFonts w:ascii="Calibri" w:hAnsi="Calibri" w:cs="Calibri"/>
          <w:b/>
          <w:i w:val="0"/>
          <w:color w:val="2E74B5"/>
          <w:sz w:val="32"/>
        </w:rPr>
        <w:t>Research Limitations</w:t>
      </w:r>
    </w:p>
    <w:p>
      <w:pPr>
        <w:pStyle w:val="Bibliography"/>
      </w:pPr>
      <w:r>
        <w:rPr>
          <w:rFonts w:ascii="Calibri" w:hAnsi="Calibri" w:cs="Calibri"/>
          <w:b w:val="0"/>
          <w:i w:val="0"/>
          <w:color w:val="1E252B"/>
          <w:sz w:val="19"/>
        </w:rPr>
        <w:t>This is a philosophical-theological commentary, not a claim that the focal verses directly formulate twentieth-century analytic metaethics. The report distinguishes classical exegesis from contemporary constructive inference. Survey figures describe a particular professional population and do not establish truth. English translations are compared through short excerpts and faithful synopses because most remain copyrighted. The schools of Islamic theology contain internal diversity; the labels “objectivist,” “subjectivist,” “realist,” and “voluntarist” are useful only when their modern connotations are carefully qualified.</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s="Calibri"/>
        <w:color w:val="5A6872"/>
        <w:sz w:val="17"/>
      </w:rPr>
      <w:t xml:space="preserve">PAGE </w:t>
    </w:r>
    <w:r>
      <w:rPr>
        <w:rFonts w:ascii="Calibri" w:hAnsi="Calibri" w:cs="Calibri"/>
        <w:color w:val="5A6872"/>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left"/>
    </w:pPr>
    <w:r>
      <w:rPr>
        <w:rFonts w:ascii="Calibri" w:hAnsi="Calibri" w:cs="Calibri"/>
        <w:b/>
        <w:color w:val="5A6872"/>
        <w:sz w:val="16"/>
      </w:rPr>
      <w:t>THE MORAL GRAVITY OF SURRENDER</w:t>
    </w:r>
    <w:r>
      <w:tab/>
    </w:r>
    <w:r>
      <w:rPr>
        <w:rFonts w:ascii="Calibri" w:hAnsi="Calibri" w:cs="Calibri"/>
        <w:color w:val="5A6872"/>
        <w:sz w:val="16"/>
      </w:rPr>
      <w:t>QUR’AN 22:31–32 • 3:83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80"/>
        <w:spacing w:after="80" w:line="290" w:lineRule="auto"/>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80"/>
        <w:spacing w:after="80" w:line="290" w:lineRule="auto"/>
      </w:pPr>
      <w:rPr>
        <w:rFonts w:ascii="Calibri" w:hAnsi="Calibri"/>
      </w:rPr>
    </w:lvl>
  </w:abstractNum>
  <w:num w:numId="11">
    <w:abstractNumId w:val="10"/>
  </w:num>
  <w:abstractNum w:abstractNumId="11">
    <w:multiLevelType w:val="singleLevel"/>
    <w:lvl w:ilvl="0">
      <w:start w:val="1"/>
      <w:numFmt w:val="decimal"/>
      <w:lvlText w:val="%1."/>
      <w:lvlJc w:val="left"/>
      <w:pPr>
        <w:tabs>
          <w:tab w:val="num" w:pos="540"/>
        </w:tabs>
        <w:ind w:left="540" w:hanging="280"/>
        <w:spacing w:after="80" w:line="290" w:lineRule="auto"/>
      </w:pPr>
      <w:rPr>
        <w:rFonts w:ascii="Calibri" w:hAnsi="Calibri"/>
      </w:rPr>
    </w:lvl>
  </w:abstractNum>
  <w:num w:numId="12">
    <w:abstractNumId w:val="11"/>
  </w:num>
  <w:abstractNum w:abstractNumId="12">
    <w:multiLevelType w:val="singleLevel"/>
    <w:lvl w:ilvl="0">
      <w:start w:val="1"/>
      <w:numFmt w:val="decimal"/>
      <w:lvlText w:val="%1."/>
      <w:lvlJc w:val="left"/>
      <w:pPr>
        <w:tabs>
          <w:tab w:val="num" w:pos="540"/>
        </w:tabs>
        <w:ind w:left="540" w:hanging="280"/>
        <w:spacing w:after="80" w:line="290" w:lineRule="auto"/>
      </w:pPr>
      <w:rPr>
        <w:rFonts w:ascii="Calibri" w:hAnsi="Calibri"/>
      </w:r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Rule="auto" w:line="320"/>
      <w:jc w:val="both"/>
    </w:pPr>
    <w:rPr>
      <w:rFonts w:ascii="Calibri" w:hAnsi="Calibri" w:cs="Calibri"/>
      <w:color w:val="1E25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cs="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cs="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cs="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abicVerse">
    <w:name w:val="Arabic Verse"/>
    <w:basedOn w:val="Normal"/>
    <w:pPr>
      <w:spacing w:before="120" w:after="160" w:lineRule="auto" w:line="300"/>
      <w:jc w:val="center"/>
    </w:pPr>
    <w:rPr>
      <w:rFonts w:ascii="DejaVu Sans" w:hAnsi="DejaVu Sans" w:cs="DejaVu Sans"/>
      <w:b/>
      <w:color w:val="203748"/>
      <w:sz w:val="30"/>
    </w:rPr>
  </w:style>
  <w:style w:type="paragraph" w:customStyle="1" w:styleId="VerseTranslation">
    <w:name w:val="Verse Translation"/>
    <w:basedOn w:val="Normal"/>
    <w:pPr>
      <w:spacing w:before="40" w:after="200" w:lineRule="auto" w:line="300"/>
      <w:ind w:left="461" w:right="461"/>
    </w:pPr>
    <w:rPr>
      <w:rFonts w:ascii="Calibri" w:hAnsi="Calibri" w:cs="Calibri"/>
      <w:i/>
      <w:color w:val="203748"/>
      <w:sz w:val="23"/>
    </w:rPr>
  </w:style>
  <w:style w:type="paragraph" w:customStyle="1" w:styleId="Bibliography">
    <w:name w:val="Bibliography"/>
    <w:basedOn w:val="Normal"/>
    <w:pPr>
      <w:spacing w:after="80" w:lineRule="auto" w:line="276"/>
    </w:pPr>
    <w:rPr>
      <w:rFonts w:ascii="Calibri" w:hAnsi="Calibri" w:cs="Calibri"/>
      <w:color w:val="1E252B"/>
      <w:sz w:val="19"/>
    </w:rPr>
  </w:style>
  <w:style w:type="paragraph" w:customStyle="1" w:styleId="AbstractCallout">
    <w:name w:val="Abstract Callout"/>
    <w:basedOn w:val="Normal"/>
    <w:pPr>
      <w:spacing w:before="0" w:after="280" w:lineRule="auto" w:line="300"/>
      <w:ind w:left="259" w:right="173"/>
    </w:pPr>
    <w:rPr>
      <w:rFonts w:ascii="Calibri" w:hAnsi="Calibri" w:cs="Calibri"/>
      <w:color w:val="203748"/>
      <w:sz w:val="21"/>
    </w:rPr>
  </w:style>
  <w:style w:type="paragraph" w:customStyle="1" w:styleId="TableText">
    <w:name w:val="Table Text"/>
    <w:basedOn w:val="Normal"/>
    <w:pPr>
      <w:spacing w:before="0" w:after="40" w:lineRule="auto" w:line="259"/>
    </w:pPr>
    <w:rPr>
      <w:rFonts w:ascii="Calibri" w:hAnsi="Calibri" w:cs="Calibri"/>
      <w:color w:val="1E252B"/>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survey2020.philpeople.org/survey/results/4866" TargetMode="External"/><Relationship Id="rId12" Type="http://schemas.openxmlformats.org/officeDocument/2006/relationships/hyperlink" Target="https://survey2020.philpeople.org/survey/design/population" TargetMode="External"/><Relationship Id="rId13" Type="http://schemas.openxmlformats.org/officeDocument/2006/relationships/hyperlink" Target="https://survey2020.philpeople.org/survey/results/demographics" TargetMode="External"/><Relationship Id="rId14" Type="http://schemas.openxmlformats.org/officeDocument/2006/relationships/hyperlink" Target="https://plato.stanford.edu/entries/moral-realism/" TargetMode="External"/><Relationship Id="rId15" Type="http://schemas.openxmlformats.org/officeDocument/2006/relationships/hyperlink" Target="https://plato.stanford.edu/entries/moral-anti-realism/" TargetMode="External"/><Relationship Id="rId16" Type="http://schemas.openxmlformats.org/officeDocument/2006/relationships/hyperlink" Target="https://quran.com/ali-imran/83/translation/en-haleem" TargetMode="External"/><Relationship Id="rId17" Type="http://schemas.openxmlformats.org/officeDocument/2006/relationships/hyperlink" Target="https://quran.com/al-hajj/31/translation/en-sahih-international" TargetMode="External"/><Relationship Id="rId18" Type="http://schemas.openxmlformats.org/officeDocument/2006/relationships/hyperlink" Target="https://myislam.org/surah-imran/ayat-83/" TargetMode="External"/><Relationship Id="rId19" Type="http://schemas.openxmlformats.org/officeDocument/2006/relationships/hyperlink" Target="https://www.alim.org/quran/compare/surah/22/31/" TargetMode="External"/><Relationship Id="rId20" Type="http://schemas.openxmlformats.org/officeDocument/2006/relationships/hyperlink" Target="https://www.alim.org/translation/asad/22/" TargetMode="External"/><Relationship Id="rId21" Type="http://schemas.openxmlformats.org/officeDocument/2006/relationships/hyperlink" Target="https://quran.com/al-hajj/31/translation/clearquran-with-tafsir" TargetMode="External"/><Relationship Id="rId22" Type="http://schemas.openxmlformats.org/officeDocument/2006/relationships/hyperlink" Target="https://quran.ksu.edu.sa/tafseer/tabary/sura22-aya31.html" TargetMode="External"/><Relationship Id="rId23" Type="http://schemas.openxmlformats.org/officeDocument/2006/relationships/hyperlink" Target="https://quran.ksu.edu.sa/tafseer/katheer/sura22-aya31.html" TargetMode="External"/><Relationship Id="rId24" Type="http://schemas.openxmlformats.org/officeDocument/2006/relationships/hyperlink" Target="https://quran.ksu.edu.sa/tafseer/qortobi/sura22-aya31.html" TargetMode="External"/><Relationship Id="rId25" Type="http://schemas.openxmlformats.org/officeDocument/2006/relationships/hyperlink" Target="https://tafsir.app/alrazi/22/31" TargetMode="External"/><Relationship Id="rId26" Type="http://schemas.openxmlformats.org/officeDocument/2006/relationships/hyperlink" Target="https://tafsir.app/ibn-aashoor/22/31" TargetMode="External"/><Relationship Id="rId27" Type="http://schemas.openxmlformats.org/officeDocument/2006/relationships/hyperlink" Target="https://www.islamicstudies.info/tafheem.php?sura=22&amp;to=33&amp;verse=31" TargetMode="External"/><Relationship Id="rId28" Type="http://schemas.openxmlformats.org/officeDocument/2006/relationships/hyperlink" Target="https://quran.ksu.edu.sa/tafseer/tabary/sura22-aya32.html" TargetMode="External"/><Relationship Id="rId29" Type="http://schemas.openxmlformats.org/officeDocument/2006/relationships/hyperlink" Target="https://quran.ksu.edu.sa/tafseer/qortobi/sura22-aya32.html" TargetMode="External"/><Relationship Id="rId30" Type="http://schemas.openxmlformats.org/officeDocument/2006/relationships/hyperlink" Target="https://quran.ksu.edu.sa/tafseer/katheer/sura22-aya32.html" TargetMode="External"/><Relationship Id="rId31" Type="http://schemas.openxmlformats.org/officeDocument/2006/relationships/hyperlink" Target="https://quran.ksu.edu.sa/tafseer/tabary/sura3-aya83.html" TargetMode="External"/><Relationship Id="rId32" Type="http://schemas.openxmlformats.org/officeDocument/2006/relationships/hyperlink" Target="https://quran.ksu.edu.sa/tafseer/katheer/sura3-aya83.html" TargetMode="External"/><Relationship Id="rId33" Type="http://schemas.openxmlformats.org/officeDocument/2006/relationships/hyperlink" Target="https://quran.ksu.edu.sa/tafseer/qortobi/sura3-aya83.html" TargetMode="External"/><Relationship Id="rId34" Type="http://schemas.openxmlformats.org/officeDocument/2006/relationships/hyperlink" Target="https://quran-tafsir.net/alrazy/sura3-aya83.html" TargetMode="External"/><Relationship Id="rId35" Type="http://schemas.openxmlformats.org/officeDocument/2006/relationships/hyperlink" Target="https://quran-tafsir.net/qotb/sura22-aya32.html" TargetMode="External"/><Relationship Id="rId36" Type="http://schemas.openxmlformats.org/officeDocument/2006/relationships/hyperlink" Target="https://quran-tafsir.net/qotb/sura3-aya83.html" TargetMode="External"/><Relationship Id="rId37" Type="http://schemas.openxmlformats.org/officeDocument/2006/relationships/hyperlink" Target="https://www.saet.ac.uk/Islam/Ethics" TargetMode="External"/><Relationship Id="rId38" Type="http://schemas.openxmlformats.org/officeDocument/2006/relationships/hyperlink" Target="https://thequran.love/2026/08/25/the-ontology-of-absolute-reality-a-comprehensive-exegesis-on-al-haqq-epistemological-certainty-and-quranic-polemics/" TargetMode="External"/><Relationship Id="rId39" Type="http://schemas.openxmlformats.org/officeDocument/2006/relationships/hyperlink" Target="https://www.newadvent.org/summa/2091.htm" TargetMode="External"/><Relationship Id="rId40" Type="http://schemas.openxmlformats.org/officeDocument/2006/relationships/hyperlink" Target="https://www.newadvent.org/summa/2094.htm" TargetMode="External"/><Relationship Id="rId41" Type="http://schemas.openxmlformats.org/officeDocument/2006/relationships/hyperlink" Target="https://www.gutenberg.org/files/53430/53430-h/53430-h.htm" TargetMode="External"/><Relationship Id="rId42" Type="http://schemas.openxmlformats.org/officeDocument/2006/relationships/hyperlink" Target="https://plato.stanford.edu/entries/william-david-ross/" TargetMode="External"/><Relationship Id="rId43" Type="http://schemas.openxmlformats.org/officeDocument/2006/relationships/hyperlink" Target="https://www.cambridge.org/core/books/moral-realism-and-the-foundations-of-ethics/E7F518009F785359B41449E99E1FBD6A/listing" TargetMode="External"/><Relationship Id="rId44" Type="http://schemas.openxmlformats.org/officeDocument/2006/relationships/hyperlink" Target="https://www.jstor.org/stable/2185589" TargetMode="External"/><Relationship Id="rId45" Type="http://schemas.openxmlformats.org/officeDocument/2006/relationships/hyperlink" Target="https://global.oup.com/academic/product/moral-realism-9780199259755" TargetMode="External"/><Relationship Id="rId46" Type="http://schemas.openxmlformats.org/officeDocument/2006/relationships/hyperlink" Target="https://global.oup.com/academic/product/taking-morality-seriously-9780199579969" TargetMode="External"/><Relationship Id="rId47" Type="http://schemas.openxmlformats.org/officeDocument/2006/relationships/hyperlink" Target="https://link.springer.com/book/10.1057/9780230597051" TargetMode="External"/><Relationship Id="rId48" Type="http://schemas.openxmlformats.org/officeDocument/2006/relationships/hyperlink" Target="https://global.oup.com/academic/product/the-view-from-nowhere-9780195056440" TargetMode="External"/><Relationship Id="rId49" Type="http://schemas.openxmlformats.org/officeDocument/2006/relationships/hyperlink" Target="https://books.google.com/books/about/On_What_Matters.html?id=Zt8VDAAAQBAJ" TargetMode="External"/><Relationship Id="rId50" Type="http://schemas.openxmlformats.org/officeDocument/2006/relationships/hyperlink" Target="https://plato.stanford.edu/entries/hume-moral/" TargetMode="External"/><Relationship Id="rId51" Type="http://schemas.openxmlformats.org/officeDocument/2006/relationships/hyperlink" Target="https://philpapers.org/rec/MACEIR" TargetMode="External"/><Relationship Id="rId52" Type="http://schemas.openxmlformats.org/officeDocument/2006/relationships/hyperlink" Target="https://philpapers.org/rec/STRADD" TargetMode="External"/><Relationship Id="rId53" Type="http://schemas.openxmlformats.org/officeDocument/2006/relationships/hyperlink" Target="https://tafsir.app/ibn-aashoor/22/32" TargetMode="External"/><Relationship Id="rId54" Type="http://schemas.openxmlformats.org/officeDocument/2006/relationships/hyperlink" Target="https://tafsir.app/ibn-aashoor/3/83" TargetMode="External"/><Relationship Id="rId55" Type="http://schemas.openxmlformats.org/officeDocument/2006/relationships/hyperlink" Target="https://islamicstudies.info/tafheem.php?sura=3&amp;to=85&amp;verse=83" TargetMode="External"/><Relationship Id="rId56" Type="http://schemas.openxmlformats.org/officeDocument/2006/relationships/hyperlink" Target="https://journals.publishing.umich.edu/phimp/article/id/2109/" TargetMode="External"/><Relationship Id="rId57" Type="http://schemas.openxmlformats.org/officeDocument/2006/relationships/hyperlink" Target="https://scaife.perseus.org/reader/urn:cts:greekLit:tlg0059.tlg030.perseus-eng2:7.521/" TargetMode="External"/><Relationship Id="rId58" Type="http://schemas.openxmlformats.org/officeDocument/2006/relationships/hyperlink" Target="https://plato.stanford.edu/entries/moral-sentimentalism/" TargetMode="External"/><Relationship Id="rId59" Type="http://schemas.openxmlformats.org/officeDocument/2006/relationships/hyperlink" Target="https://davidhume.org/texts/t/3/full" TargetMode="External"/><Relationship Id="rId60" Type="http://schemas.openxmlformats.org/officeDocument/2006/relationships/hyperlink" Target="https://www.gutenberg.org/files/4363/4363-h/4363-h.htm" TargetMode="External"/><Relationship Id="rId61" Type="http://schemas.openxmlformats.org/officeDocument/2006/relationships/hyperlink" Target="https://archive.org/download/AlfredAyer/LanguageTruthAndLogic.pdf" TargetMode="External"/><Relationship Id="rId62" Type="http://schemas.openxmlformats.org/officeDocument/2006/relationships/hyperlink" Target="https://www.jstor.org/stable/2250027" TargetMode="External"/><Relationship Id="rId63" Type="http://schemas.openxmlformats.org/officeDocument/2006/relationships/hyperlink" Target="https://global.oup.com/academic/product/essays-in-quasi-realism-9780195080414" TargetMode="External"/><Relationship Id="rId64" Type="http://schemas.openxmlformats.org/officeDocument/2006/relationships/hyperlink" Target="https://www.hup.harvard.edu/books/9780674953789" TargetMode="External"/><Relationship Id="rId65" Type="http://schemas.openxmlformats.org/officeDocument/2006/relationships/hyperlink" Target="https://plato.stanford.edu/entries/hare/" TargetMode="External"/><Relationship Id="rId66" Type="http://schemas.openxmlformats.org/officeDocument/2006/relationships/hyperlink" Target="https://www.richard-joyce.com/morality-from-error-to-fiction" TargetMode="External"/><Relationship Id="rId67" Type="http://schemas.openxmlformats.org/officeDocument/2006/relationships/hyperlink" Target="https://ndpr.nd.edu/reviews/the-normative-web-an-argument-for-moral-realism/" TargetMode="External"/><Relationship Id="rId68" Type="http://schemas.openxmlformats.org/officeDocument/2006/relationships/hyperlink" Target="https://books.google.com/books/about/Finite_and_Infinite_Goods.html?id=hRh4ngEACAAJ" TargetMode="External"/><Relationship Id="rId69" Type="http://schemas.openxmlformats.org/officeDocument/2006/relationships/hyperlink" Target="https://plato.stanford.edu/entries/al-ghazali/" TargetMode="External"/><Relationship Id="rId70" Type="http://schemas.openxmlformats.org/officeDocument/2006/relationships/hyperlink" Target="https://brill.com/view/journals/jie/8/1-2/article-p146_7.xml" TargetMode="External"/><Relationship Id="rId71" Type="http://schemas.openxmlformats.org/officeDocument/2006/relationships/hyperlink" Target="https://academic.oup.com/book/56272/chapter/4451997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Moral Gravity of Surrender</dc:title>
  <dc:subject>Qur’an 22:31–32 and 3:83, tafsir, theology, and moral realism</dc:subject>
  <dc:creator>python-docx</dc:creator>
  <cp:keywords>Qur’an, tafsir, moral realism, metaethics, tawhid, taqwa</cp:keywords>
  <dc:description>generated by python-docx</dc:description>
  <cp:lastModifiedBy/>
  <cp:revision>1</cp:revision>
  <dcterms:created xsi:type="dcterms:W3CDTF">2013-12-23T23:15:00Z</dcterms:created>
  <dcterms:modified xsi:type="dcterms:W3CDTF">2013-12-23T23:15:00Z</dcterms:modified>
  <cp:category/>
</cp:coreProperties>
</file>