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An Invitation to Islamic Monotheism for Norwegians, Danes, and Swedes</w:t>
      </w:r>
    </w:p>
    <w:p>
      <w:pPr>
        <w:pStyle w:val="Heading1"/>
      </w:pPr>
      <w:r>
        <w:t>Abstract</w:t>
      </w:r>
    </w:p>
    <w:p>
      <w:r>
        <w:t>Scandinavia’s encounter with Christianity transformed its religious imagination, placing the Creator of all humanity at the center of cultures previously familiar with a plurality of divine powers. That history can become a point of departure for a fresh consideration of Islam. This essay offers Norwegians, Danes, and Swedes an invitation to examine tawḥīd, the undivided oneness of God, as a possible fulfillment of their inherited monotheistic aspirations. The argument is explicitly Islamic: Christianity’s affirmation of one Creator is honored, while the doctrines of the Trinity and Incarnation are examined critically and represented according to Christian belief. Christianity can be a stepping stone for an individual seeker without being reduced to a failed civilization or an inevitable stage in a predetermined national destiny.</w:t>
      </w:r>
    </w:p>
    <w:p>
      <w:r>
        <w:t>The invitation draws on Scandinavian history, documented conversions, Quranic teaching, and recurring themes in the writings and collected essays of Zia H. Shah, MD. These include the unity of truth, the interdependence of the divine attributes, the Abrahamic common word, direct responsibility before God, and active interfaith fellowship. Muslim migration and Scandinavian conversions can make Islam accessible through ordinary human relationships. Their spiritual value depends on honesty, service, and freedom of conscience. A persuasive invitation should deepen peaceful coexistence even when its recipients decline it.</w:t>
      </w:r>
    </w:p>
    <w:p>
      <w:pPr>
        <w:pStyle w:val="Heading1"/>
      </w:pPr>
      <w:r>
        <w:t>An invitation addressed to free people</w:t>
      </w:r>
    </w:p>
    <w:p>
      <w:r>
        <w:t>To the people of Norway, Denmark, and Sweden: you are invited to consider whether the God whom your Christian ancestors worshipped, and whom some of you still seek beyond inherited religious formulas, is most coherently understood as the absolutely One. Islam offers a faith in which the Creator has no partner, no divine offspring, and no need of a human body. His knowledge encompasses every life; His mercy is accessible to every repentant person. This is an invitation to study a claim about reality and to consider a way of living before God.</w:t>
      </w:r>
    </w:p>
    <w:p>
      <w:r>
        <w:t>No ancestry obliges a person to remain within a religion, and no ancestry makes a person unsuitable for another. Scandinavia’s history itself demonstrates that cultural continuity can coexist with profound religious change. A Norwegian can become Muslim while remaining Norwegian; the same is true of a Dane or a Swede. Conversion need not erase family affection, language, literature, or attachment to the landscape. It does require serious consideration of beliefs and practices, with the freedom to ask difficult questions.</w:t>
      </w:r>
    </w:p>
    <w:p>
      <w:r>
        <w:t>The Quran gives this invitation a recognizable Abrahamic form. Its English renderings below are fresh translations for this essay; passages identified as excerpts quote only the stated portion of a verse.</w:t>
      </w:r>
    </w:p>
    <w:p>
      <w:pPr>
        <w:pStyle w:val="Arabic"/>
        <w:jc w:val="center"/>
        <w:bidi/>
      </w:pPr>
      <w:r>
        <w:rPr>
          <w:rFonts w:ascii="DejaVu Sans" w:hAnsi="DejaVu Sans" w:cs="DejaVu Sans"/>
          <w:sz w:val="26"/>
          <w:rtl/>
          <w:szCs w:val="26"/>
          <w:lang w:bidi="ar-SA"/>
        </w:rPr>
        <w:t>قُلْ يَا أَهْلَ الْكِتَابِ تَعَالَوْا إِلَىٰ كَلِمَةٍ سَوَاءٍ بَيْنَنَا وَبَيْنَكُمْ أَلَّا نَعْبُدَ إِلَّا اللَّهَ وَلَا نُشْرِكَ بِهِ شَيْئًا وَلَا يَتَّخِذَ بَعْضُنَا بَعْضًا أَرْبَابًا مِنْ دُونِ اللَّهِ ۚ فَإِنْ تَوَلَّوْا فَقُولُوا اشْهَدُوا بِأَنَّا مُسْلِمُونَ</w:t>
      </w:r>
    </w:p>
    <w:p>
      <w:pPr>
        <w:pStyle w:val="Translation"/>
      </w:pPr>
      <w:r>
        <w:t>Say, “People of the Scripture, come to a common word between us and you: that we worship God alone, associate nothing with Him, and do not take one another as lords apart from God.” If they turn away, say, “Bear witness that we submit to God.” — Quran 3:64.</w:t>
      </w:r>
      <w:r>
        <w:rPr>
          <w:vertAlign w:val="superscript"/>
        </w:rPr>
        <w:footnoteReference w:id="1"/>
      </w:r>
    </w:p>
    <w:p>
      <w:r>
        <w:t>In Shah’s presentation of the common word, worship of the one God is joined to a critique of human domination over conscience. Applied to Scandinavia, that principle asks Christians and Muslims alike to examine inherited authority. Neither a pastor nor an imam can make a belief true by demanding allegiance. The invitation retains its conviction while allowing the listener to turn away.</w:t>
      </w:r>
      <w:r>
        <w:rPr>
          <w:vertAlign w:val="superscript"/>
        </w:rPr>
        <w:footnoteReference w:id="2"/>
      </w:r>
    </w:p>
    <w:p>
      <w:pPr>
        <w:pStyle w:val="Heading1"/>
      </w:pPr>
      <w:r>
        <w:t>Scandinavia before and during Christianization</w:t>
      </w:r>
    </w:p>
    <w:p>
      <w:r>
        <w:t>Old Norse religion was a varied body of customs, narratives, rituals, and local loyalties. Odin was associated with wisdom, warfare, poetry, and death; Thor with thunder and protection; Freyr and Freyja with fertility and related domains of life. The familiar distinction between Æsir and Vanir organizes part of this divine world, although the gods’ roles overlap. Yggdrasil and the realms associated with it expressed a cosmos populated by gods, humans, giants, and other beings. These traditions deserve historical understanding rather than ridicule.</w:t>
      </w:r>
      <w:r>
        <w:rPr>
          <w:vertAlign w:val="superscript"/>
        </w:rPr>
        <w:footnoteReference w:id="3"/>
      </w:r>
    </w:p>
    <w:p>
      <w:r>
        <w:t>Religious life included blót, sacrificial observances, and practices connected with divination and seiðr. Kinship, farming, seafaring, death, and the uncertainty of fortune gave these customs practical meaning. Much of the literary evidence was recorded after Christianity had arrived, making it necessary to distinguish later narrative systems from what every Viking Age household actually believed. Modern Ásatrú movements are contemporary religious revivals, not evidence that a single unchanged system survived everywhere.</w:t>
      </w:r>
      <w:r>
        <w:rPr>
          <w:vertAlign w:val="superscript"/>
        </w:rPr>
        <w:footnoteReference w:id="4"/>
      </w:r>
    </w:p>
    <w:p>
      <w:r>
        <w:t>The Viking Age opened numerous channels of religious contact. Voyagers from areas now associated with Denmark were prominent in England and Francia; those from Norway in the British and Irish islands and the North Atlantic; and those from Sweden in the Baltic and eastern river networks. These were overlapping patterns, not exclusive national routes. Modern borders and national identities should not be projected unchanged onto the early medieval world. Nor was every Scandinavian a raider: agriculture, commerce, craft, and settlement were essential to the societies from which Viking expeditions departed.</w:t>
      </w:r>
      <w:r>
        <w:rPr>
          <w:vertAlign w:val="superscript"/>
        </w:rPr>
        <w:footnoteReference w:id="5"/>
      </w:r>
    </w:p>
    <w:p>
      <w:r>
        <w:t>Christianity consequently reached Scandinavia through more than attacks upon monasteries. Traders encountered Christian commercial centers; settlers lived among Christian populations; missionaries arrived from abroad; and rulers recognized religious, diplomatic, and administrative advantages in conversion. Captivity and household contact also carried religious ideas. Christianization was a process extending across generations, with personal conviction interacting with political power. A royal baptism and a population’s transformation were different events.</w:t>
      </w:r>
      <w:r>
        <w:rPr>
          <w:vertAlign w:val="superscript"/>
        </w:rPr>
        <w:footnoteReference w:id="6"/>
      </w:r>
    </w:p>
    <w:p>
      <w:pPr>
        <w:keepNext/>
      </w:pPr>
      <w:r>
        <w:rPr>
          <w:b/>
        </w:rPr>
        <w:t>Christianization in the three countries</w:t>
      </w:r>
    </w:p>
    <w:tbl>
      <w:tblPr>
        <w:tblW w:type="auto" w:w="0"/>
        <w:jc w:val="center"/>
        <w:tblLayout w:type="fixed"/>
        <w:tblLook w:firstColumn="1" w:firstRow="1" w:lastColumn="0" w:lastRow="0" w:noHBand="0" w:noVBand="1" w:val="04A0"/>
      </w:tblPr>
      <w:tblGrid>
        <w:gridCol w:w="1181"/>
        <w:gridCol w:w="4450"/>
        <w:gridCol w:w="4363"/>
      </w:tblGrid>
      <w:tr>
        <w:trPr>
          <w:cantSplit/>
          <w:tblHeader/>
        </w:trPr>
        <w:tc>
          <w:tcPr>
            <w:tcW w:type="dxa" w:w="1181"/>
            <w:vAlign w:val="center"/>
            <w:tcMar>
              <w:top w:w="95" w:type="dxa"/>
              <w:left w:w="95" w:type="dxa"/>
              <w:bottom w:w="95" w:type="dxa"/>
              <w:right w:w="95" w:type="dxa"/>
            </w:tcMar>
            <w:tcBorders>
              <w:top w:val="single" w:sz="4" w:color="D9D9D9"/>
              <w:left w:val="single" w:sz="4" w:color="D9D9D9"/>
              <w:bottom w:val="single" w:sz="4" w:color="D9D9D9"/>
              <w:right w:val="single" w:sz="4" w:color="D9D9D9"/>
            </w:tcBorders>
            <w:shd w:fill="E7E7E7"/>
          </w:tcPr>
          <w:p>
            <w:pPr>
              <w:keepNext/>
              <w:spacing w:after="80" w:before="80" w:line="257" w:lineRule="auto"/>
            </w:pPr>
            <w:r>
              <w:rPr>
                <w:b/>
                <w:sz w:val="18"/>
              </w:rPr>
              <w:t>Country</w:t>
            </w:r>
          </w:p>
        </w:tc>
        <w:tc>
          <w:tcPr>
            <w:tcW w:type="dxa" w:w="4450"/>
            <w:vAlign w:val="center"/>
            <w:tcMar>
              <w:top w:w="95" w:type="dxa"/>
              <w:left w:w="95" w:type="dxa"/>
              <w:bottom w:w="95" w:type="dxa"/>
              <w:right w:w="95" w:type="dxa"/>
            </w:tcMar>
            <w:tcBorders>
              <w:top w:val="single" w:sz="4" w:color="D9D9D9"/>
              <w:left w:val="single" w:sz="4" w:color="D9D9D9"/>
              <w:bottom w:val="single" w:sz="4" w:color="D9D9D9"/>
              <w:right w:val="single" w:sz="4" w:color="D9D9D9"/>
            </w:tcBorders>
            <w:shd w:fill="E7E7E7"/>
          </w:tcPr>
          <w:p>
            <w:pPr>
              <w:keepNext/>
              <w:spacing w:after="80" w:before="80" w:line="257" w:lineRule="auto"/>
            </w:pPr>
            <w:r>
              <w:rPr>
                <w:b/>
                <w:sz w:val="18"/>
              </w:rPr>
              <w:t>Important developments</w:t>
            </w:r>
          </w:p>
        </w:tc>
        <w:tc>
          <w:tcPr>
            <w:tcW w:type="dxa" w:w="4363"/>
            <w:vAlign w:val="center"/>
            <w:tcMar>
              <w:top w:w="95" w:type="dxa"/>
              <w:left w:w="95" w:type="dxa"/>
              <w:bottom w:w="95" w:type="dxa"/>
              <w:right w:w="95" w:type="dxa"/>
            </w:tcMar>
            <w:tcBorders>
              <w:top w:val="single" w:sz="4" w:color="D9D9D9"/>
              <w:left w:val="single" w:sz="4" w:color="D9D9D9"/>
              <w:bottom w:val="single" w:sz="4" w:color="D9D9D9"/>
              <w:right w:val="single" w:sz="4" w:color="D9D9D9"/>
            </w:tcBorders>
            <w:shd w:fill="E7E7E7"/>
          </w:tcPr>
          <w:p>
            <w:pPr>
              <w:keepNext/>
              <w:spacing w:after="80" w:before="80" w:line="257" w:lineRule="auto"/>
            </w:pPr>
            <w:r>
              <w:rPr>
                <w:b/>
                <w:sz w:val="18"/>
              </w:rPr>
              <w:t>Historical qualification</w:t>
            </w:r>
          </w:p>
        </w:tc>
      </w:tr>
      <w:tr>
        <w:trPr>
          <w:cantSplit/>
        </w:trPr>
        <w:tc>
          <w:tcPr>
            <w:tcW w:type="dxa" w:w="1181"/>
            <w:vAlign w:val="center"/>
            <w:tcMar>
              <w:top w:w="95" w:type="dxa"/>
              <w:left w:w="95" w:type="dxa"/>
              <w:bottom w:w="95" w:type="dxa"/>
              <w:right w:w="95" w:type="dxa"/>
            </w:tcMar>
            <w:tcBorders>
              <w:top w:val="single" w:sz="4" w:color="D9D9D9"/>
              <w:left w:val="single" w:sz="4" w:color="D9D9D9"/>
              <w:bottom w:val="single" w:sz="4" w:color="D9D9D9"/>
              <w:right w:val="single" w:sz="4" w:color="D9D9D9"/>
            </w:tcBorders>
            <w:shd w:fill="FFFFFF"/>
          </w:tcPr>
          <w:p>
            <w:pPr>
              <w:keepNext/>
              <w:spacing w:after="80" w:before="80" w:line="257" w:lineRule="auto"/>
            </w:pPr>
            <w:r>
              <w:rPr>
                <w:sz w:val="18"/>
              </w:rPr>
              <w:t>Denmark</w:t>
            </w:r>
          </w:p>
        </w:tc>
        <w:tc>
          <w:tcPr>
            <w:tcW w:type="dxa" w:w="4450"/>
            <w:vAlign w:val="center"/>
            <w:tcMar>
              <w:top w:w="95" w:type="dxa"/>
              <w:left w:w="95" w:type="dxa"/>
              <w:bottom w:w="95" w:type="dxa"/>
              <w:right w:w="95" w:type="dxa"/>
            </w:tcMar>
            <w:tcBorders>
              <w:top w:val="single" w:sz="4" w:color="D9D9D9"/>
              <w:left w:val="single" w:sz="4" w:color="D9D9D9"/>
              <w:bottom w:val="single" w:sz="4" w:color="D9D9D9"/>
              <w:right w:val="single" w:sz="4" w:color="D9D9D9"/>
            </w:tcBorders>
            <w:shd w:fill="FFFFFF"/>
          </w:tcPr>
          <w:p>
            <w:pPr>
              <w:keepNext/>
              <w:spacing w:after="80" w:before="80" w:line="257" w:lineRule="auto"/>
            </w:pPr>
            <w:r>
              <w:rPr>
                <w:sz w:val="18"/>
              </w:rPr>
              <w:t>Missionary contacts in the eighth and ninth centuries; Harald Bluetooth’s Jelling inscription around 965; expanding Christian institutions thereafter.</w:t>
            </w:r>
          </w:p>
        </w:tc>
        <w:tc>
          <w:tcPr>
            <w:tcW w:type="dxa" w:w="4363"/>
            <w:vAlign w:val="center"/>
            <w:tcMar>
              <w:top w:w="95" w:type="dxa"/>
              <w:left w:w="95" w:type="dxa"/>
              <w:bottom w:w="95" w:type="dxa"/>
              <w:right w:w="95" w:type="dxa"/>
            </w:tcMar>
            <w:tcBorders>
              <w:top w:val="single" w:sz="4" w:color="D9D9D9"/>
              <w:left w:val="single" w:sz="4" w:color="D9D9D9"/>
              <w:bottom w:val="single" w:sz="4" w:color="D9D9D9"/>
              <w:right w:val="single" w:sz="4" w:color="D9D9D9"/>
            </w:tcBorders>
            <w:shd w:fill="FFFFFF"/>
          </w:tcPr>
          <w:p>
            <w:pPr>
              <w:keepNext/>
              <w:spacing w:after="80" w:before="80" w:line="257" w:lineRule="auto"/>
            </w:pPr>
            <w:r>
              <w:rPr>
                <w:sz w:val="18"/>
              </w:rPr>
              <w:t>The inscription announces royal achievement; it does not mean that every Dane changed belief simultaneously.</w:t>
            </w:r>
          </w:p>
        </w:tc>
      </w:tr>
      <w:tr>
        <w:trPr>
          <w:cantSplit/>
        </w:trPr>
        <w:tc>
          <w:tcPr>
            <w:tcW w:type="dxa" w:w="1181"/>
            <w:vAlign w:val="center"/>
            <w:tcMar>
              <w:top w:w="95" w:type="dxa"/>
              <w:left w:w="95" w:type="dxa"/>
              <w:bottom w:w="95" w:type="dxa"/>
              <w:right w:w="95" w:type="dxa"/>
            </w:tcMar>
            <w:tcBorders>
              <w:top w:val="single" w:sz="4" w:color="D9D9D9"/>
              <w:left w:val="single" w:sz="4" w:color="D9D9D9"/>
              <w:bottom w:val="single" w:sz="4" w:color="D9D9D9"/>
              <w:right w:val="single" w:sz="4" w:color="D9D9D9"/>
            </w:tcBorders>
            <w:shd w:fill="FFFFFF"/>
          </w:tcPr>
          <w:p>
            <w:pPr>
              <w:keepNext/>
              <w:spacing w:after="80" w:before="80" w:line="257" w:lineRule="auto"/>
            </w:pPr>
            <w:r>
              <w:rPr>
                <w:sz w:val="18"/>
              </w:rPr>
              <w:t>Norway</w:t>
            </w:r>
          </w:p>
        </w:tc>
        <w:tc>
          <w:tcPr>
            <w:tcW w:type="dxa" w:w="4450"/>
            <w:vAlign w:val="center"/>
            <w:tcMar>
              <w:top w:w="95" w:type="dxa"/>
              <w:left w:w="95" w:type="dxa"/>
              <w:bottom w:w="95" w:type="dxa"/>
              <w:right w:w="95" w:type="dxa"/>
            </w:tcMar>
            <w:tcBorders>
              <w:top w:val="single" w:sz="4" w:color="D9D9D9"/>
              <w:left w:val="single" w:sz="4" w:color="D9D9D9"/>
              <w:bottom w:val="single" w:sz="4" w:color="D9D9D9"/>
              <w:right w:val="single" w:sz="4" w:color="D9D9D9"/>
            </w:tcBorders>
            <w:shd w:fill="FFFFFF"/>
          </w:tcPr>
          <w:p>
            <w:pPr>
              <w:keepNext/>
              <w:spacing w:after="80" w:before="80" w:line="257" w:lineRule="auto"/>
            </w:pPr>
            <w:r>
              <w:rPr>
                <w:sz w:val="18"/>
              </w:rPr>
              <w:t>Håkon the Good promoted Christianity in the tenth century; Olaf Tryggvason and Olaf Haraldsson later strengthened royal Christianization.</w:t>
            </w:r>
          </w:p>
        </w:tc>
        <w:tc>
          <w:tcPr>
            <w:tcW w:type="dxa" w:w="4363"/>
            <w:vAlign w:val="center"/>
            <w:tcMar>
              <w:top w:w="95" w:type="dxa"/>
              <w:left w:w="95" w:type="dxa"/>
              <w:bottom w:w="95" w:type="dxa"/>
              <w:right w:w="95" w:type="dxa"/>
            </w:tcMar>
            <w:tcBorders>
              <w:top w:val="single" w:sz="4" w:color="D9D9D9"/>
              <w:left w:val="single" w:sz="4" w:color="D9D9D9"/>
              <w:bottom w:val="single" w:sz="4" w:color="D9D9D9"/>
              <w:right w:val="single" w:sz="4" w:color="D9D9D9"/>
            </w:tcBorders>
            <w:shd w:fill="FFFFFF"/>
          </w:tcPr>
          <w:p>
            <w:pPr>
              <w:keepNext/>
              <w:spacing w:after="80" w:before="80" w:line="257" w:lineRule="auto"/>
            </w:pPr>
            <w:r>
              <w:rPr>
                <w:sz w:val="18"/>
              </w:rPr>
              <w:t>Overseas contact, local resistance, royal pressure, and the later consolidation of churches all matter.</w:t>
            </w:r>
          </w:p>
        </w:tc>
      </w:tr>
      <w:tr>
        <w:trPr>
          <w:cantSplit/>
        </w:trPr>
        <w:tc>
          <w:tcPr>
            <w:tcW w:type="dxa" w:w="1181"/>
            <w:vAlign w:val="center"/>
            <w:tcMar>
              <w:top w:w="95" w:type="dxa"/>
              <w:left w:w="95" w:type="dxa"/>
              <w:bottom w:w="95" w:type="dxa"/>
              <w:right w:w="95" w:type="dxa"/>
            </w:tcMar>
            <w:tcBorders>
              <w:top w:val="single" w:sz="4" w:color="D9D9D9"/>
              <w:left w:val="single" w:sz="4" w:color="D9D9D9"/>
              <w:bottom w:val="single" w:sz="4" w:color="D9D9D9"/>
              <w:right w:val="single" w:sz="4" w:color="D9D9D9"/>
            </w:tcBorders>
            <w:shd w:fill="FFFFFF"/>
          </w:tcPr>
          <w:p>
            <w:pPr>
              <w:spacing w:after="80" w:before="80" w:line="257" w:lineRule="auto"/>
            </w:pPr>
            <w:r>
              <w:rPr>
                <w:sz w:val="18"/>
              </w:rPr>
              <w:t>Sweden</w:t>
            </w:r>
          </w:p>
        </w:tc>
        <w:tc>
          <w:tcPr>
            <w:tcW w:type="dxa" w:w="4450"/>
            <w:vAlign w:val="center"/>
            <w:tcMar>
              <w:top w:w="95" w:type="dxa"/>
              <w:left w:w="95" w:type="dxa"/>
              <w:bottom w:w="95" w:type="dxa"/>
              <w:right w:w="95" w:type="dxa"/>
            </w:tcMar>
            <w:tcBorders>
              <w:top w:val="single" w:sz="4" w:color="D9D9D9"/>
              <w:left w:val="single" w:sz="4" w:color="D9D9D9"/>
              <w:bottom w:val="single" w:sz="4" w:color="D9D9D9"/>
              <w:right w:val="single" w:sz="4" w:color="D9D9D9"/>
            </w:tcBorders>
            <w:shd w:fill="FFFFFF"/>
          </w:tcPr>
          <w:p>
            <w:pPr>
              <w:spacing w:after="80" w:before="80" w:line="257" w:lineRule="auto"/>
            </w:pPr>
            <w:r>
              <w:rPr>
                <w:sz w:val="18"/>
              </w:rPr>
              <w:t>Ansgar’s mission to Birka in 829–830; Olof Skötkonung’s Christian kingship around 1000; further consolidation in the eleventh and twelfth centuries.</w:t>
            </w:r>
          </w:p>
        </w:tc>
        <w:tc>
          <w:tcPr>
            <w:tcW w:type="dxa" w:w="4363"/>
            <w:vAlign w:val="center"/>
            <w:tcMar>
              <w:top w:w="95" w:type="dxa"/>
              <w:left w:w="95" w:type="dxa"/>
              <w:bottom w:w="95" w:type="dxa"/>
              <w:right w:w="95" w:type="dxa"/>
            </w:tcMar>
            <w:tcBorders>
              <w:top w:val="single" w:sz="4" w:color="D9D9D9"/>
              <w:left w:val="single" w:sz="4" w:color="D9D9D9"/>
              <w:bottom w:val="single" w:sz="4" w:color="D9D9D9"/>
              <w:right w:val="single" w:sz="4" w:color="D9D9D9"/>
            </w:tcBorders>
            <w:shd w:fill="FFFFFF"/>
          </w:tcPr>
          <w:p>
            <w:pPr>
              <w:spacing w:after="80" w:before="80" w:line="257" w:lineRule="auto"/>
            </w:pPr>
            <w:r>
              <w:rPr>
                <w:sz w:val="18"/>
              </w:rPr>
              <w:t>Different regions followed different chronologies, and older practices persisted alongside Christianity.</w:t>
            </w:r>
          </w:p>
        </w:tc>
      </w:tr>
    </w:tbl>
    <w:p>
      <w:pPr>
        <w:spacing w:after="0"/>
      </w:pPr>
    </w:p>
    <w:p>
      <w:r>
        <w:t>The National Museum of Denmark dates Harald’s Jelling stone to approximately 965 and documents earlier Christian contacts. It also describes artifacts bearing Christian and older religious symbolism. For Norway and Sweden, the longer chronology is equally important: formal ecclesiastical structures continued developing well after the first missionary successes. These histories cannot be compressed into a single Scandinavian conversion date.</w:t>
      </w:r>
      <w:r>
        <w:rPr>
          <w:vertAlign w:val="superscript"/>
        </w:rPr>
        <w:footnoteReference w:id="7"/>
      </w:r>
    </w:p>
    <w:p>
      <w:r>
        <w:t>Some Christianization involved accommodation and persuasion; some involved coercion and destruction of older cults. Individual saga accounts require critical reading, but royal power plainly belongs in the story. A modern Muslim invitation can learn from the past by affirming voluntary conviction as its proper means. It would defeat its own spiritual purpose if it treated rulers’ coercive religious policies as models for the present.</w:t>
      </w:r>
    </w:p>
    <w:p>
      <w:r>
        <w:t>Scandinavian contact with Muslim societies also has an early history. The Viking Ship Museum describes silver coins reaching Scandinavia from the Arab world, among other sources. Such material evidence establishes connections through exchange; it does not establish that their Scandinavian possessors were Muslims. A coin can travel farther than the convictions of the person who first minted or carried it. The defensible conclusion is that the northern world was connected to a wider world of peoples and religions.</w:t>
      </w:r>
      <w:r>
        <w:rPr>
          <w:vertAlign w:val="superscript"/>
        </w:rPr>
        <w:footnoteReference w:id="8"/>
      </w:r>
    </w:p>
    <w:p>
      <w:pPr>
        <w:pStyle w:val="Heading1"/>
      </w:pPr>
      <w:r>
        <w:t>Christianity as a possible stepping stone</w:t>
      </w:r>
    </w:p>
    <w:p>
      <w:r>
        <w:t>Christianity introduced and institutionalized a powerful universal claim: the ultimate Creator is not confined to a locality or a people. It also transmitted biblical narratives of Abraham, Moses, Mary, and Jesus, and an enduring vocabulary of charity, repentance, accountability, and hope beyond death. Scandinavian Muslims need not despise that inheritance. Its best aspirations provide real meeting points with Islam.</w:t>
      </w:r>
    </w:p>
    <w:p>
      <w:r>
        <w:t>Yet the expression “limited monotheism” requires precision. Christianity understands itself as monotheistic. Classical Trinitarian doctrine affirms one divine essence in three persons, rather than three independent gods sharing a universe. The Lutheran Augsburg Confession, especially relevant to Scandinavia’s religious inheritance, describes God as eternal, without body or parts, and the Maker and Preserver of all things, while affirming the coeternal Father, Son, and Holy Spirit. A Muslim critique should address this position.</w:t>
      </w:r>
      <w:r>
        <w:rPr>
          <w:vertAlign w:val="superscript"/>
        </w:rPr>
        <w:footnoteReference w:id="9"/>
      </w:r>
    </w:p>
    <w:p>
      <w:r>
        <w:t>From the Islamic standpoint, the limitation lies in qualifying divine unity through personal distinctions within the Godhead and the Incarnation of the Son. Muslims argue that the clearest account of God excludes such distinctions and excludes the worship of any embodied person. Christians reply that the Trinity expresses the depth of God’s unity and that the Incarnation reveals divine love. That is a substantive theological disagreement. Neither politeness nor polemic should hide it.</w:t>
      </w:r>
    </w:p>
    <w:p>
      <w:r>
        <w:t>The Islamic invitation can therefore be stated positively: preserve belief in the one Creator, gratitude for Jesus, the call to love one’s neighbor, and hope in divine mercy; then consider whether these commitments find greater coherence when worship is directed exclusively to the unincarnate God. In this particular sense, Christianity can become a stepping stone to tawḥīd. A Christian is entitled to find that argument unpersuasive. A secular reader need not adopt Christianity first in order to consider Islam.</w:t>
      </w:r>
    </w:p>
    <w:p>
      <w:r>
        <w:t>The word “stepping stone” describes a possible spiritual journey, not a scientific law of history. Human societies do not automatically progress from polytheism to Christianity and then to Islam. Judaism already offers a deeply developed non-Trinitarian monotheism, and Christianity contains its own internal diversity. Religious history is not a ranking of the intelligence or dignity of peoples. The question is which account of God a free person finds true.</w:t>
      </w:r>
    </w:p>
    <w:p>
      <w:r>
        <w:t>Shah’s commentary on Sūrat al-Ikhlāṣ offers a concise point of entry. The four verses present God’s uniqueness, self-sufficiency, freedom from generation, and incomparability. They invite the reader to contemplate the One on whom everything depends, who depends on nothing.</w:t>
      </w:r>
      <w:r>
        <w:rPr>
          <w:vertAlign w:val="superscript"/>
        </w:rPr>
        <w:footnoteReference w:id="10"/>
      </w:r>
    </w:p>
    <w:p>
      <w:pPr>
        <w:pStyle w:val="Arabic"/>
        <w:jc w:val="center"/>
        <w:bidi/>
      </w:pPr>
      <w:r>
        <w:rPr>
          <w:rFonts w:ascii="DejaVu Sans" w:hAnsi="DejaVu Sans" w:cs="DejaVu Sans"/>
          <w:sz w:val="26"/>
          <w:rtl/>
          <w:szCs w:val="26"/>
          <w:lang w:bidi="ar-SA"/>
        </w:rPr>
        <w:t>قُلْ هُوَ اللَّهُ أَحَدٌ ۝ اللَّهُ الصَّمَدُ ۝ لَمْ يَلِدْ وَلَمْ يُولَدْ ۝ وَلَمْ يَكُنْ لَهُ كُفُوًا أَحَدٌ</w:t>
      </w:r>
    </w:p>
    <w:p>
      <w:pPr>
        <w:pStyle w:val="Translation"/>
      </w:pPr>
      <w:r>
        <w:t>Say, “He is God, uniquely One. God, the self-sufficient One sought by all. He does not beget, nor was He begotten, and no one is comparable to Him.” — Quran 112:1–4.</w:t>
      </w:r>
      <w:r>
        <w:rPr>
          <w:vertAlign w:val="superscript"/>
        </w:rPr>
        <w:footnoteReference w:id="11"/>
      </w:r>
    </w:p>
    <w:p>
      <w:r>
        <w:t>This is not a rejection of relationship with God. It locates relationship between the Creator and His creatures while preserving the distinction between them. God can know, love, guide, and forgive without becoming a member of the human species. A believer’s closeness to God does not make that believer divine.</w:t>
      </w:r>
    </w:p>
    <w:p>
      <w:pPr>
        <w:pStyle w:val="Heading1"/>
      </w:pPr>
      <w:r>
        <w:t>Jesus and Abraham within the Islamic invitation</w:t>
      </w:r>
    </w:p>
    <w:p>
      <w:r>
        <w:t>For Christians, Jesus is often the most emotionally significant point of encounter. An invitation that sounds like a demand to forget him will obscure Islam’s own reverence for him. The Quran recognizes Jesus as Messiah and messenger, honors Mary, and places his mission within the history of divine guidance. Muslims differ from Christians over his divinity and the meaning of salvation, but they do not dismiss him as an irrelevant figure. The Quran’s Jesus declares:</w:t>
      </w:r>
    </w:p>
    <w:p>
      <w:pPr>
        <w:pStyle w:val="Arabic"/>
        <w:jc w:val="center"/>
        <w:bidi/>
      </w:pPr>
      <w:r>
        <w:rPr>
          <w:rFonts w:ascii="DejaVu Sans" w:hAnsi="DejaVu Sans" w:cs="DejaVu Sans"/>
          <w:sz w:val="26"/>
          <w:rtl/>
          <w:szCs w:val="26"/>
          <w:lang w:bidi="ar-SA"/>
        </w:rPr>
        <w:t>قَالَ إِنِّي عَبْدُ اللَّهِ آتَانِيَ الْكِتَابَ وَجَعَلَنِي نَبِيًّا</w:t>
      </w:r>
    </w:p>
    <w:p>
      <w:pPr>
        <w:pStyle w:val="Translation"/>
      </w:pPr>
      <w:r>
        <w:t>He said, “I am God’s servant. He has given me the Scripture and made me a prophet.” — Quran 19:30.</w:t>
      </w:r>
      <w:r>
        <w:rPr>
          <w:vertAlign w:val="superscript"/>
        </w:rPr>
        <w:footnoteReference w:id="12"/>
      </w:r>
    </w:p>
    <w:p>
      <w:pPr>
        <w:keepNext/>
      </w:pPr>
      <w:r>
        <w:t>The contrast becomes explicit in a passage addressing the People of the Scripture:</w:t>
      </w:r>
    </w:p>
    <w:p>
      <w:pPr>
        <w:pStyle w:val="Arabic"/>
        <w:jc w:val="center"/>
        <w:bidi/>
      </w:pPr>
      <w:r>
        <w:rPr>
          <w:rFonts w:ascii="DejaVu Sans" w:hAnsi="DejaVu Sans" w:cs="DejaVu Sans"/>
          <w:sz w:val="26"/>
          <w:rtl/>
          <w:szCs w:val="26"/>
          <w:lang w:bidi="ar-SA"/>
        </w:rPr>
        <w:t>يَا أَهْلَ الْكِتَابِ لَا تَغْلُوا فِي دِينِكُمْ وَلَا تَقُولُوا عَلَى اللَّهِ إِلَّا الْحَقَّ ۚ إِنَّمَا الْمَسِيحُ عِيسَى ابْنُ مَرْيَمَ رَسُولُ اللَّهِ وَكَلِمَتُهُ أَلْقَاهَا إِلَىٰ مَرْيَمَ وَرُوحٌ مِنْهُ ۖ فَآمِنُوا بِاللَّهِ وَرُسُلِهِ ۖ وَلَا تَقُولُوا ثَلَاثَةٌ ۚ انْتَهُوا خَيْرًا لَكُمْ ۚ إِنَّمَا اللَّهُ إِلَٰهٌ وَاحِدٌ ۖ سُبْحَانَهُ أَنْ يَكُونَ لَهُ وَلَدٌ ۘ لَهُ مَا فِي السَّمَاوَاتِ وَمَا فِي الْأَرْضِ ۗ وَكَفَىٰ بِاللَّهِ وَكِيلًا</w:t>
      </w:r>
    </w:p>
    <w:p>
      <w:pPr>
        <w:pStyle w:val="Translation"/>
      </w:pPr>
      <w:r>
        <w:t>People of the Scripture, do not exceed the bounds in your religion or speak of God except truthfully. The Messiah, Jesus son of Mary, is God’s messenger, His word conveyed to Mary, and a spirit from Him. Believe in God and His messengers, and do not say “Three.” Desist; that is better for you. God is only one God, exalted above having a child. Everything in the heavens and the earth belongs to Him, and God is sufficient as guardian. — Quran 4:171.</w:t>
      </w:r>
      <w:r>
        <w:rPr>
          <w:vertAlign w:val="superscript"/>
        </w:rPr>
        <w:footnoteReference w:id="13"/>
      </w:r>
    </w:p>
    <w:p>
      <w:r>
        <w:t>A fair discussion must recognize that orthodox Christians do not understand divine sonship as sexual reproduction, and they do not include Mary as a person of the Trinity. The Muslim objection concerns divine sonship and Incarnation even when Christians explain them in nonbiological terms. Conversely, the Quran’s description of Jesus as God’s word and a spirit from Him should be explained through Islamic interpretation rather than silently assumed to mean Nicene divinity.</w:t>
      </w:r>
    </w:p>
    <w:p>
      <w:r>
        <w:t>Shah’s essays on Christian sacramental belief press the attraction of direct worship and forgiveness without Incarnation. That invitation deserves consideration, but Catholic accounts of transubstantiation should not be substituted for Lutheran Eucharistic theology. Nor does criticism of a sacrament establish why every secular Scandinavian left religious practice. People’s reasons differ. The useful theological question is whether access to God requires the particular sacramental and Christological framework being examined.</w:t>
      </w:r>
      <w:r>
        <w:rPr>
          <w:vertAlign w:val="superscript"/>
        </w:rPr>
        <w:footnoteReference w:id="14"/>
      </w:r>
    </w:p>
    <w:p>
      <w:pPr>
        <w:keepNext/>
      </w:pPr>
      <w:r>
        <w:t>Abraham provides a wider horizon:</w:t>
      </w:r>
    </w:p>
    <w:p>
      <w:pPr>
        <w:pStyle w:val="Arabic"/>
        <w:jc w:val="center"/>
        <w:bidi/>
      </w:pPr>
      <w:r>
        <w:rPr>
          <w:rFonts w:ascii="DejaVu Sans" w:hAnsi="DejaVu Sans" w:cs="DejaVu Sans"/>
          <w:sz w:val="26"/>
          <w:rtl/>
          <w:szCs w:val="26"/>
          <w:lang w:bidi="ar-SA"/>
        </w:rPr>
        <w:t>مَا كَانَ إِبْرَاهِيمُ يَهُودِيًّا وَلَا نَصْرَانِيًّا وَلَٰكِنْ كَانَ حَنِيفًا مُسْلِمًا وَمَا كَانَ مِنَ الْمُشْرِكِينَ</w:t>
      </w:r>
    </w:p>
    <w:p>
      <w:pPr>
        <w:pStyle w:val="Translation"/>
      </w:pPr>
      <w:r>
        <w:t>Abraham was neither a Jew nor a Christian; he was upright in devotion, submitting to God, and was not among those who associate partners with Him. — Quran 3:67.</w:t>
      </w:r>
      <w:r>
        <w:rPr>
          <w:vertAlign w:val="superscript"/>
        </w:rPr>
        <w:footnoteReference w:id="15"/>
      </w:r>
    </w:p>
    <w:p>
      <w:r>
        <w:t>Here Islam presents submission to God as more fundamental than later communal labels. This is the Quran’s theological account of Abraham, not a claim that he belonged to a seventh-century institution before it existed. It offers Scandinavians participation in an Abrahamic relationship that no ethnic community owns. The God of Abraham is not an Arab deity, just as the biblical God did not become Scandinavian only when northern rulers accepted Christianity.</w:t>
      </w:r>
    </w:p>
    <w:p>
      <w:pPr>
        <w:pStyle w:val="Heading1"/>
      </w:pPr>
      <w:r>
        <w:t>Reason and the unity of reality</w:t>
      </w:r>
    </w:p>
    <w:p>
      <w:r>
        <w:t>For a reader who no longer believes in God, comparison of the Trinity and tawḥīd begins too far downstream. The prior question concerns the existence of a Creator. Shah’s essay on the metaphysically necessary being approaches that question through the difference between dependent reality and a sufficient ground of existence. Islamic and Christian philosophers can agree that a description of how the universe behaves does not by itself settle why there is a universe at all.</w:t>
      </w:r>
      <w:r>
        <w:rPr>
          <w:vertAlign w:val="superscript"/>
        </w:rPr>
        <w:footnoteReference w:id="16"/>
      </w:r>
    </w:p>
    <w:p>
      <w:r>
        <w:t>The argument is philosophical: if contingent things require an adequate explanation, one may ask whether an ultimate explanation must be independent of the conditions that explain ordinary things. The proposed answer is a necessary reality, dependent on nothing beyond itself. Critics dispute the explanatory principle, the move from the universe’s contents to the universe as a whole, or the identification of a necessary ground with a personal God. These objections deserve answers rather than accusations of bad faith. A reader can nevertheless find the argument substantial without treating it as an uncontested demonstration.</w:t>
      </w:r>
    </w:p>
    <w:p>
      <w:pPr>
        <w:keepNext/>
      </w:pPr>
      <w:r>
        <w:t>The Quran also invites reflection upon divine unity through the intelligibility of cosmic order:</w:t>
      </w:r>
    </w:p>
    <w:p>
      <w:pPr>
        <w:pStyle w:val="Arabic"/>
        <w:jc w:val="center"/>
        <w:bidi/>
      </w:pPr>
      <w:r>
        <w:rPr>
          <w:rFonts w:ascii="DejaVu Sans" w:hAnsi="DejaVu Sans" w:cs="DejaVu Sans"/>
          <w:sz w:val="26"/>
          <w:rtl/>
          <w:szCs w:val="26"/>
          <w:lang w:bidi="ar-SA"/>
        </w:rPr>
        <w:t>لَوْ كَانَ فِيهِمَا آلِهَةٌ إِلَّا اللَّهُ لَفَسَدَتَا ۚ فَسُبْحَانَ اللَّهِ رَبِّ الْعَرْشِ عَمَّا يَصِفُونَ</w:t>
      </w:r>
    </w:p>
    <w:p>
      <w:pPr>
        <w:pStyle w:val="Translation"/>
      </w:pPr>
      <w:r>
        <w:t>Had there been gods in the heavens and the earth other than God, both would have fallen into disorder. Exalted is God, Lord of the Throne, above what they attribute to Him. — Quran 21:22.</w:t>
      </w:r>
      <w:r>
        <w:rPr>
          <w:vertAlign w:val="superscript"/>
        </w:rPr>
        <w:footnoteReference w:id="17"/>
      </w:r>
    </w:p>
    <w:p>
      <w:r>
        <w:t>The classical problem is that independent, unlimited divine wills cannot be rivals without a contradiction in their supposed supremacy. Shah’s research dossier usefully acknowledges the argument’s limits: its immediate target is competing gods or tritheism. Orthodox Trinitarians affirm inseparable divine action. To move from the rejection of rival gods to a rejection of every Trinitarian model requires a further argument about personhood, distinction, and divine simplicity. Scientific order alone does not settle that debate.</w:t>
      </w:r>
      <w:r>
        <w:rPr>
          <w:vertAlign w:val="superscript"/>
        </w:rPr>
        <w:footnoteReference w:id="18"/>
      </w:r>
    </w:p>
    <w:p>
      <w:r>
        <w:t>For the Muslim, the appeal of tawḥīd is that the unity of the source corresponds to the unity sought in explanation. The same God sustains the star, the forest, and the person who studies them. Shah’s writing on cosmic wonder encourages movement from appreciation of nature toward gratitude to a personal Creator. That movement remains an interpretation of experience; the beauty of a fjord or the northern sky is available to the atheist, Christian, and Muslim alike.</w:t>
      </w:r>
      <w:r>
        <w:rPr>
          <w:vertAlign w:val="superscript"/>
        </w:rPr>
        <w:footnoteReference w:id="19"/>
      </w:r>
    </w:p>
    <w:p>
      <w:r>
        <w:t>Respect for science should make this invitation more exacting. Islam should not be presented as requiring the rejection of well-supported natural explanations. Evolution, neuroscience, and cosmology address real questions through evidence. Theological reflection asks further questions about existence, meaning, consciousness, and value. Quantum theory does not establish Islam, and unsolved scientific problems should not be treated as temporary hiding places for God.</w:t>
      </w:r>
    </w:p>
    <w:p>
      <w:r>
        <w:t>A commitment to one truth also creates obligations for Muslims. If an argument against Christianity depends on a false quotation, abandon it. If a claim about conversion rests on repetition rather than evidence, correct it. If a favored scriptural interpretation conflicts with established knowledge, examine the interpretation carefully. Confidence in God should increase the willingness to distinguish revelation from fallible human commentary.</w:t>
      </w:r>
    </w:p>
    <w:p>
      <w:pPr>
        <w:pStyle w:val="Heading1"/>
      </w:pPr>
      <w:r>
        <w:t>The One God and His many attributes</w:t>
      </w:r>
    </w:p>
    <w:p>
      <w:r>
        <w:t>Divine unity becomes spiritually significant through the character of the God worshipped. The Quran does not merely reduce a list of deities to a list of one. It describes a Lord who sustains, knows, judges, forgives, and shows mercy. Multiple divine names are multiple descriptions of the same God, not separate persons or competing powers.</w:t>
      </w:r>
    </w:p>
    <w:p>
      <w:r>
        <w:t>Shah’s essay The One and the Ninety-Nine argues that the names interpret one another: power is understood with wisdom, knowledge with mercy, and judgment with the whole character of God. His reading begins with the opening chapter’s praise of the Lord of all worlds, the Merciful, and the Master of judgment. This guards against treating omnipotence as an isolated license for arbitrary cruelty or treating mercy as indifference to injustice.</w:t>
      </w:r>
      <w:r>
        <w:rPr>
          <w:vertAlign w:val="superscript"/>
        </w:rPr>
        <w:footnoteReference w:id="20"/>
      </w:r>
    </w:p>
    <w:p>
      <w:pPr>
        <w:pStyle w:val="Arabic"/>
        <w:jc w:val="center"/>
        <w:bidi/>
      </w:pPr>
      <w:r>
        <w:rPr>
          <w:rFonts w:ascii="DejaVu Sans" w:hAnsi="DejaVu Sans" w:cs="DejaVu Sans"/>
          <w:sz w:val="26"/>
          <w:rtl/>
          <w:szCs w:val="26"/>
          <w:lang w:bidi="ar-SA"/>
        </w:rPr>
        <w:t>هُوَ اللَّهُ الَّذِي لَا إِلَٰهَ إِلَّا هُوَ ۖ عَالِمُ الْغَيْبِ وَالشَّهَادَةِ ۖ هُوَ الرَّحْمَٰنُ الرَّحِيمُ</w:t>
      </w:r>
    </w:p>
    <w:p>
      <w:pPr>
        <w:pStyle w:val="Translation"/>
      </w:pPr>
      <w:r>
        <w:t>He is God, besides whom there is no god, knowing the hidden and the witnessed. He is the Universally Merciful, the Especially Merciful. — Quran 59:22.</w:t>
      </w:r>
      <w:r>
        <w:rPr>
          <w:vertAlign w:val="superscript"/>
        </w:rPr>
        <w:footnoteReference w:id="21"/>
      </w:r>
    </w:p>
    <w:p>
      <w:pPr>
        <w:pStyle w:val="Arabic"/>
        <w:jc w:val="center"/>
        <w:bidi/>
      </w:pPr>
      <w:r>
        <w:rPr>
          <w:rFonts w:ascii="DejaVu Sans" w:hAnsi="DejaVu Sans" w:cs="DejaVu Sans"/>
          <w:sz w:val="26"/>
          <w:rtl/>
          <w:szCs w:val="26"/>
          <w:lang w:bidi="ar-SA"/>
        </w:rPr>
        <w:t>هُوَ اللَّهُ الَّذِي لَا إِلَٰهَ إِلَّا هُوَ الْمَلِكُ الْقُدُّوسُ السَّلَامُ الْمُؤْمِنُ الْمُهَيْمِنُ الْعَزِيزُ الْجَبَّارُ الْمُتَكَبِّرُ ۚ سُبْحَانَ اللَّهِ عَمَّا يُشْرِكُونَ</w:t>
      </w:r>
    </w:p>
    <w:p>
      <w:pPr>
        <w:pStyle w:val="Translation"/>
      </w:pPr>
      <w:r>
        <w:t>He is God, besides whom there is no god: the Sovereign, the Holy, the Source of Peace, the Giver of Security, the Guardian, the Mighty, the Compeller, the Supremely Great. Exalted is God above what they associate with Him. — Quran 59:23.</w:t>
      </w:r>
      <w:r>
        <w:rPr>
          <w:vertAlign w:val="superscript"/>
        </w:rPr>
        <w:footnoteReference w:id="22"/>
      </w:r>
    </w:p>
    <w:p>
      <w:pPr>
        <w:pStyle w:val="Arabic"/>
        <w:jc w:val="center"/>
        <w:bidi/>
      </w:pPr>
      <w:r>
        <w:rPr>
          <w:rFonts w:ascii="DejaVu Sans" w:hAnsi="DejaVu Sans" w:cs="DejaVu Sans"/>
          <w:sz w:val="26"/>
          <w:rtl/>
          <w:szCs w:val="26"/>
          <w:lang w:bidi="ar-SA"/>
        </w:rPr>
        <w:t>هُوَ اللَّهُ الْخَالِقُ الْبَارِئُ الْمُصَوِّرُ ۖ لَهُ الْأَسْمَاءُ الْحُسْنَىٰ ۚ يُسَبِّحُ لَهُ مَا فِي السَّمَاوَاتِ وَالْأَرْضِ ۖ وَهُوَ الْعَزِيزُ الْحَكِيمُ</w:t>
      </w:r>
    </w:p>
    <w:p>
      <w:pPr>
        <w:pStyle w:val="Translation"/>
      </w:pPr>
      <w:r>
        <w:t>He is God, the Creator, the Maker, the Fashioner. The most beautiful names belong to Him. All that is in the heavens and the earth glorifies Him. He is the Mighty, the Wise. — Quran 59:24.</w:t>
      </w:r>
      <w:r>
        <w:rPr>
          <w:vertAlign w:val="superscript"/>
        </w:rPr>
        <w:footnoteReference w:id="23"/>
      </w:r>
    </w:p>
    <w:p>
      <w:r>
        <w:t>These names challenge the believer’s conduct. Worship of the Merciful calls for compassion toward a frightened newcomer, an elderly neighbor, and a child struggling at school. Worship of the All-Knowing calls for honesty when wrongdoing is unlikely to be discovered. Worship of the Wise calls for restraint before declaring one’s own anger to be God’s judgment. A believer does not possess divine perfection; the moral task is to respond faithfully to it.</w:t>
      </w:r>
    </w:p>
    <w:p>
      <w:pPr>
        <w:keepNext/>
      </w:pPr>
      <w:r>
        <w:t>The attribute al-Qayyūm also deepens the invitation. God is continually sustaining, rather than merely having initiated a mechanism and departed:</w:t>
      </w:r>
    </w:p>
    <w:p>
      <w:pPr>
        <w:pStyle w:val="Arabic"/>
        <w:jc w:val="center"/>
        <w:bidi/>
      </w:pPr>
      <w:r>
        <w:rPr>
          <w:rFonts w:ascii="DejaVu Sans" w:hAnsi="DejaVu Sans" w:cs="DejaVu Sans"/>
          <w:sz w:val="26"/>
          <w:rtl/>
          <w:szCs w:val="26"/>
          <w:lang w:bidi="ar-SA"/>
        </w:rPr>
        <w:t>اللَّهُ لَا إِلَٰهَ إِلَّا هُوَ الْحَيُّ الْقَيُّومُ ۚ لَا تَأْخُذُهُ سِنَةٌ وَلَا نَوْمٌ</w:t>
      </w:r>
    </w:p>
    <w:p>
      <w:pPr>
        <w:pStyle w:val="Translation"/>
      </w:pPr>
      <w:r>
        <w:t>God: there is no god except Him, the Ever-Living, the Sustainer of all. Neither drowsiness nor sleep overtakes Him. — Quran 2:255, opening excerpt.</w:t>
      </w:r>
      <w:r>
        <w:rPr>
          <w:vertAlign w:val="superscript"/>
        </w:rPr>
        <w:footnoteReference w:id="24"/>
      </w:r>
    </w:p>
    <w:p>
      <w:r>
        <w:t>Shah develops this theme through a defense of al-Ghazālī’s occasionalism, understanding natural regularities as dependent at every moment on divine agency. That is a serious theological position, but it is not the only Muslim account of causation, nor a result established by quantum physics. The shared devotional point is that creation never becomes independent of its Creator. Scientific investigation remains possible within that affirmation.</w:t>
      </w:r>
      <w:r>
        <w:rPr>
          <w:vertAlign w:val="superscript"/>
        </w:rPr>
        <w:footnoteReference w:id="25"/>
      </w:r>
    </w:p>
    <w:p>
      <w:pPr>
        <w:keepNext/>
      </w:pPr>
      <w:r>
        <w:t>Divine presence should not be imagined as a gigantic body spread throughout physical space. The Quran expresses transcendence together with awareness:</w:t>
      </w:r>
    </w:p>
    <w:p>
      <w:pPr>
        <w:pStyle w:val="Arabic"/>
        <w:jc w:val="center"/>
        <w:bidi/>
      </w:pPr>
      <w:r>
        <w:rPr>
          <w:rFonts w:ascii="DejaVu Sans" w:hAnsi="DejaVu Sans" w:cs="DejaVu Sans"/>
          <w:sz w:val="26"/>
          <w:rtl/>
          <w:szCs w:val="26"/>
          <w:lang w:bidi="ar-SA"/>
        </w:rPr>
        <w:t>لَيْسَ كَمِثْلِهِ شَيْءٌ ۖ وَهُوَ السَّمِيعُ الْبَصِيرُ</w:t>
      </w:r>
    </w:p>
    <w:p>
      <w:pPr>
        <w:pStyle w:val="Translation"/>
      </w:pPr>
      <w:r>
        <w:t>Nothing is comparable to Him, and He is the All-Hearing, the All-Seeing. — Quran 42:11, closing excerpt.</w:t>
      </w:r>
      <w:r>
        <w:rPr>
          <w:vertAlign w:val="superscript"/>
        </w:rPr>
        <w:footnoteReference w:id="26"/>
      </w:r>
    </w:p>
    <w:p>
      <w:r>
        <w:t>For a person who loves the natural world, this offers a form of reverence in which nature is neither spiritually meaningless nor itself the whole of God. The forest is worthy of care as creation; its beauty can invite gratitude without turning a tree into a deity. Human responsibility survives alongside dependence: trust in God should sustain action, learning, and service.</w:t>
      </w:r>
    </w:p>
    <w:p>
      <w:pPr>
        <w:pStyle w:val="Heading1"/>
      </w:pPr>
      <w:r>
        <w:t>Forgiveness and the integration of a life</w:t>
      </w:r>
    </w:p>
    <w:p>
      <w:r>
        <w:t>A religion’s account of God shapes its account of guilt and hope. Islam invites the wrongdoer to repentance, restitution where possible, and renewed faithfulness. It rejects the transfer of personal moral guilt from one soul to another:</w:t>
      </w:r>
    </w:p>
    <w:p>
      <w:pPr>
        <w:pStyle w:val="Arabic"/>
        <w:jc w:val="center"/>
        <w:bidi/>
      </w:pPr>
      <w:r>
        <w:rPr>
          <w:rFonts w:ascii="DejaVu Sans" w:hAnsi="DejaVu Sans" w:cs="DejaVu Sans"/>
          <w:sz w:val="26"/>
          <w:rtl/>
          <w:szCs w:val="26"/>
          <w:lang w:bidi="ar-SA"/>
        </w:rPr>
        <w:t>وَلَا تَكْسِبُ كُلُّ نَفْسٍ إِلَّا عَلَيْهَا ۚ وَلَا تَزِرُ وَازِرَةٌ وِزْرَ أُخْرَىٰ</w:t>
      </w:r>
    </w:p>
    <w:p>
      <w:pPr>
        <w:pStyle w:val="Translation"/>
      </w:pPr>
      <w:r>
        <w:t>Every soul’s wrongdoing counts against itself; no bearer of burdens bears another’s burden. — Quran 6:164, excerpt.</w:t>
      </w:r>
      <w:r>
        <w:rPr>
          <w:vertAlign w:val="superscript"/>
        </w:rPr>
        <w:footnoteReference w:id="27"/>
      </w:r>
    </w:p>
    <w:p>
      <w:r>
        <w:t>Christian accounts of original sin and atonement differ among traditions, and many distinguish inherited moral damage from an individual’s culpability. The Muslim invitation should acknowledge that complexity. Its affirmative claim is that God can forgive directly without an incarnation or a sacrificial transfer of guilt. Such forgiveness does not excuse harm to another person: repentance must take that person’s rights seriously.</w:t>
      </w:r>
    </w:p>
    <w:p>
      <w:pPr>
        <w:pStyle w:val="Arabic"/>
        <w:jc w:val="center"/>
        <w:bidi/>
      </w:pPr>
      <w:r>
        <w:rPr>
          <w:rFonts w:ascii="DejaVu Sans" w:hAnsi="DejaVu Sans" w:cs="DejaVu Sans"/>
          <w:sz w:val="26"/>
          <w:rtl/>
          <w:szCs w:val="26"/>
          <w:lang w:bidi="ar-SA"/>
        </w:rPr>
        <w:t>قُلْ يَا عِبَادِيَ الَّذِينَ أَسْرَفُوا عَلَىٰ أَنْفُسِهِمْ لَا تَقْنَطُوا مِنْ رَحْمَةِ اللَّهِ ۚ إِنَّ اللَّهَ يَغْفِرُ الذُّنُوبَ جَمِيعًا ۚ إِنَّهُ هُوَ الْغَفُورُ الرَّحِيمُ</w:t>
      </w:r>
    </w:p>
    <w:p>
      <w:pPr>
        <w:pStyle w:val="Translation"/>
      </w:pPr>
      <w:r>
        <w:t>Say, “My servants who have wronged themselves, do not despair of God’s mercy. God forgives all sins. He is the Forgiving, the Merciful.” — Quran 39:53.</w:t>
      </w:r>
      <w:r>
        <w:rPr>
          <w:vertAlign w:val="superscript"/>
        </w:rPr>
        <w:footnoteReference w:id="28"/>
      </w:r>
    </w:p>
    <w:p>
      <w:r>
        <w:t>Shah’s writing on unified monotheism also develops the Quran’s image of a person pulled between quarrelling masters. The verse addresses worship; its application to modern pressures is an ethical extension of that image. Wealth, status, social approval, and ideological belonging can make incompatible demands upon a life. Remembering a higher accountability can help a person ask which demands deserve obedience.</w:t>
      </w:r>
      <w:r>
        <w:rPr>
          <w:vertAlign w:val="superscript"/>
        </w:rPr>
        <w:footnoteReference w:id="29"/>
      </w:r>
    </w:p>
    <w:p>
      <w:pPr>
        <w:pStyle w:val="Arabic"/>
        <w:jc w:val="center"/>
        <w:bidi/>
      </w:pPr>
      <w:r>
        <w:rPr>
          <w:rFonts w:ascii="DejaVu Sans" w:hAnsi="DejaVu Sans" w:cs="DejaVu Sans"/>
          <w:sz w:val="26"/>
          <w:rtl/>
          <w:szCs w:val="26"/>
          <w:lang w:bidi="ar-SA"/>
        </w:rPr>
        <w:t>ضَرَبَ اللَّهُ مَثَلًا رَجُلًا فِيهِ شُرَكَاءُ مُتَشَاكِسُونَ وَرَجُلًا سَلَمًا لِرَجُلٍ هَلْ يَسْتَوِيَانِ مَثَلًا ۚ الْحَمْدُ لِلَّهِ ۚ بَلْ أَكْثَرُهُمْ لَا يَعْلَمُونَ</w:t>
      </w:r>
    </w:p>
    <w:p>
      <w:pPr>
        <w:pStyle w:val="Translation"/>
      </w:pPr>
      <w:r>
        <w:t>God offers an example: a man belonging to quarrelling partners, and another belonging exclusively to one man. Are the two alike? Praise belongs to God, but most of them do not know. — Quran 39:29.</w:t>
      </w:r>
      <w:r>
        <w:rPr>
          <w:vertAlign w:val="superscript"/>
        </w:rPr>
        <w:footnoteReference w:id="30"/>
      </w:r>
    </w:p>
    <w:p>
      <w:r>
        <w:t>Religious commitment does not guarantee psychological health, and a secular life can be purposeful and coherent. The invitation concerns the proposed truth and worthiness of the center around which a life is organized. Muslims too can become captive to wealth, vanity, or sectarian power while verbally affirming one God. Tawḥīd is therefore a continuing examination of the believer as well as an invitation to the newcomer.</w:t>
      </w:r>
    </w:p>
    <w:p>
      <w:pPr>
        <w:pStyle w:val="Heading1"/>
      </w:pPr>
      <w:r>
        <w:t>Scandinavian lives that make Islam less unfamiliar</w:t>
      </w:r>
    </w:p>
    <w:p>
      <w:r>
        <w:t>Conversion accounts can challenge the assumption that Islam belongs only to other peoples. They cannot establish a religion’s truth by prestige or by the number of famous adherents. The following lives illustrate different paths and contributions; they do not imply agreement among their subjects or endorsement of everything any individual taught.</w:t>
      </w:r>
    </w:p>
    <w:p>
      <w:pPr>
        <w:pStyle w:val="Heading2"/>
      </w:pPr>
      <w:r>
        <w:t>Ivan Aguéli and the search through art</w:t>
      </w:r>
    </w:p>
    <w:p>
      <w:r>
        <w:t>The Swedish painter Ivan Aguéli, born in 1869, is a particularly significant example because his place in Swedish art does not depend on Muslim commemorative literature. Moderna Museet dates his conversion to 1898 and records his adoption of the name Abd al-Hâdi. It places his religious search alongside his travels, work in Egypt, and attempts to convey an experience beyond the surface of things. The frequently repeated date 1909 should therefore not replace the museum’s chronology.</w:t>
      </w:r>
      <w:r>
        <w:rPr>
          <w:vertAlign w:val="superscript"/>
        </w:rPr>
        <w:footnoteReference w:id="31"/>
      </w:r>
    </w:p>
    <w:p>
      <w:r>
        <w:t>Aguéli’s wider intellectual biography connects him with Sufism and with the transmission of Islamic esoteric thought to European circles, including René Guénon. His significance here is the possibility of a Swedish artistic identity taking Islamic form. Readers need not accept every aspect of his mysticism to recognize that Islam entered the history of Scandinavian intellectual and artistic life through more than recent immigration.</w:t>
      </w:r>
      <w:r>
        <w:rPr>
          <w:vertAlign w:val="superscript"/>
        </w:rPr>
        <w:footnoteReference w:id="32"/>
      </w:r>
    </w:p>
    <w:p>
      <w:pPr>
        <w:pStyle w:val="Heading2"/>
      </w:pPr>
      <w:r>
        <w:t>Mohammed Knut Bernström and the work of translation</w:t>
      </w:r>
    </w:p>
    <w:p>
      <w:r>
        <w:t>Mohammed Knut Bernström, born in 1919, served as a Swedish diplomat and ambassador before his conversion to Islam in 1986. His Koranens budskap appeared in 1998, bringing a Muslim interpretation of the Quran into Swedish. His work demonstrates how knowledge of another religious world can become a contribution in one’s own language. It is more useful to examine that contribution than to treat his diplomatic standing as a substitute for theological argument.</w:t>
      </w:r>
      <w:r>
        <w:rPr>
          <w:vertAlign w:val="superscript"/>
        </w:rPr>
        <w:footnoteReference w:id="33"/>
      </w:r>
    </w:p>
    <w:p>
      <w:r>
        <w:t>A translation opens a door while also making interpretive choices. Swedish readers can compare Bernström with other translations and consult the Arabic when a disputed issue matters. His example suggests a practical form of invitation: make the source available, explain its vocabulary, and allow the reader to think. Conversion creates an opportunity for scholarship; it does not remove the need for criticism.</w:t>
      </w:r>
    </w:p>
    <w:p>
      <w:pPr>
        <w:pStyle w:val="Heading2"/>
      </w:pPr>
      <w:r>
        <w:t>Tage Lindbom and Kurt Almqvist</w:t>
      </w:r>
    </w:p>
    <w:p>
      <w:r>
        <w:t>Tage Lindbom’s trajectory moved from a central role in Swedish labor movement intellectual life toward religious Traditionalism and Islam. His publisher’s biography describes his profound reassessment of the assumptions he had once supported. His later critique of modernity is part of that story, including views that contemporary readers may strongly contest. His conversion need not turn his political philosophy into a requirement of Muslim faith.</w:t>
      </w:r>
      <w:r>
        <w:rPr>
          <w:vertAlign w:val="superscript"/>
        </w:rPr>
        <w:footnoteReference w:id="34"/>
      </w:r>
    </w:p>
    <w:p>
      <w:r>
        <w:t>Kurt Almqvist, the Swedish scholar and poet, likewise belongs to the history of Traditionalist religious thought and Islamic spirituality. Together, such figures show an attraction to metaphysics, contemplation, and religious practice that cannot be reduced to a single romantic conversion narrative. Their perennialist outlook also differs from some of the more exclusive truth claims defended by other Muslims. A responsible invitation leaves those differences visible.</w:t>
      </w:r>
      <w:r>
        <w:rPr>
          <w:vertAlign w:val="superscript"/>
        </w:rPr>
        <w:footnoteReference w:id="35"/>
      </w:r>
    </w:p>
    <w:p>
      <w:pPr>
        <w:pStyle w:val="Heading2"/>
      </w:pPr>
      <w:r>
        <w:t>Knud Holmboe and the moral meaning of encounter</w:t>
      </w:r>
    </w:p>
    <w:p>
      <w:r>
        <w:t>Denmark’s Knud Holmboe, born in 1902, moved through Catholicism before embracing Islam. His 1930 journey across North Africa and his book Ørkenen Brænder, published in 1931 and known in English as Desert Encounter, exposed Italian colonial abuses in Libya. The Danish national encyclopedia’s account, written by a National Museum historian, emphasizes both the importance of his witnessing and the need to assess his idealism critically.</w:t>
      </w:r>
      <w:r>
        <w:rPr>
          <w:vertAlign w:val="superscript"/>
        </w:rPr>
        <w:footnoteReference w:id="36"/>
      </w:r>
    </w:p>
    <w:p>
      <w:r>
        <w:t>Holmboe is relevant because encounter with Muslims can enlarge moral attention. People once viewed from a distance become persons whose suffering matters. This lesson extends beyond conversion: a Christian or secular reader can respond to injustice with the same seriousness. The invitation to Islam can appeal to that moral recognition without claiming that empathy belongs to Muslims alone.</w:t>
      </w:r>
    </w:p>
    <w:p>
      <w:pPr>
        <w:pStyle w:val="Heading2"/>
      </w:pPr>
      <w:r>
        <w:t>Danish teaching and Norwegian scholarship</w:t>
      </w:r>
    </w:p>
    <w:p>
      <w:r>
        <w:t>Abdul Wahid Pedersen’s conversion in 1982 and subsequent Danish-language teaching illustrate another path: the development of Muslim religious life through a Scandinavian vernacular. His public career has included educational, charitable, and interfaith work, alongside controversial positions. A reader can recognize the importance of local-language Muslim teaching without accepting any teacher as an unquestionable authority.</w:t>
      </w:r>
      <w:r>
        <w:rPr>
          <w:vertAlign w:val="superscript"/>
        </w:rPr>
        <w:footnoteReference w:id="37"/>
      </w:r>
    </w:p>
    <w:p>
      <w:r>
        <w:t>The Danish author Aminah Tønnsen’s publisher biography dates her becoming Muslim to 1983 and describes extensive public speaking on Islam. Her example brings women’s explanatory and educational work into a field too often represented only through male religious leaders. The practical question is whether a curious reader can find an informed person who understands both the faith and the society in which the reader lives.</w:t>
      </w:r>
      <w:r>
        <w:rPr>
          <w:vertAlign w:val="superscript"/>
        </w:rPr>
        <w:footnoteReference w:id="38"/>
      </w:r>
    </w:p>
    <w:p>
      <w:r>
        <w:t>In Norway, Lena Larsen’s biography records a transition from Christianity to Islam and leadership of the Islamic Council of Norway from 2000 to 2003. Her scholarly work concerns Muslim women, Islamic legal reasoning, and religious freedom. Her publications and role in interfaith work show how a convert’s engagement may develop into sustained intellectual and civic activity. These are documented contributions, not evidence that every Norwegian convert follows the same course.</w:t>
      </w:r>
      <w:r>
        <w:rPr>
          <w:vertAlign w:val="superscript"/>
        </w:rPr>
        <w:footnoteReference w:id="39"/>
      </w:r>
    </w:p>
    <w:p>
      <w:r>
        <w:t>Anne Sofie Roald’s scholarly study New Muslims in the European Context examines Scandinavian conversion as a process involving religious communities and majority society. That is a useful corrective to lists of celebrities. A person’s relationships, study, changing practice, and experience after conversion can matter more than a single dramatic moment. The book is a historical study published in 2004, not a current count of converts.</w:t>
      </w:r>
      <w:r>
        <w:rPr>
          <w:vertAlign w:val="superscript"/>
        </w:rPr>
        <w:footnoteReference w:id="40"/>
      </w:r>
    </w:p>
    <w:p>
      <w:pPr>
        <w:pStyle w:val="Heading1"/>
      </w:pPr>
      <w:r>
        <w:t>Migration and the opportunity of ordinary neighborliness</w:t>
      </w:r>
    </w:p>
    <w:p>
      <w:r>
        <w:t>The contemporary presence of Muslims in Scandinavia has been shaped by labor migration, family formation, refugee movements, and subsequent generations, alongside conversion. Muslims include people with many languages, national origins, schools of thought, and levels of observance. Immigrant origin does not by itself establish a person’s religion. Someone whose parents came from a Muslim-majority country may be devout, loosely affiliated, secular, or committed to another faith.</w:t>
      </w:r>
      <w:r>
        <w:rPr>
          <w:vertAlign w:val="superscript"/>
        </w:rPr>
        <w:footnoteReference w:id="41"/>
      </w:r>
    </w:p>
    <w:p>
      <w:r>
        <w:t>The distinction matters when interpreting numbers. Statistics Norway reports 201,899 members in Islamic religious communities in its figures for 1 January 2026. Its measure concerns membership in communities applying for public funding. It is not a census of every person who identifies as Muslim, and it does not count conversions. An increase in that series cannot be translated into a corresponding number of Norwegians adopting Islam.</w:t>
      </w:r>
      <w:r>
        <w:rPr>
          <w:vertAlign w:val="superscript"/>
        </w:rPr>
        <w:footnoteReference w:id="42"/>
      </w:r>
    </w:p>
    <w:p>
      <w:r>
        <w:t>Similarly, Pew Research Center’s 2017 European report modeled possible future population paths from a mid-2016 baseline. Those scenarios were conditional projections, not predictions of national religious destiny. Migration, births, deaths, religious switching, and measurement methods must be distinguished. Claims that conversions have moved from “hundreds” to “thousands” need a clear geography, interval, and counting method before they can support a trend.</w:t>
      </w:r>
      <w:r>
        <w:rPr>
          <w:vertAlign w:val="superscript"/>
        </w:rPr>
        <w:footnoteReference w:id="43"/>
      </w:r>
    </w:p>
    <w:p>
      <w:r>
        <w:t>The strongest opportunity created by migration is human accessibility. Islam becomes less abstract when a colleague explains Ramadan, a neighbor invites questions, or a parent meets another family through school. Friendship can make inquiry possible, but friendship must be worth preserving independently of conversion. People should never discover that kindness was merely an inducement whose continuation depended on a religious decision.</w:t>
      </w:r>
    </w:p>
    <w:p>
      <w:r>
        <w:t>Muslims bear a particular responsibility here. A mosque that offers patient explanation, accountable leadership, and a welcoming place for women and newcomers can make the faith intelligible. A community that excuses abuse, discourages questions, or treats Scandinavian culture with contempt undermines its own invitation. Long-established residents and newcomers alike can strengthen trust through language learning, reliable work, shared service, and attention to the same local needs.</w:t>
      </w:r>
    </w:p>
    <w:p>
      <w:r>
        <w:t>Converts may help explain both worlds to one another, but they should not be treated as permanent interpreters or public trophies. They may need support in maintaining family relationships, learning ordinary religious practice, and navigating disagreements among Muslims. The welcome after conversion is as significant as the encouragement before it. The person’s continuing freedom and dignity should remain central.</w:t>
      </w:r>
    </w:p>
    <w:p>
      <w:pPr>
        <w:pStyle w:val="Heading1"/>
      </w:pPr>
      <w:r>
        <w:t>Faith and coexistence in a secularized society</w:t>
      </w:r>
    </w:p>
    <w:p>
      <w:r>
        <w:t>Scandinavian secularization does not mean that everyone is an atheist or that Christian identity has disappeared. Pew’s survey conducted in 2017 and published in 2018 distinguished church-attending Christians, non-practicing Christians, and religiously unaffiliated adults across Western Europe. Its categories demonstrate why inherited belonging, belief, and attendance should not be treated as interchangeable. A serious invitation addresses the actual person rather than a stereotype of a uniformly faithless North.</w:t>
      </w:r>
      <w:r>
        <w:rPr>
          <w:vertAlign w:val="superscript"/>
        </w:rPr>
        <w:footnoteReference w:id="44"/>
      </w:r>
    </w:p>
    <w:p>
      <w:r>
        <w:t>The Danish philosopher Søren Kierkegaard offers a useful interlocutor. Shah’s essay on his critique of Christendom highlights the difference between a socially inherited religious identity and an inwardly demanding commitment. Kierkegaard was seeking renewed Christianity, not recommending Islam. Muslims may nonetheless apply his challenge to themselves: being born into a community is not the same as examining one’s faith and living responsibly before God.</w:t>
      </w:r>
      <w:r>
        <w:rPr>
          <w:vertAlign w:val="superscript"/>
        </w:rPr>
        <w:footnoteReference w:id="45"/>
      </w:r>
    </w:p>
    <w:p>
      <w:r>
        <w:t>Secular civic arrangements can protect this examination. Freedom of conscience allows religious teaching, religious criticism, conversion, and refusal. Article 9 of the European Convention on Human Rights protects freedom of thought, conscience, and religion, including the freedom to change religion or belief; its treatment of outward religious manifestation includes specified legal limitations. That shared framework protects the Muslim invitation and the listener who declines it.</w:t>
      </w:r>
      <w:r>
        <w:rPr>
          <w:vertAlign w:val="superscript"/>
        </w:rPr>
        <w:footnoteReference w:id="46"/>
      </w:r>
    </w:p>
    <w:p>
      <w:pPr>
        <w:keepNext/>
      </w:pPr>
      <w:r>
        <w:t>The Quranic foundation for voluntary belief is explicit:</w:t>
      </w:r>
    </w:p>
    <w:p>
      <w:pPr>
        <w:pStyle w:val="Arabic"/>
        <w:jc w:val="center"/>
        <w:bidi/>
      </w:pPr>
      <w:r>
        <w:rPr>
          <w:rFonts w:ascii="DejaVu Sans" w:hAnsi="DejaVu Sans" w:cs="DejaVu Sans"/>
          <w:sz w:val="26"/>
          <w:rtl/>
          <w:szCs w:val="26"/>
          <w:lang w:bidi="ar-SA"/>
        </w:rPr>
        <w:t>لَا إِكْرَاهَ فِي الدِّينِ ۖ قَدْ تَبَيَّنَ الرُّشْدُ مِنَ الْغَيِّ ۚ فَمَنْ يَكْفُرْ بِالطَّاغُوتِ وَيُؤْمِنْ بِاللَّهِ فَقَدِ اسْتَمْسَكَ بِالْعُرْوَةِ الْوُثْقَىٰ لَا انْفِصَامَ لَهَا ۗ وَاللَّهُ سَمِيعٌ عَلِيمٌ</w:t>
      </w:r>
    </w:p>
    <w:p>
      <w:pPr>
        <w:pStyle w:val="Translation"/>
      </w:pPr>
      <w:r>
        <w:t>There is no compulsion in religion. Sound guidance has become distinct from error. Whoever rejects false objects of worship and believes in God has grasped the firmest handhold, which does not break. God is All-Hearing, All-Knowing. — Quran 2:256.</w:t>
      </w:r>
      <w:r>
        <w:rPr>
          <w:vertAlign w:val="superscript"/>
        </w:rPr>
        <w:footnoteReference w:id="47"/>
      </w:r>
    </w:p>
    <w:p>
      <w:r>
        <w:t>Its application must be reciprocal. Muslims seeking freedom to enter Islam should defend freedom to leave it, criticize it, or choose another conviction without threats or violence. Historical Muslim jurisprudence and modern Muslim interpretations do not all agree on apostasy, governance, or equal citizenship. Those disagreements should be faced honestly. The position defended here is that voluntary faith and equal civic protection are essential to a credible contemporary invitation.</w:t>
      </w:r>
    </w:p>
    <w:p>
      <w:pPr>
        <w:keepNext/>
      </w:pPr>
      <w:r>
        <w:t>Peaceful coexistence also has a positive moral content:</w:t>
      </w:r>
    </w:p>
    <w:p>
      <w:pPr>
        <w:pStyle w:val="Arabic"/>
        <w:jc w:val="center"/>
        <w:bidi/>
      </w:pPr>
      <w:r>
        <w:rPr>
          <w:rFonts w:ascii="DejaVu Sans" w:hAnsi="DejaVu Sans" w:cs="DejaVu Sans"/>
          <w:sz w:val="26"/>
          <w:rtl/>
          <w:szCs w:val="26"/>
          <w:lang w:bidi="ar-SA"/>
        </w:rPr>
        <w:t>لَا يَنْهَاكُمُ اللَّهُ عَنِ الَّذِينَ لَمْ يُقَاتِلُوكُمْ فِي الدِّينِ وَلَمْ يُخْرِجُوكُمْ مِنْ دِيَارِكُمْ أَنْ تَبَرُّوهُمْ وَتُقْسِطُوا إِلَيْهِمْ ۚ إِنَّ اللَّهَ يُحِبُّ الْمُقْسِطِينَ</w:t>
      </w:r>
    </w:p>
    <w:p>
      <w:pPr>
        <w:pStyle w:val="Translation"/>
      </w:pPr>
      <w:r>
        <w:t>God does not forbid you to show goodness and act justly toward those who have neither fought you because of religion nor expelled you from your homes. God loves those who act justly. — Quran 60:8.</w:t>
      </w:r>
      <w:r>
        <w:rPr>
          <w:vertAlign w:val="superscript"/>
        </w:rPr>
        <w:footnoteReference w:id="48"/>
      </w:r>
    </w:p>
    <w:p>
      <w:r>
        <w:t>Shah’s Abrahamic Covenant of Coexistence treats interfaith relations as active engagement rather than mere permission to live separately. Applied locally, this can mean Christians, Muslims, Jews, and secular humanists cooperating over food insecurity, loneliness, environmental care, and support for refugees. Such cooperation need not dissolve their disagreements about God. It gives those disagreements a humane setting.</w:t>
      </w:r>
      <w:r>
        <w:rPr>
          <w:vertAlign w:val="superscript"/>
        </w:rPr>
        <w:footnoteReference w:id="49"/>
      </w:r>
    </w:p>
    <w:p>
      <w:r>
        <w:t>Nor should a commitment to divine truth turn into contempt for other believers. Shah’s commentary on Quran 2:113 criticizes the habit of denying that another scriptural community possesses anything of religious worth. Its warning applies to Muslim triumphalism as much as to the communities named in the verse.</w:t>
      </w:r>
      <w:r>
        <w:rPr>
          <w:vertAlign w:val="superscript"/>
        </w:rPr>
        <w:footnoteReference w:id="50"/>
      </w:r>
    </w:p>
    <w:p>
      <w:pPr>
        <w:pStyle w:val="Arabic"/>
        <w:jc w:val="center"/>
        <w:bidi/>
      </w:pPr>
      <w:r>
        <w:rPr>
          <w:rFonts w:ascii="DejaVu Sans" w:hAnsi="DejaVu Sans" w:cs="DejaVu Sans"/>
          <w:sz w:val="26"/>
          <w:rtl/>
          <w:szCs w:val="26"/>
          <w:lang w:bidi="ar-SA"/>
        </w:rPr>
        <w:t>وَقَالَتِ الْيَهُودُ لَيْسَتِ النَّصَارَىٰ عَلَىٰ شَيْءٍ وَقَالَتِ النَّصَارَىٰ لَيْسَتِ الْيَهُودُ عَلَىٰ شَيْءٍ وَهُمْ يَتْلُونَ الْكِتَابَ ۗ كَذَٰلِكَ قَالَ الَّذِينَ لَا يَعْلَمُونَ مِثْلَ قَوْلِهِمْ ۚ فَاللَّهُ يَحْكُمُ بَيْنَهُمْ يَوْمَ الْقِيَامَةِ فِيمَا كَانُوا فِيهِ يَخْتَلِفُونَ</w:t>
      </w:r>
    </w:p>
    <w:p>
      <w:pPr>
        <w:pStyle w:val="Translation"/>
      </w:pPr>
      <w:r>
        <w:t>The Jews say, “The Christians have nothing to stand on,” and the Christians say, “The Jews have nothing to stand on,” although they recite the Scripture. Those without knowledge have spoken similarly. God will judge between them on the Day of Resurrection concerning their disagreements. — Quran 2:113.</w:t>
      </w:r>
      <w:r>
        <w:rPr>
          <w:vertAlign w:val="superscript"/>
        </w:rPr>
        <w:footnoteReference w:id="51"/>
      </w:r>
    </w:p>
    <w:p>
      <w:pPr>
        <w:keepNext/>
      </w:pPr>
      <w:r>
        <w:t>The Quran also gives a striking promise concerning faith and righteousness:</w:t>
      </w:r>
    </w:p>
    <w:p>
      <w:pPr>
        <w:pStyle w:val="Arabic"/>
        <w:jc w:val="center"/>
        <w:bidi/>
      </w:pPr>
      <w:r>
        <w:rPr>
          <w:rFonts w:ascii="DejaVu Sans" w:hAnsi="DejaVu Sans" w:cs="DejaVu Sans"/>
          <w:sz w:val="26"/>
          <w:rtl/>
          <w:szCs w:val="26"/>
          <w:lang w:bidi="ar-SA"/>
        </w:rPr>
        <w:t>إِنَّ الَّذِينَ آمَنُوا وَالَّذِينَ هَادُوا وَالنَّصَارَىٰ وَالصَّابِئِينَ مَنْ آمَنَ بِاللَّهِ وَالْيَوْمِ الْآخِرِ وَعَمِلَ صَالِحًا فَلَهُمْ أَجْرُهُمْ عِنْدَ رَبِّهِمْ وَلَا خَوْفٌ عَلَيْهِمْ وَلَا هُمْ يَحْزَنُونَ</w:t>
      </w:r>
    </w:p>
    <w:p>
      <w:pPr>
        <w:pStyle w:val="Translation"/>
      </w:pPr>
      <w:r>
        <w:t>Those who believe, the Jews, the Christians, and the Sabians—whoever believes in God and the Last Day and acts righteously—have their reward with their Lord. They need not fear, nor shall they grieve. — Quran 2:62.</w:t>
      </w:r>
      <w:r>
        <w:rPr>
          <w:vertAlign w:val="superscript"/>
        </w:rPr>
        <w:footnoteReference w:id="52"/>
      </w:r>
    </w:p>
    <w:p>
      <w:r>
        <w:t>Muslim commentators differ over how this promise applies across historical periods and how it relates to other passages about accepting messengers. It should not be presented as an uncontested declaration that all doctrines are equivalent. It does, however, demand serious reflection on the limits of communal self-congratulation. The invitation to Islam can be confident while leaving ultimate judgment of persons to God.</w:t>
      </w:r>
    </w:p>
    <w:p>
      <w:r>
        <w:t>Religious disagreement likewise cannot justify discrimination against a neighbor, antisemitism, hatred of Muslims, or violence against critics. Women’s dignity and safety, the protection of children, and the equal civil standing of people with different convictions are practical tests of any professed commitment to justice. A disagreement about moral teaching does not license harassment or unequal protection. Believers must be willing to confront failures within their own communities.</w:t>
      </w:r>
    </w:p>
    <w:p>
      <w:pPr>
        <w:pStyle w:val="Heading1"/>
      </w:pPr>
      <w:r>
        <w:t>What accepting Islam would mean</w:t>
      </w:r>
    </w:p>
    <w:p>
      <w:r>
        <w:t>Belief in one God is central to Islam, but conversion involves more than agreeing with a philosophical proposition. It includes recognition of Muhammad as God’s messenger and acceptance of the Quran as revelation. A seeker should study these claims directly: read the text in context, learn about the Prophet’s life through careful sources, and distinguish the Quran, hadith collections, historical biography, and later interpretation. Their authority and methods of evaluation are not identical.</w:t>
      </w:r>
    </w:p>
    <w:p>
      <w:pPr>
        <w:pStyle w:val="Arabic"/>
        <w:jc w:val="center"/>
        <w:bidi/>
      </w:pPr>
      <w:r>
        <w:rPr>
          <w:rFonts w:ascii="DejaVu Sans" w:hAnsi="DejaVu Sans" w:cs="DejaVu Sans"/>
          <w:sz w:val="26"/>
          <w:rtl/>
          <w:szCs w:val="26"/>
          <w:lang w:bidi="ar-SA"/>
        </w:rPr>
        <w:t>مَا كَانَ مُحَمَّدٌ أَبَا أَحَدٍ مِنْ رِجَالِكُمْ وَلَٰكِنْ رَسُولَ اللَّهِ وَخَاتَمَ النَّبِيِّينَ ۗ وَكَانَ اللَّهُ بِكُلِّ شَيْءٍ عَلِيمًا</w:t>
      </w:r>
    </w:p>
    <w:p>
      <w:pPr>
        <w:pStyle w:val="Translation"/>
      </w:pPr>
      <w:r>
        <w:t>Muhammad is not the father of any of your men, but is God’s messenger and the seal of the prophets. God has knowledge of everything. — Quran 33:40.</w:t>
      </w:r>
      <w:r>
        <w:rPr>
          <w:vertAlign w:val="superscript"/>
        </w:rPr>
        <w:footnoteReference w:id="53"/>
      </w:r>
    </w:p>
    <w:p>
      <w:r>
        <w:t>The testimony of faith expresses the two central affirmations: that no one is worthy of worship except God, and that Muhammad is His messenger. The Prophet is followed as messenger and teacher; he is not worshipped. Religious scholars may offer learning and guidance, but no scholar acquires the Creator’s infallibility by occupying an office. Muslims have substantial differences concerning religious authority, so a newcomer should be encouraged to understand those differences without being hurried into sectarian hostility.</w:t>
      </w:r>
    </w:p>
    <w:p>
      <w:r>
        <w:t>Faith takes practical shape through prayer, charitable obligation, fasting in Ramadan, and pilgrimage for those able to undertake it. These disciplines connect belief with time, resources, appetite, and community. Learning them is a process. A responsible teacher explains ordinary requirements and recognized allowances, and welcomes the beginner’s questions. Conversion should not become a demand for instant mastery of unfamiliar vocabulary or every disputed legal issue.</w:t>
      </w:r>
    </w:p>
    <w:p>
      <w:r>
        <w:t>For readers in the far North, questions about seasonal daylight and worship are especially understandable. Communities and scholars have developed different approaches to unusual prayer and fasting conditions. The practical starting point is qualified local guidance with clear reasoning and appropriate attention to health and circumstance. An introductory invitation should not pretend that one unexplained timetable resolves every location and season.</w:t>
      </w:r>
    </w:p>
    <w:p>
      <w:r>
        <w:t>One can begin before making a decision. Read the opening chapter and Sūrat al-Ikhlāṣ slowly. Compare what they say about God with one’s present convictions. Attend a mosque visit where questions are welcome; speak with women as well as men and with more than one knowledgeable Muslim. Maintain relationships with Christian and secular friends. A sound religious decision should be able to withstand careful inquiry.</w:t>
      </w:r>
    </w:p>
    <w:p>
      <w:pPr>
        <w:keepNext/>
      </w:pPr>
      <w:r>
        <w:t>The Quran describes the manner of invitation itself:</w:t>
      </w:r>
    </w:p>
    <w:p>
      <w:pPr>
        <w:pStyle w:val="Arabic"/>
        <w:jc w:val="center"/>
        <w:bidi/>
      </w:pPr>
      <w:r>
        <w:rPr>
          <w:rFonts w:ascii="DejaVu Sans" w:hAnsi="DejaVu Sans" w:cs="DejaVu Sans"/>
          <w:sz w:val="26"/>
          <w:rtl/>
          <w:szCs w:val="26"/>
          <w:lang w:bidi="ar-SA"/>
        </w:rPr>
        <w:t>ادْعُ إِلَىٰ سَبِيلِ رَبِّكَ بِالْحِكْمَةِ وَالْمَوْعِظَةِ الْحَسَنَةِ ۖ وَجَادِلْهُمْ بِالَّتِي هِيَ أَحْسَنُ ۚ إِنَّ رَبَّكَ هُوَ أَعْلَمُ بِمَنْ ضَلَّ عَنْ سَبِيلِهِ ۖ وَهُوَ أَعْلَمُ بِالْمُهْتَدِينَ</w:t>
      </w:r>
    </w:p>
    <w:p>
      <w:pPr>
        <w:pStyle w:val="Translation"/>
      </w:pPr>
      <w:r>
        <w:t>Invite to your Lord’s way with wisdom and good counsel, and reason with them in the best manner. Your Lord knows best who has strayed from His way, and He knows best those who are guided. — Quran 16:125.</w:t>
      </w:r>
      <w:r>
        <w:rPr>
          <w:vertAlign w:val="superscript"/>
        </w:rPr>
        <w:footnoteReference w:id="54"/>
      </w:r>
    </w:p>
    <w:p>
      <w:r>
        <w:t>This requires more than a pleasant tone. It requires accurate history, fair representation of another’s beliefs, patience with uncertainty, and the refusal to exploit vulnerability. It also requires answering reasonable questions about Muslim history and conduct. The freedom that permits the invitation must continue throughout the relationship.</w:t>
      </w:r>
    </w:p>
    <w:p>
      <w:pPr>
        <w:pStyle w:val="Heading1"/>
      </w:pPr>
      <w:r>
        <w:t>Thematic epilogue</w:t>
      </w:r>
    </w:p>
    <w:p>
      <w:r>
        <w:t>The religious history of Scandinavia shows a region capable of receiving ideas from beyond its shores and making them part of its own life. Its encounter with Christianity brought the story of a universal Creator into northern languages and communities. That inheritance can still nourish gratitude, moral seriousness, and an openness to revelation. For a seeker persuaded by the Quran, it can also prepare the way toward an undivided worship of God.</w:t>
      </w:r>
    </w:p>
    <w:p>
      <w:r>
        <w:t>The next spiritual step, if taken, belongs to the conscience of a person. It cannot be read from the number of mosques, the origin of a neighbor’s parents, or the fame of a convert. Aguéli’s art, Bernström’s translation, Holmboe’s witnessing, and the work of Scandinavian Muslim educators can open possibilities. The reader must still ask what is true and what a faithful life requires.</w:t>
      </w:r>
    </w:p>
    <w:p>
      <w:r>
        <w:t>The invitation offered here joins the central themes of Shah’s theological writing: one reality deserving honest inquiry, one Creator whose attributes belong together, and one human family whose differences call for acquaintance. The Quran makes that last purpose explicit:</w:t>
      </w:r>
    </w:p>
    <w:p>
      <w:pPr>
        <w:pStyle w:val="Arabic"/>
        <w:jc w:val="center"/>
        <w:bidi/>
      </w:pPr>
      <w:r>
        <w:rPr>
          <w:rFonts w:ascii="DejaVu Sans" w:hAnsi="DejaVu Sans" w:cs="DejaVu Sans"/>
          <w:sz w:val="26"/>
          <w:rtl/>
          <w:szCs w:val="26"/>
          <w:lang w:bidi="ar-SA"/>
        </w:rPr>
        <w:t>يَا أَيُّهَا النَّاسُ إِنَّا خَلَقْنَاكُمْ مِنْ ذَكَرٍ وَأُنْثَىٰ وَجَعَلْنَاكُمْ شُعُوبًا وَقَبَائِلَ لِتَعَارَفُوا ۚ إِنَّ أَكْرَمَكُمْ عِنْدَ اللَّهِ أَتْقَاكُمْ ۚ إِنَّ اللَّهَ عَلِيمٌ خَبِيرٌ</w:t>
      </w:r>
    </w:p>
    <w:p>
      <w:pPr>
        <w:pStyle w:val="Translation"/>
      </w:pPr>
      <w:r>
        <w:t>Humanity, We created you from a male and a female and made you peoples and tribes so that you may come to know one another. The most honored of you before God is the most mindful of Him. God is All-Knowing, All-Aware. — Quran 49:13.</w:t>
      </w:r>
      <w:r>
        <w:rPr>
          <w:vertAlign w:val="superscript"/>
        </w:rPr>
        <w:footnoteReference w:id="55"/>
      </w:r>
    </w:p>
    <w:p>
      <w:r>
        <w:t>To Norwegians, Danes, and Swedes who seek God, Islam offers the possibility of a direct and disciplined relationship with the One: the Creator beyond comparison, the Sustainer who never sleeps, the Merciful who receives repentance. To those who remain Christian, Jewish, secular, or otherwise committed, the same invitation must bring a promise of enduring neighborliness. Its integrity is measured partly by what happens after disagreement.</w:t>
      </w:r>
    </w:p>
    <w:p>
      <w:r>
        <w:t>May the search for God make us more truthful with evidence, more patient in conversation, and more attentive to one another’s needs. A Scandinavian Muslim life can belong fully to its homeland while directing its worship to the Lord of all worlds. The invitation is to examine that possibility freely, and, if convinced, to enter it with understanding, gratitude, and peace.</w:t>
      </w:r>
    </w:p>
    <w:p>
      <w:r>
        <w:br w:type="page"/>
      </w:r>
    </w:p>
    <w:p>
      <w:pPr>
        <w:pStyle w:val="Heading1"/>
      </w:pPr>
      <w:r>
        <w:t>Sources</w:t>
      </w:r>
    </w:p>
    <w:p>
      <w:pPr>
        <w:pStyle w:val="SourceEntry"/>
      </w:pPr>
      <w:r>
        <w:t>Source titles link to the cited material. Undated web sources were consulted on 10 September 2026. Quranic passages use Arabic text with fresh English renderings; excerpts are identified in the essay.</w:t>
      </w:r>
    </w:p>
    <w:p>
      <w:pPr>
        <w:pStyle w:val="Heading2"/>
      </w:pPr>
      <w:r>
        <w:t>Scandinavian history and contemporary society</w:t>
      </w:r>
    </w:p>
    <w:p>
      <w:pPr>
        <w:pStyle w:val="SourceEntry"/>
      </w:pPr>
      <w:r>
        <w:t xml:space="preserve">Viking Ship Museum. </w:t>
      </w:r>
      <w:hyperlink r:id="rId9">
        <w:r>
          <w:rPr>
            <w:color w:val="222222"/>
            <w:u w:val="single"/>
          </w:rPr>
          <w:t>The Norse gods and Christianity in the Viking Age</w:t>
        </w:r>
      </w:hyperlink>
      <w:r>
        <w:t>. undated.</w:t>
      </w:r>
    </w:p>
    <w:p>
      <w:pPr>
        <w:pStyle w:val="SourceEntry"/>
      </w:pPr>
      <w:r>
        <w:t xml:space="preserve">Swedish History Museum. </w:t>
      </w:r>
      <w:hyperlink r:id="rId10">
        <w:r>
          <w:rPr>
            <w:color w:val="222222"/>
            <w:u w:val="single"/>
          </w:rPr>
          <w:t>Norse religion in the Viking Age</w:t>
        </w:r>
      </w:hyperlink>
      <w:r>
        <w:t>. undated.</w:t>
      </w:r>
    </w:p>
    <w:p>
      <w:pPr>
        <w:pStyle w:val="SourceEntry"/>
      </w:pPr>
      <w:r>
        <w:t xml:space="preserve">Wikipedia contributors. </w:t>
      </w:r>
      <w:hyperlink r:id="rId11">
        <w:r>
          <w:rPr>
            <w:color w:val="222222"/>
            <w:u w:val="single"/>
          </w:rPr>
          <w:t>Vikings</w:t>
        </w:r>
      </w:hyperlink>
      <w:r>
        <w:t>. accessed 10 September 2026.</w:t>
      </w:r>
    </w:p>
    <w:p>
      <w:pPr>
        <w:pStyle w:val="SourceEntry"/>
      </w:pPr>
      <w:r>
        <w:t xml:space="preserve">Wikipedia contributors. </w:t>
      </w:r>
      <w:hyperlink r:id="rId12">
        <w:r>
          <w:rPr>
            <w:color w:val="222222"/>
            <w:u w:val="single"/>
          </w:rPr>
          <w:t>Christianization of Scandinavia</w:t>
        </w:r>
      </w:hyperlink>
      <w:r>
        <w:t>. accessed 10 September 2026.</w:t>
      </w:r>
    </w:p>
    <w:p>
      <w:pPr>
        <w:pStyle w:val="SourceEntry"/>
      </w:pPr>
      <w:r>
        <w:t xml:space="preserve">National Museum of Denmark. </w:t>
      </w:r>
      <w:hyperlink r:id="rId13">
        <w:r>
          <w:rPr>
            <w:color w:val="222222"/>
            <w:u w:val="single"/>
          </w:rPr>
          <w:t>Christianity comes to Denmark</w:t>
        </w:r>
      </w:hyperlink>
      <w:r>
        <w:t>. undated.</w:t>
      </w:r>
    </w:p>
    <w:p>
      <w:pPr>
        <w:pStyle w:val="SourceEntry"/>
      </w:pPr>
      <w:r>
        <w:t xml:space="preserve">Viking Ship Museum. </w:t>
      </w:r>
      <w:hyperlink r:id="rId14">
        <w:r>
          <w:rPr>
            <w:color w:val="222222"/>
            <w:u w:val="single"/>
          </w:rPr>
          <w:t>Barter and coinage in the Viking Age</w:t>
        </w:r>
      </w:hyperlink>
      <w:r>
        <w:t>. undated.</w:t>
      </w:r>
    </w:p>
    <w:p>
      <w:pPr>
        <w:pStyle w:val="SourceEntry"/>
      </w:pPr>
      <w:r>
        <w:t xml:space="preserve">Pew Research Center. </w:t>
      </w:r>
      <w:hyperlink r:id="rId15">
        <w:r>
          <w:rPr>
            <w:color w:val="222222"/>
            <w:u w:val="single"/>
          </w:rPr>
          <w:t>Europe’s Growing Muslim Population</w:t>
        </w:r>
      </w:hyperlink>
      <w:r>
        <w:t>. 29 November 2017; baseline mid-2016.</w:t>
      </w:r>
    </w:p>
    <w:p>
      <w:pPr>
        <w:pStyle w:val="SourceEntry"/>
      </w:pPr>
      <w:r>
        <w:t xml:space="preserve">Statistics Norway. </w:t>
      </w:r>
      <w:hyperlink r:id="rId16">
        <w:r>
          <w:rPr>
            <w:color w:val="222222"/>
            <w:u w:val="single"/>
          </w:rPr>
          <w:t>Religious communities and life stance communities</w:t>
        </w:r>
      </w:hyperlink>
      <w:r>
        <w:t>. updated 10 June 2026; figures at 1 January 2026.</w:t>
      </w:r>
    </w:p>
    <w:p>
      <w:pPr>
        <w:pStyle w:val="SourceEntry"/>
      </w:pPr>
      <w:r>
        <w:t xml:space="preserve">Pew Research Center. </w:t>
      </w:r>
      <w:hyperlink r:id="rId17">
        <w:r>
          <w:rPr>
            <w:color w:val="222222"/>
            <w:u w:val="single"/>
          </w:rPr>
          <w:t>Being Christian in Western Europe</w:t>
        </w:r>
      </w:hyperlink>
      <w:r>
        <w:t>. 29 May 2018; fieldwork April to August 2017.</w:t>
      </w:r>
    </w:p>
    <w:p>
      <w:pPr>
        <w:pStyle w:val="SourceEntry"/>
      </w:pPr>
      <w:r>
        <w:t xml:space="preserve">European Court of Human Rights and Council of Europe. </w:t>
      </w:r>
      <w:hyperlink r:id="rId18">
        <w:r>
          <w:rPr>
            <w:color w:val="222222"/>
            <w:u w:val="single"/>
          </w:rPr>
          <w:t>European Convention on Human Rights Article 9</w:t>
        </w:r>
      </w:hyperlink>
      <w:r>
        <w:t>. current consolidated English text, accessed 10 September 2026.</w:t>
      </w:r>
    </w:p>
    <w:p>
      <w:pPr>
        <w:pStyle w:val="Heading2"/>
      </w:pPr>
      <w:r>
        <w:t>Biographies and studies of conversion</w:t>
      </w:r>
    </w:p>
    <w:p>
      <w:pPr>
        <w:pStyle w:val="SourceEntry"/>
      </w:pPr>
      <w:r>
        <w:t xml:space="preserve">Moderna Museet; curator John Peter Nilsson. </w:t>
      </w:r>
      <w:hyperlink r:id="rId19">
        <w:r>
          <w:rPr>
            <w:color w:val="222222"/>
            <w:u w:val="single"/>
          </w:rPr>
          <w:t>From the collection: Ivan Aguéli, Bill Viola</w:t>
        </w:r>
      </w:hyperlink>
      <w:r>
        <w:t>. exhibition page, accessed 10 September 2026.</w:t>
      </w:r>
    </w:p>
    <w:p>
      <w:pPr>
        <w:pStyle w:val="SourceEntry"/>
      </w:pPr>
      <w:r>
        <w:t xml:space="preserve">Wikipedia contributors. </w:t>
      </w:r>
      <w:hyperlink r:id="rId20">
        <w:r>
          <w:rPr>
            <w:color w:val="222222"/>
            <w:u w:val="single"/>
          </w:rPr>
          <w:t>Ivan Aguéli</w:t>
        </w:r>
      </w:hyperlink>
      <w:r>
        <w:t>. accessed 10 September 2026.</w:t>
      </w:r>
    </w:p>
    <w:p>
      <w:pPr>
        <w:pStyle w:val="SourceEntry"/>
      </w:pPr>
      <w:r>
        <w:t xml:space="preserve">Wikipedia contributors. </w:t>
      </w:r>
      <w:hyperlink r:id="rId21">
        <w:r>
          <w:rPr>
            <w:color w:val="222222"/>
            <w:u w:val="single"/>
          </w:rPr>
          <w:t>Mohammed Knut Bernström</w:t>
        </w:r>
      </w:hyperlink>
      <w:r>
        <w:t>. accessed 10 September 2026; biographical and publication chronology.</w:t>
      </w:r>
    </w:p>
    <w:p>
      <w:pPr>
        <w:pStyle w:val="SourceEntry"/>
      </w:pPr>
      <w:r>
        <w:t xml:space="preserve">Wikipedia contributors. </w:t>
      </w:r>
      <w:hyperlink r:id="rId22">
        <w:r>
          <w:rPr>
            <w:color w:val="222222"/>
            <w:u w:val="single"/>
          </w:rPr>
          <w:t>Tage Lindbom</w:t>
        </w:r>
      </w:hyperlink>
      <w:r>
        <w:t>. accessed 10 September 2026.</w:t>
      </w:r>
    </w:p>
    <w:p>
      <w:pPr>
        <w:pStyle w:val="SourceEntry"/>
      </w:pPr>
      <w:r>
        <w:t xml:space="preserve">World Wisdom. </w:t>
      </w:r>
      <w:hyperlink r:id="rId23">
        <w:r>
          <w:rPr>
            <w:color w:val="222222"/>
            <w:u w:val="single"/>
          </w:rPr>
          <w:t>Tage Lindbom</w:t>
        </w:r>
      </w:hyperlink>
      <w:r>
        <w:t>. publisher biography, undated.</w:t>
      </w:r>
    </w:p>
    <w:p>
      <w:pPr>
        <w:pStyle w:val="SourceEntry"/>
      </w:pPr>
      <w:r>
        <w:t xml:space="preserve">Wikipedia contributors. </w:t>
      </w:r>
      <w:hyperlink r:id="rId24">
        <w:r>
          <w:rPr>
            <w:color w:val="222222"/>
            <w:u w:val="single"/>
          </w:rPr>
          <w:t>Kurt Almqvist</w:t>
        </w:r>
      </w:hyperlink>
      <w:r>
        <w:t>. accessed 10 September 2026.</w:t>
      </w:r>
    </w:p>
    <w:p>
      <w:pPr>
        <w:pStyle w:val="SourceEntry"/>
      </w:pPr>
      <w:r>
        <w:t xml:space="preserve">Jesper Kurt-Nielsen, National Museum of Denmark. </w:t>
      </w:r>
      <w:hyperlink r:id="rId25">
        <w:r>
          <w:rPr>
            <w:color w:val="222222"/>
            <w:u w:val="single"/>
          </w:rPr>
          <w:t>Knud Holmboe</w:t>
        </w:r>
      </w:hyperlink>
      <w:r>
        <w:t>. Lex, updated 3 October 2024.</w:t>
      </w:r>
    </w:p>
    <w:p>
      <w:pPr>
        <w:pStyle w:val="SourceEntry"/>
      </w:pPr>
      <w:r>
        <w:t xml:space="preserve">Wikipedia contributors. </w:t>
      </w:r>
      <w:hyperlink r:id="rId26">
        <w:r>
          <w:rPr>
            <w:color w:val="222222"/>
            <w:u w:val="single"/>
          </w:rPr>
          <w:t>Abdul Wahid Pedersen</w:t>
        </w:r>
      </w:hyperlink>
      <w:r>
        <w:t>. accessed 10 September 2026.</w:t>
      </w:r>
    </w:p>
    <w:p>
      <w:pPr>
        <w:pStyle w:val="SourceEntry"/>
      </w:pPr>
      <w:r>
        <w:t xml:space="preserve">Aminah Tønnsen; publisher author biography. </w:t>
      </w:r>
      <w:hyperlink r:id="rId27">
        <w:r>
          <w:rPr>
            <w:color w:val="222222"/>
            <w:u w:val="single"/>
          </w:rPr>
          <w:t>Tror muslimer at jorden er flad?: 100 spørgsmål og svar om islam</w:t>
        </w:r>
      </w:hyperlink>
      <w:r>
        <w:t>. Google Play Books listing, accessed 10 September 2026.</w:t>
      </w:r>
    </w:p>
    <w:p>
      <w:pPr>
        <w:pStyle w:val="SourceEntry"/>
      </w:pPr>
      <w:r>
        <w:t xml:space="preserve">Wikipedia contributors. </w:t>
      </w:r>
      <w:hyperlink r:id="rId28">
        <w:r>
          <w:rPr>
            <w:color w:val="222222"/>
            <w:u w:val="single"/>
          </w:rPr>
          <w:t>Lena Larsen</w:t>
        </w:r>
      </w:hyperlink>
      <w:r>
        <w:t>. Norwegian biography, accessed 10 September 2026.</w:t>
      </w:r>
    </w:p>
    <w:p>
      <w:pPr>
        <w:pStyle w:val="SourceEntry"/>
      </w:pPr>
      <w:r>
        <w:t xml:space="preserve">Anne Sofie Roald. </w:t>
      </w:r>
      <w:hyperlink r:id="rId29">
        <w:r>
          <w:rPr>
            <w:color w:val="222222"/>
            <w:u w:val="single"/>
          </w:rPr>
          <w:t>New Muslims in the European Context: The Experience of Scandinavian Converts</w:t>
        </w:r>
      </w:hyperlink>
      <w:r>
        <w:t>. Brill, 2004; ISBN 9789004136793; DOI 10.1163/9789047402947.</w:t>
      </w:r>
    </w:p>
    <w:p>
      <w:pPr>
        <w:pStyle w:val="Heading2"/>
      </w:pPr>
      <w:r>
        <w:t>Writings and collected essays from Zia H Shah</w:t>
      </w:r>
    </w:p>
    <w:p>
      <w:pPr>
        <w:pStyle w:val="SourceEntry"/>
      </w:pPr>
      <w:r>
        <w:t xml:space="preserve">Zia H. Shah, presented essay. </w:t>
      </w:r>
      <w:hyperlink r:id="rId30">
        <w:r>
          <w:rPr>
            <w:color w:val="222222"/>
            <w:u w:val="single"/>
          </w:rPr>
          <w:t>The Common Word: A Historical and Theological Analysis of Quran 3:64-68 and the Abrahamic Legacy</w:t>
        </w:r>
      </w:hyperlink>
      <w:r>
        <w:t>. 15 February 2026.</w:t>
      </w:r>
    </w:p>
    <w:p>
      <w:pPr>
        <w:pStyle w:val="SourceEntry"/>
      </w:pPr>
      <w:r>
        <w:t xml:space="preserve">Zia H. Shah, written and collected essay. </w:t>
      </w:r>
      <w:hyperlink r:id="rId31">
        <w:r>
          <w:rPr>
            <w:color w:val="222222"/>
            <w:u w:val="single"/>
          </w:rPr>
          <w:t>Commentary on Surah al-Ikhlas (Chapter 112) – The Purity of Faith</w:t>
        </w:r>
      </w:hyperlink>
      <w:r>
        <w:t>. 1 April 2025.</w:t>
      </w:r>
    </w:p>
    <w:p>
      <w:pPr>
        <w:pStyle w:val="SourceEntry"/>
      </w:pPr>
      <w:r>
        <w:t xml:space="preserve">Zia H. Shah, presented essay. </w:t>
      </w:r>
      <w:hyperlink r:id="rId32">
        <w:r>
          <w:rPr>
            <w:color w:val="222222"/>
            <w:u w:val="single"/>
          </w:rPr>
          <w:t>The Rational Sanctuary: Addressing the Eucharistic Crisis and the Invitation of Islamic Monotheism</w:t>
        </w:r>
      </w:hyperlink>
      <w:r>
        <w:t>. 1 December 2025.</w:t>
      </w:r>
    </w:p>
    <w:p>
      <w:pPr>
        <w:pStyle w:val="SourceEntry"/>
      </w:pPr>
      <w:r>
        <w:t xml:space="preserve">Zia H. Shah, written and collected essay. </w:t>
      </w:r>
      <w:hyperlink r:id="rId33">
        <w:r>
          <w:rPr>
            <w:color w:val="222222"/>
            <w:u w:val="single"/>
          </w:rPr>
          <w:t>God as the Metaphysically Necessary Being: A Contingent Universe in Islamic and Christian Perspective</w:t>
        </w:r>
      </w:hyperlink>
      <w:r>
        <w:t>. 29 June 2025.</w:t>
      </w:r>
    </w:p>
    <w:p>
      <w:pPr>
        <w:pStyle w:val="SourceEntry"/>
      </w:pPr>
      <w:r>
        <w:t xml:space="preserve">The Glorious Quran and Science, presented for Zia H. Shah. </w:t>
      </w:r>
      <w:hyperlink r:id="rId34">
        <w:r>
          <w:rPr>
            <w:color w:val="222222"/>
            <w:u w:val="single"/>
          </w:rPr>
          <w:t>Research Dossier: One Creator, Unified Creation — Q 21:22, Q 31:10–11, Q 13:16 Against Polytheism and Trinitarian Christology</w:t>
        </w:r>
      </w:hyperlink>
      <w:r>
        <w:t>. 25 August 2026; Quran 21:22 and its theological interpretation.</w:t>
      </w:r>
    </w:p>
    <w:p>
      <w:pPr>
        <w:pStyle w:val="SourceEntry"/>
      </w:pPr>
      <w:r>
        <w:t xml:space="preserve">The Glorious Quran and Science. </w:t>
      </w:r>
      <w:hyperlink r:id="rId35">
        <w:r>
          <w:rPr>
            <w:color w:val="222222"/>
            <w:u w:val="single"/>
          </w:rPr>
          <w:t>Wonder Without the Final Step: Einstein, Hawking, and the Qur’anic Movement from Cosmic Awe to the Personal God</w:t>
        </w:r>
      </w:hyperlink>
      <w:r>
        <w:t>. 23 August 2026.</w:t>
      </w:r>
    </w:p>
    <w:p>
      <w:pPr>
        <w:pStyle w:val="SourceEntry"/>
      </w:pPr>
      <w:r>
        <w:t xml:space="preserve">Zia H. Shah, essay with assistance from Claude. </w:t>
      </w:r>
      <w:hyperlink r:id="rId36">
        <w:r>
          <w:rPr>
            <w:color w:val="222222"/>
            <w:u w:val="single"/>
          </w:rPr>
          <w:t>The One and the Ninety-Nine: How the Names of Allah Interpret One Another</w:t>
        </w:r>
      </w:hyperlink>
      <w:r>
        <w:t>. 11 July 2026.</w:t>
      </w:r>
    </w:p>
    <w:p>
      <w:pPr>
        <w:pStyle w:val="SourceEntry"/>
      </w:pPr>
      <w:r>
        <w:t xml:space="preserve">The Glorious Quran and Science, presented for Zia H. Shah. </w:t>
      </w:r>
      <w:hyperlink r:id="rId37">
        <w:r>
          <w:rPr>
            <w:color w:val="222222"/>
            <w:u w:val="single"/>
          </w:rPr>
          <w:t>The Ever-Present Sustainer</w:t>
        </w:r>
      </w:hyperlink>
      <w:r>
        <w:t>. 26 August 2026.</w:t>
      </w:r>
    </w:p>
    <w:p>
      <w:pPr>
        <w:pStyle w:val="SourceEntry"/>
      </w:pPr>
      <w:r>
        <w:t xml:space="preserve">The Glorious Quran and Science. </w:t>
      </w:r>
      <w:hyperlink r:id="rId38">
        <w:r>
          <w:rPr>
            <w:color w:val="222222"/>
            <w:u w:val="single"/>
          </w:rPr>
          <w:t>The One Master and the Many: Tawhid as the Integration of Belief, Knowledge, and Self — A Commentary on Q 39:27–29</w:t>
        </w:r>
      </w:hyperlink>
      <w:r>
        <w:t>. 1 July 2026.</w:t>
      </w:r>
    </w:p>
    <w:p>
      <w:pPr>
        <w:pStyle w:val="SourceEntry"/>
      </w:pPr>
      <w:r>
        <w:t xml:space="preserve">Zia H. Shah, presented essay. </w:t>
      </w:r>
      <w:hyperlink r:id="rId39">
        <w:r>
          <w:rPr>
            <w:color w:val="222222"/>
            <w:u w:val="single"/>
          </w:rPr>
          <w:t>The Existential Iconoclast: A Biography of Søren Kierkegaard and a Comprehensive Critique of Christendom</w:t>
        </w:r>
      </w:hyperlink>
      <w:r>
        <w:t>. 23 February 2026.</w:t>
      </w:r>
    </w:p>
    <w:p>
      <w:pPr>
        <w:pStyle w:val="SourceEntry"/>
      </w:pPr>
      <w:r>
        <w:t xml:space="preserve">Zia H. Shah, presented essay. </w:t>
      </w:r>
      <w:hyperlink r:id="rId40">
        <w:r>
          <w:rPr>
            <w:color w:val="222222"/>
            <w:u w:val="single"/>
          </w:rPr>
          <w:t>The Abrahamic Covenant of Coexistence: A Theological, Historical, and Sociological Case for Interfaith Tolerance in the Quran</w:t>
        </w:r>
      </w:hyperlink>
      <w:r>
        <w:t>. 22 January 2026.</w:t>
      </w:r>
    </w:p>
    <w:p>
      <w:pPr>
        <w:pStyle w:val="SourceEntry"/>
      </w:pPr>
      <w:r>
        <w:t xml:space="preserve">The Glorious Quran and Science. </w:t>
      </w:r>
      <w:hyperlink r:id="rId41">
        <w:r>
          <w:rPr>
            <w:color w:val="222222"/>
            <w:u w:val="single"/>
          </w:rPr>
          <w:t>“Though They Both Recite the Scripture”: A Historical, Philosophical, and Theological Commentary on Qur’an 2:113</w:t>
        </w:r>
      </w:hyperlink>
      <w:r>
        <w:t>. 30 August 2026.</w:t>
      </w:r>
    </w:p>
    <w:p>
      <w:pPr>
        <w:pStyle w:val="Heading2"/>
      </w:pPr>
      <w:r>
        <w:t>Scripture and Christian doctrinal sources</w:t>
      </w:r>
    </w:p>
    <w:p>
      <w:pPr>
        <w:pStyle w:val="SourceEntry"/>
      </w:pPr>
      <w:r>
        <w:t xml:space="preserve">Augsburg Confession. </w:t>
      </w:r>
      <w:hyperlink r:id="rId42">
        <w:r>
          <w:rPr>
            <w:color w:val="222222"/>
            <w:u w:val="single"/>
          </w:rPr>
          <w:t>Article I Of God</w:t>
        </w:r>
      </w:hyperlink>
      <w:r>
        <w:t>. 1530; English text at BookOfConcord.org.</w:t>
      </w:r>
    </w:p>
    <w:p>
      <w:pPr>
        <w:pStyle w:val="SourceEntry"/>
      </w:pPr>
      <w:r>
        <w:t xml:space="preserve">Quranic passages: </w:t>
      </w:r>
      <w:hyperlink r:id="rId43">
        <w:r>
          <w:rPr>
            <w:color w:val="222222"/>
            <w:u w:val="single"/>
          </w:rPr>
          <w:t>3:64</w:t>
        </w:r>
      </w:hyperlink>
      <w:r>
        <w:t xml:space="preserve">; </w:t>
      </w:r>
      <w:hyperlink r:id="rId44">
        <w:r>
          <w:rPr>
            <w:color w:val="222222"/>
            <w:u w:val="single"/>
          </w:rPr>
          <w:t>112:1–4</w:t>
        </w:r>
      </w:hyperlink>
      <w:r>
        <w:t xml:space="preserve">; </w:t>
      </w:r>
      <w:hyperlink r:id="rId45">
        <w:r>
          <w:rPr>
            <w:color w:val="222222"/>
            <w:u w:val="single"/>
          </w:rPr>
          <w:t>19:30</w:t>
        </w:r>
      </w:hyperlink>
      <w:r>
        <w:t xml:space="preserve">; </w:t>
      </w:r>
      <w:hyperlink r:id="rId46">
        <w:r>
          <w:rPr>
            <w:color w:val="222222"/>
            <w:u w:val="single"/>
          </w:rPr>
          <w:t>4:171</w:t>
        </w:r>
      </w:hyperlink>
      <w:r>
        <w:t xml:space="preserve">; </w:t>
      </w:r>
      <w:hyperlink r:id="rId47">
        <w:r>
          <w:rPr>
            <w:color w:val="222222"/>
            <w:u w:val="single"/>
          </w:rPr>
          <w:t>3:67</w:t>
        </w:r>
      </w:hyperlink>
      <w:r>
        <w:t xml:space="preserve">; </w:t>
      </w:r>
      <w:hyperlink r:id="rId48">
        <w:r>
          <w:rPr>
            <w:color w:val="222222"/>
            <w:u w:val="single"/>
          </w:rPr>
          <w:t>59:22–24</w:t>
        </w:r>
      </w:hyperlink>
      <w:r>
        <w:t xml:space="preserve">; </w:t>
      </w:r>
      <w:hyperlink r:id="rId49">
        <w:r>
          <w:rPr>
            <w:color w:val="222222"/>
            <w:u w:val="single"/>
          </w:rPr>
          <w:t>2:255</w:t>
        </w:r>
      </w:hyperlink>
      <w:r>
        <w:t xml:space="preserve">; </w:t>
      </w:r>
      <w:hyperlink r:id="rId50">
        <w:r>
          <w:rPr>
            <w:color w:val="222222"/>
            <w:u w:val="single"/>
          </w:rPr>
          <w:t>42:11</w:t>
        </w:r>
      </w:hyperlink>
      <w:r>
        <w:t xml:space="preserve">; </w:t>
      </w:r>
      <w:hyperlink r:id="rId51">
        <w:r>
          <w:rPr>
            <w:color w:val="222222"/>
            <w:u w:val="single"/>
          </w:rPr>
          <w:t>6:164</w:t>
        </w:r>
      </w:hyperlink>
      <w:r>
        <w:t xml:space="preserve">; </w:t>
      </w:r>
      <w:hyperlink r:id="rId52">
        <w:r>
          <w:rPr>
            <w:color w:val="222222"/>
            <w:u w:val="single"/>
          </w:rPr>
          <w:t>39:53</w:t>
        </w:r>
      </w:hyperlink>
      <w:r>
        <w:t xml:space="preserve">; </w:t>
      </w:r>
      <w:hyperlink r:id="rId53">
        <w:r>
          <w:rPr>
            <w:color w:val="222222"/>
            <w:u w:val="single"/>
          </w:rPr>
          <w:t>39:29</w:t>
        </w:r>
      </w:hyperlink>
      <w:r>
        <w:t xml:space="preserve">; </w:t>
      </w:r>
      <w:hyperlink r:id="rId54">
        <w:r>
          <w:rPr>
            <w:color w:val="222222"/>
            <w:u w:val="single"/>
          </w:rPr>
          <w:t>2:256</w:t>
        </w:r>
      </w:hyperlink>
      <w:r>
        <w:t xml:space="preserve">; </w:t>
      </w:r>
      <w:hyperlink r:id="rId55">
        <w:r>
          <w:rPr>
            <w:color w:val="222222"/>
            <w:u w:val="single"/>
          </w:rPr>
          <w:t>60:8</w:t>
        </w:r>
      </w:hyperlink>
      <w:r>
        <w:t xml:space="preserve">; </w:t>
      </w:r>
      <w:hyperlink r:id="rId56">
        <w:r>
          <w:rPr>
            <w:color w:val="222222"/>
            <w:u w:val="single"/>
          </w:rPr>
          <w:t>2:62</w:t>
        </w:r>
      </w:hyperlink>
      <w:r>
        <w:t xml:space="preserve">; </w:t>
      </w:r>
      <w:hyperlink r:id="rId57">
        <w:r>
          <w:rPr>
            <w:color w:val="222222"/>
            <w:u w:val="single"/>
          </w:rPr>
          <w:t>33:40</w:t>
        </w:r>
      </w:hyperlink>
      <w:r>
        <w:t xml:space="preserve">; </w:t>
      </w:r>
      <w:hyperlink r:id="rId58">
        <w:r>
          <w:rPr>
            <w:color w:val="222222"/>
            <w:u w:val="single"/>
          </w:rPr>
          <w:t>16:125</w:t>
        </w:r>
      </w:hyperlink>
      <w:r>
        <w:t xml:space="preserve">; </w:t>
      </w:r>
      <w:hyperlink r:id="rId59">
        <w:r>
          <w:rPr>
            <w:color w:val="222222"/>
            <w:u w:val="single"/>
          </w:rPr>
          <w:t>49:13</w:t>
        </w:r>
      </w:hyperlink>
      <w:r>
        <w:t>. Quran 21:22 and 2:113 are also reproduced in the cited essays on divine unity and scriptural disagreement.</w:t>
      </w:r>
    </w:p>
    <w:p>
      <w:pPr>
        <w:pStyle w:val="Heading2"/>
      </w:pPr>
      <w:r>
        <w:t>The four thematic archives</w:t>
      </w:r>
    </w:p>
    <w:p>
      <w:pPr>
        <w:pStyle w:val="SourceEntry"/>
      </w:pPr>
      <w:hyperlink r:id="rId60">
        <w:r>
          <w:rPr>
            <w:color w:val="222222"/>
            <w:u w:val="single"/>
          </w:rPr>
          <w:t>The Glorious Quran and Science — Christianity</w:t>
        </w:r>
      </w:hyperlink>
    </w:p>
    <w:p>
      <w:pPr>
        <w:pStyle w:val="SourceEntry"/>
      </w:pPr>
      <w:hyperlink r:id="rId61">
        <w:r>
          <w:rPr>
            <w:color w:val="222222"/>
            <w:u w:val="single"/>
          </w:rPr>
          <w:t>The Glorious Quran and Science — Monotheism</w:t>
        </w:r>
      </w:hyperlink>
    </w:p>
    <w:p>
      <w:pPr>
        <w:pStyle w:val="SourceEntry"/>
      </w:pPr>
      <w:hyperlink r:id="rId62">
        <w:r>
          <w:rPr>
            <w:color w:val="222222"/>
            <w:u w:val="single"/>
          </w:rPr>
          <w:t>The Glorious Quran and Science — Abrahamic faiths</w:t>
        </w:r>
      </w:hyperlink>
    </w:p>
    <w:p>
      <w:pPr>
        <w:pStyle w:val="SourceEntry"/>
      </w:pPr>
      <w:hyperlink r:id="rId63">
        <w:r>
          <w:rPr>
            <w:color w:val="222222"/>
            <w:u w:val="single"/>
          </w:rPr>
          <w:t>The Glorious Quran and Science — Attributes of God</w:t>
        </w:r>
      </w:hyperlink>
    </w:p>
    <w:sectPr w:rsidR="00FC693F" w:rsidRPr="0006063C" w:rsidSect="00034616">
      <w:pgSz w:w="12240" w:h="15840"/>
      <w:pgMar w:top="1037" w:right="1123" w:bottom="1037"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r="http://schemas.openxmlformats.org/officeDocument/2006/relationships">
  <w:footnote w:id="-1" w:type="separator">
    <w:p>
      <w:r>
        <w:separator/>
      </w:r>
    </w:p>
  </w:footnote>
  <w:footnote w:id="0" w:type="continuationSeparator">
    <w:p>
      <w:r>
        <w:continuationSeparator/>
      </w:r>
    </w:p>
  </w:footnote>
  <w:footnote w:id="1">
    <w:p>
      <w:pPr>
        <w:pStyle w:val="FootnoteText"/>
      </w:pPr>
      <w:r>
        <w:rPr>
          <w:vertAlign w:val="superscript"/>
        </w:rPr>
        <w:footnoteRef/>
      </w:r>
      <w:r>
        <w:t xml:space="preserve"> </w:t>
      </w:r>
      <w:hyperlink r:id="rId1">
        <w:r>
          <w:rPr>
            <w:color w:val="222222"/>
            <w:u w:val="single"/>
          </w:rPr>
          <w:t xml:space="preserve">Quran 3:64</w:t>
        </w:r>
      </w:hyperlink>
    </w:p>
  </w:footnote>
  <w:footnote w:id="2">
    <w:p>
      <w:pPr>
        <w:pStyle w:val="FootnoteText"/>
      </w:pPr>
      <w:r>
        <w:rPr>
          <w:vertAlign w:val="superscript"/>
        </w:rPr>
        <w:footnoteRef/>
      </w:r>
      <w:r>
        <w:t xml:space="preserve"> </w:t>
      </w:r>
      <w:r>
        <w:t xml:space="preserve">The Glorious Quran and Science, </w:t>
      </w:r>
      <w:hyperlink r:id="rId2">
        <w:r>
          <w:rPr>
            <w:color w:val="222222"/>
            <w:u w:val="single"/>
          </w:rPr>
          <w:t xml:space="preserve">The Common Word: A Historical and Theological Analysis of Quran 3:64-68 and the Abrahamic Legacy</w:t>
        </w:r>
      </w:hyperlink>
      <w:r>
        <w:t xml:space="preserve"> (15 February 2026).</w:t>
      </w:r>
    </w:p>
  </w:footnote>
  <w:footnote w:id="3">
    <w:p>
      <w:pPr>
        <w:pStyle w:val="FootnoteText"/>
      </w:pPr>
      <w:r>
        <w:rPr>
          <w:vertAlign w:val="superscript"/>
        </w:rPr>
        <w:footnoteRef/>
      </w:r>
      <w:r>
        <w:t xml:space="preserve"> </w:t>
      </w:r>
      <w:r>
        <w:t xml:space="preserve">Viking Ship Museum, </w:t>
      </w:r>
      <w:hyperlink r:id="rId3">
        <w:r>
          <w:rPr>
            <w:color w:val="222222"/>
            <w:u w:val="single"/>
          </w:rPr>
          <w:t xml:space="preserve">The Norse gods and Christianity in the Viking Age</w:t>
        </w:r>
      </w:hyperlink>
      <w:r>
        <w:t xml:space="preserve"> (undated).</w:t>
      </w:r>
    </w:p>
  </w:footnote>
  <w:footnote w:id="4">
    <w:p>
      <w:pPr>
        <w:pStyle w:val="FootnoteText"/>
      </w:pPr>
      <w:r>
        <w:rPr>
          <w:vertAlign w:val="superscript"/>
        </w:rPr>
        <w:footnoteRef/>
      </w:r>
      <w:r>
        <w:t xml:space="preserve"> </w:t>
      </w:r>
      <w:r>
        <w:t xml:space="preserve">Swedish History Museum, </w:t>
      </w:r>
      <w:hyperlink r:id="rId4">
        <w:r>
          <w:rPr>
            <w:color w:val="222222"/>
            <w:u w:val="single"/>
          </w:rPr>
          <w:t xml:space="preserve">Norse religion in the Viking Age</w:t>
        </w:r>
      </w:hyperlink>
      <w:r>
        <w:t xml:space="preserve"> (undated).</w:t>
      </w:r>
    </w:p>
  </w:footnote>
  <w:footnote w:id="5">
    <w:p>
      <w:pPr>
        <w:pStyle w:val="FootnoteText"/>
      </w:pPr>
      <w:r>
        <w:rPr>
          <w:vertAlign w:val="superscript"/>
        </w:rPr>
        <w:footnoteRef/>
      </w:r>
      <w:r>
        <w:t xml:space="preserve"> </w:t>
      </w:r>
      <w:r>
        <w:t xml:space="preserve">Wikipedia contributors, </w:t>
      </w:r>
      <w:hyperlink r:id="rId5">
        <w:r>
          <w:rPr>
            <w:color w:val="222222"/>
            <w:u w:val="single"/>
          </w:rPr>
          <w:t xml:space="preserve">Vikings</w:t>
        </w:r>
      </w:hyperlink>
      <w:r>
        <w:t xml:space="preserve"> (accessed 10 September 2026).</w:t>
      </w:r>
    </w:p>
  </w:footnote>
  <w:footnote w:id="6">
    <w:p>
      <w:pPr>
        <w:pStyle w:val="FootnoteText"/>
      </w:pPr>
      <w:r>
        <w:rPr>
          <w:vertAlign w:val="superscript"/>
        </w:rPr>
        <w:footnoteRef/>
      </w:r>
      <w:r>
        <w:t xml:space="preserve"> </w:t>
      </w:r>
      <w:r>
        <w:t xml:space="preserve">Wikipedia contributors, </w:t>
      </w:r>
      <w:hyperlink r:id="rId6">
        <w:r>
          <w:rPr>
            <w:color w:val="222222"/>
            <w:u w:val="single"/>
          </w:rPr>
          <w:t xml:space="preserve">Christianization of Scandinavia</w:t>
        </w:r>
      </w:hyperlink>
      <w:r>
        <w:t xml:space="preserve"> (accessed 10 September 2026).</w:t>
      </w:r>
    </w:p>
  </w:footnote>
  <w:footnote w:id="7">
    <w:p>
      <w:pPr>
        <w:pStyle w:val="FootnoteText"/>
      </w:pPr>
      <w:r>
        <w:rPr>
          <w:vertAlign w:val="superscript"/>
        </w:rPr>
        <w:footnoteRef/>
      </w:r>
      <w:r>
        <w:t xml:space="preserve"> </w:t>
      </w:r>
      <w:r>
        <w:t xml:space="preserve">National Museum of Denmark, </w:t>
      </w:r>
      <w:hyperlink r:id="rId7">
        <w:r>
          <w:rPr>
            <w:color w:val="222222"/>
            <w:u w:val="single"/>
          </w:rPr>
          <w:t xml:space="preserve">Christianity comes to Denmark</w:t>
        </w:r>
      </w:hyperlink>
      <w:r>
        <w:t xml:space="preserve"> (undated).</w:t>
      </w:r>
      <w:r>
        <w:t xml:space="preserve">; </w:t>
      </w:r>
      <w:r>
        <w:t xml:space="preserve">Wikipedia contributors, </w:t>
      </w:r>
      <w:hyperlink r:id="rId8">
        <w:r>
          <w:rPr>
            <w:color w:val="222222"/>
            <w:u w:val="single"/>
          </w:rPr>
          <w:t xml:space="preserve">Christianization of Scandinavia</w:t>
        </w:r>
      </w:hyperlink>
      <w:r>
        <w:t xml:space="preserve"> (accessed 10 September 2026).</w:t>
      </w:r>
    </w:p>
  </w:footnote>
  <w:footnote w:id="8">
    <w:p>
      <w:pPr>
        <w:pStyle w:val="FootnoteText"/>
      </w:pPr>
      <w:r>
        <w:rPr>
          <w:vertAlign w:val="superscript"/>
        </w:rPr>
        <w:footnoteRef/>
      </w:r>
      <w:r>
        <w:t xml:space="preserve"> </w:t>
      </w:r>
      <w:r>
        <w:t xml:space="preserve">Viking Ship Museum, </w:t>
      </w:r>
      <w:hyperlink r:id="rId9">
        <w:r>
          <w:rPr>
            <w:color w:val="222222"/>
            <w:u w:val="single"/>
          </w:rPr>
          <w:t xml:space="preserve">Barter and coinage in the Viking Age</w:t>
        </w:r>
      </w:hyperlink>
      <w:r>
        <w:t xml:space="preserve"> (undated).</w:t>
      </w:r>
    </w:p>
  </w:footnote>
  <w:footnote w:id="9">
    <w:p>
      <w:pPr>
        <w:pStyle w:val="FootnoteText"/>
      </w:pPr>
      <w:r>
        <w:rPr>
          <w:vertAlign w:val="superscript"/>
        </w:rPr>
        <w:footnoteRef/>
      </w:r>
      <w:r>
        <w:t xml:space="preserve"> </w:t>
      </w:r>
      <w:r>
        <w:t xml:space="preserve">Augsburg Confession, </w:t>
      </w:r>
      <w:hyperlink r:id="rId10">
        <w:r>
          <w:rPr>
            <w:color w:val="222222"/>
            <w:u w:val="single"/>
          </w:rPr>
          <w:t xml:space="preserve">Article I Of God</w:t>
        </w:r>
      </w:hyperlink>
      <w:r>
        <w:t xml:space="preserve"> (1530).</w:t>
      </w:r>
    </w:p>
  </w:footnote>
  <w:footnote w:id="10">
    <w:p>
      <w:pPr>
        <w:pStyle w:val="FootnoteText"/>
      </w:pPr>
      <w:r>
        <w:rPr>
          <w:vertAlign w:val="superscript"/>
        </w:rPr>
        <w:footnoteRef/>
      </w:r>
      <w:r>
        <w:t xml:space="preserve"> </w:t>
      </w:r>
      <w:r>
        <w:t xml:space="preserve">The Glorious Quran and Science, </w:t>
      </w:r>
      <w:hyperlink r:id="rId11">
        <w:r>
          <w:rPr>
            <w:color w:val="222222"/>
            <w:u w:val="single"/>
          </w:rPr>
          <w:t xml:space="preserve">Commentary on Surah al-Ikhlas (Chapter 112) – The Purity of Faith</w:t>
        </w:r>
      </w:hyperlink>
      <w:r>
        <w:t xml:space="preserve"> (1 April 2025).</w:t>
      </w:r>
    </w:p>
  </w:footnote>
  <w:footnote w:id="11">
    <w:p>
      <w:pPr>
        <w:pStyle w:val="FootnoteText"/>
      </w:pPr>
      <w:r>
        <w:rPr>
          <w:vertAlign w:val="superscript"/>
        </w:rPr>
        <w:footnoteRef/>
      </w:r>
      <w:r>
        <w:t xml:space="preserve"> </w:t>
      </w:r>
      <w:hyperlink r:id="rId12">
        <w:r>
          <w:rPr>
            <w:color w:val="222222"/>
            <w:u w:val="single"/>
          </w:rPr>
          <w:t xml:space="preserve">Quran 112:1–4</w:t>
        </w:r>
      </w:hyperlink>
    </w:p>
  </w:footnote>
  <w:footnote w:id="12">
    <w:p>
      <w:pPr>
        <w:pStyle w:val="FootnoteText"/>
      </w:pPr>
      <w:r>
        <w:rPr>
          <w:vertAlign w:val="superscript"/>
        </w:rPr>
        <w:footnoteRef/>
      </w:r>
      <w:r>
        <w:t xml:space="preserve"> </w:t>
      </w:r>
      <w:hyperlink r:id="rId13">
        <w:r>
          <w:rPr>
            <w:color w:val="222222"/>
            <w:u w:val="single"/>
          </w:rPr>
          <w:t xml:space="preserve">Quran 19:30</w:t>
        </w:r>
      </w:hyperlink>
    </w:p>
  </w:footnote>
  <w:footnote w:id="13">
    <w:p>
      <w:pPr>
        <w:pStyle w:val="FootnoteText"/>
      </w:pPr>
      <w:r>
        <w:rPr>
          <w:vertAlign w:val="superscript"/>
        </w:rPr>
        <w:footnoteRef/>
      </w:r>
      <w:r>
        <w:t xml:space="preserve"> </w:t>
      </w:r>
      <w:hyperlink r:id="rId14">
        <w:r>
          <w:rPr>
            <w:color w:val="222222"/>
            <w:u w:val="single"/>
          </w:rPr>
          <w:t xml:space="preserve">Quran 4:171</w:t>
        </w:r>
      </w:hyperlink>
    </w:p>
  </w:footnote>
  <w:footnote w:id="14">
    <w:p>
      <w:pPr>
        <w:pStyle w:val="FootnoteText"/>
      </w:pPr>
      <w:r>
        <w:rPr>
          <w:vertAlign w:val="superscript"/>
        </w:rPr>
        <w:footnoteRef/>
      </w:r>
      <w:r>
        <w:t xml:space="preserve"> </w:t>
      </w:r>
      <w:r>
        <w:t xml:space="preserve">The Glorious Quran and Science, </w:t>
      </w:r>
      <w:hyperlink r:id="rId15">
        <w:r>
          <w:rPr>
            <w:color w:val="222222"/>
            <w:u w:val="single"/>
          </w:rPr>
          <w:t xml:space="preserve">The Rational Sanctuary: Addressing the Eucharistic Crisis and the Invitation of Islamic Monotheism</w:t>
        </w:r>
      </w:hyperlink>
      <w:r>
        <w:t xml:space="preserve"> (1 December 2025).</w:t>
      </w:r>
    </w:p>
  </w:footnote>
  <w:footnote w:id="15">
    <w:p>
      <w:pPr>
        <w:pStyle w:val="FootnoteText"/>
      </w:pPr>
      <w:r>
        <w:rPr>
          <w:vertAlign w:val="superscript"/>
        </w:rPr>
        <w:footnoteRef/>
      </w:r>
      <w:r>
        <w:t xml:space="preserve"> </w:t>
      </w:r>
      <w:hyperlink r:id="rId16">
        <w:r>
          <w:rPr>
            <w:color w:val="222222"/>
            <w:u w:val="single"/>
          </w:rPr>
          <w:t xml:space="preserve">Quran 3:67</w:t>
        </w:r>
      </w:hyperlink>
    </w:p>
  </w:footnote>
  <w:footnote w:id="16">
    <w:p>
      <w:pPr>
        <w:pStyle w:val="FootnoteText"/>
      </w:pPr>
      <w:r>
        <w:rPr>
          <w:vertAlign w:val="superscript"/>
        </w:rPr>
        <w:footnoteRef/>
      </w:r>
      <w:r>
        <w:t xml:space="preserve"> </w:t>
      </w:r>
      <w:r>
        <w:t xml:space="preserve">The Glorious Quran and Science, </w:t>
      </w:r>
      <w:hyperlink r:id="rId17">
        <w:r>
          <w:rPr>
            <w:color w:val="222222"/>
            <w:u w:val="single"/>
          </w:rPr>
          <w:t xml:space="preserve">God as the Metaphysically Necessary Being: A Contingent Universe in Islamic and Christian Perspective</w:t>
        </w:r>
      </w:hyperlink>
      <w:r>
        <w:t xml:space="preserve"> (29 June 2025).</w:t>
      </w:r>
    </w:p>
  </w:footnote>
  <w:footnote w:id="17">
    <w:p>
      <w:pPr>
        <w:pStyle w:val="FootnoteText"/>
      </w:pPr>
      <w:r>
        <w:rPr>
          <w:vertAlign w:val="superscript"/>
        </w:rPr>
        <w:footnoteRef/>
      </w:r>
      <w:r>
        <w:t xml:space="preserve"> </w:t>
      </w:r>
      <w:r>
        <w:t xml:space="preserve">The Glorious Quran and Science, </w:t>
      </w:r>
      <w:hyperlink r:id="rId18">
        <w:r>
          <w:rPr>
            <w:color w:val="222222"/>
            <w:u w:val="single"/>
          </w:rPr>
          <w:t xml:space="preserve">Research Dossier</w:t>
        </w:r>
      </w:hyperlink>
      <w:r>
        <w:t xml:space="preserve"> (25 August 2026).</w:t>
      </w:r>
    </w:p>
  </w:footnote>
  <w:footnote w:id="18">
    <w:p>
      <w:pPr>
        <w:pStyle w:val="FootnoteText"/>
      </w:pPr>
      <w:r>
        <w:rPr>
          <w:vertAlign w:val="superscript"/>
        </w:rPr>
        <w:footnoteRef/>
      </w:r>
      <w:r>
        <w:t xml:space="preserve"> </w:t>
      </w:r>
      <w:r>
        <w:t xml:space="preserve">The Glorious Quran and Science, </w:t>
      </w:r>
      <w:hyperlink r:id="rId19">
        <w:r>
          <w:rPr>
            <w:color w:val="222222"/>
            <w:u w:val="single"/>
          </w:rPr>
          <w:t xml:space="preserve">Research Dossier</w:t>
        </w:r>
      </w:hyperlink>
      <w:r>
        <w:t xml:space="preserve"> (25 August 2026).</w:t>
      </w:r>
    </w:p>
  </w:footnote>
  <w:footnote w:id="19">
    <w:p>
      <w:pPr>
        <w:pStyle w:val="FootnoteText"/>
      </w:pPr>
      <w:r>
        <w:rPr>
          <w:vertAlign w:val="superscript"/>
        </w:rPr>
        <w:footnoteRef/>
      </w:r>
      <w:r>
        <w:t xml:space="preserve"> </w:t>
      </w:r>
      <w:r>
        <w:t xml:space="preserve">The Glorious Quran and Science, </w:t>
      </w:r>
      <w:hyperlink r:id="rId20">
        <w:r>
          <w:rPr>
            <w:color w:val="222222"/>
            <w:u w:val="single"/>
          </w:rPr>
          <w:t xml:space="preserve">Wonder Without the Final Step</w:t>
        </w:r>
      </w:hyperlink>
      <w:r>
        <w:t xml:space="preserve"> (23 August 2026).</w:t>
      </w:r>
    </w:p>
  </w:footnote>
  <w:footnote w:id="20">
    <w:p>
      <w:pPr>
        <w:pStyle w:val="FootnoteText"/>
      </w:pPr>
      <w:r>
        <w:rPr>
          <w:vertAlign w:val="superscript"/>
        </w:rPr>
        <w:footnoteRef/>
      </w:r>
      <w:r>
        <w:t xml:space="preserve"> </w:t>
      </w:r>
      <w:r>
        <w:t xml:space="preserve">The Glorious Quran and Science, </w:t>
      </w:r>
      <w:hyperlink r:id="rId21">
        <w:r>
          <w:rPr>
            <w:color w:val="222222"/>
            <w:u w:val="single"/>
          </w:rPr>
          <w:t xml:space="preserve">The One and the Ninety-Nine: How the Names of Allah Interpret One Another</w:t>
        </w:r>
      </w:hyperlink>
      <w:r>
        <w:t xml:space="preserve"> (11 July 2026).</w:t>
      </w:r>
    </w:p>
  </w:footnote>
  <w:footnote w:id="21">
    <w:p>
      <w:pPr>
        <w:pStyle w:val="FootnoteText"/>
      </w:pPr>
      <w:r>
        <w:rPr>
          <w:vertAlign w:val="superscript"/>
        </w:rPr>
        <w:footnoteRef/>
      </w:r>
      <w:r>
        <w:t xml:space="preserve"> </w:t>
      </w:r>
      <w:hyperlink r:id="rId22">
        <w:r>
          <w:rPr>
            <w:color w:val="222222"/>
            <w:u w:val="single"/>
          </w:rPr>
          <w:t xml:space="preserve">Quran 59:22–24</w:t>
        </w:r>
      </w:hyperlink>
    </w:p>
  </w:footnote>
  <w:footnote w:id="22">
    <w:p>
      <w:pPr>
        <w:pStyle w:val="FootnoteText"/>
      </w:pPr>
      <w:r>
        <w:rPr>
          <w:vertAlign w:val="superscript"/>
        </w:rPr>
        <w:footnoteRef/>
      </w:r>
      <w:r>
        <w:t xml:space="preserve"> </w:t>
      </w:r>
      <w:hyperlink r:id="rId23">
        <w:r>
          <w:rPr>
            <w:color w:val="222222"/>
            <w:u w:val="single"/>
          </w:rPr>
          <w:t xml:space="preserve">Quran 59:22–24</w:t>
        </w:r>
      </w:hyperlink>
    </w:p>
  </w:footnote>
  <w:footnote w:id="23">
    <w:p>
      <w:pPr>
        <w:pStyle w:val="FootnoteText"/>
      </w:pPr>
      <w:r>
        <w:rPr>
          <w:vertAlign w:val="superscript"/>
        </w:rPr>
        <w:footnoteRef/>
      </w:r>
      <w:r>
        <w:t xml:space="preserve"> </w:t>
      </w:r>
      <w:hyperlink r:id="rId24">
        <w:r>
          <w:rPr>
            <w:color w:val="222222"/>
            <w:u w:val="single"/>
          </w:rPr>
          <w:t xml:space="preserve">Quran 59:22–24</w:t>
        </w:r>
      </w:hyperlink>
    </w:p>
  </w:footnote>
  <w:footnote w:id="24">
    <w:p>
      <w:pPr>
        <w:pStyle w:val="FootnoteText"/>
      </w:pPr>
      <w:r>
        <w:rPr>
          <w:vertAlign w:val="superscript"/>
        </w:rPr>
        <w:footnoteRef/>
      </w:r>
      <w:r>
        <w:t xml:space="preserve"> </w:t>
      </w:r>
      <w:hyperlink r:id="rId25">
        <w:r>
          <w:rPr>
            <w:color w:val="222222"/>
            <w:u w:val="single"/>
          </w:rPr>
          <w:t xml:space="preserve">Quran 2:255</w:t>
        </w:r>
      </w:hyperlink>
    </w:p>
  </w:footnote>
  <w:footnote w:id="25">
    <w:p>
      <w:pPr>
        <w:pStyle w:val="FootnoteText"/>
      </w:pPr>
      <w:r>
        <w:rPr>
          <w:vertAlign w:val="superscript"/>
        </w:rPr>
        <w:footnoteRef/>
      </w:r>
      <w:r>
        <w:t xml:space="preserve"> </w:t>
      </w:r>
      <w:r>
        <w:t xml:space="preserve">The Glorious Quran and Science, </w:t>
      </w:r>
      <w:hyperlink r:id="rId26">
        <w:r>
          <w:rPr>
            <w:color w:val="222222"/>
            <w:u w:val="single"/>
          </w:rPr>
          <w:t xml:space="preserve">The Ever-Present Sustainer</w:t>
        </w:r>
      </w:hyperlink>
      <w:r>
        <w:t xml:space="preserve"> (26 August 2026).</w:t>
      </w:r>
    </w:p>
  </w:footnote>
  <w:footnote w:id="26">
    <w:p>
      <w:pPr>
        <w:pStyle w:val="FootnoteText"/>
      </w:pPr>
      <w:r>
        <w:rPr>
          <w:vertAlign w:val="superscript"/>
        </w:rPr>
        <w:footnoteRef/>
      </w:r>
      <w:r>
        <w:t xml:space="preserve"> </w:t>
      </w:r>
      <w:hyperlink r:id="rId27">
        <w:r>
          <w:rPr>
            <w:color w:val="222222"/>
            <w:u w:val="single"/>
          </w:rPr>
          <w:t xml:space="preserve">Quran 42:11</w:t>
        </w:r>
      </w:hyperlink>
    </w:p>
  </w:footnote>
  <w:footnote w:id="27">
    <w:p>
      <w:pPr>
        <w:pStyle w:val="FootnoteText"/>
      </w:pPr>
      <w:r>
        <w:rPr>
          <w:vertAlign w:val="superscript"/>
        </w:rPr>
        <w:footnoteRef/>
      </w:r>
      <w:r>
        <w:t xml:space="preserve"> </w:t>
      </w:r>
      <w:hyperlink r:id="rId28">
        <w:r>
          <w:rPr>
            <w:color w:val="222222"/>
            <w:u w:val="single"/>
          </w:rPr>
          <w:t xml:space="preserve">Quran 6:164</w:t>
        </w:r>
      </w:hyperlink>
    </w:p>
  </w:footnote>
  <w:footnote w:id="28">
    <w:p>
      <w:pPr>
        <w:pStyle w:val="FootnoteText"/>
      </w:pPr>
      <w:r>
        <w:rPr>
          <w:vertAlign w:val="superscript"/>
        </w:rPr>
        <w:footnoteRef/>
      </w:r>
      <w:r>
        <w:t xml:space="preserve"> </w:t>
      </w:r>
      <w:hyperlink r:id="rId29">
        <w:r>
          <w:rPr>
            <w:color w:val="222222"/>
            <w:u w:val="single"/>
          </w:rPr>
          <w:t xml:space="preserve">Quran 39:53</w:t>
        </w:r>
      </w:hyperlink>
    </w:p>
  </w:footnote>
  <w:footnote w:id="29">
    <w:p>
      <w:pPr>
        <w:pStyle w:val="FootnoteText"/>
      </w:pPr>
      <w:r>
        <w:rPr>
          <w:vertAlign w:val="superscript"/>
        </w:rPr>
        <w:footnoteRef/>
      </w:r>
      <w:r>
        <w:t xml:space="preserve"> </w:t>
      </w:r>
      <w:r>
        <w:t xml:space="preserve">The Glorious Quran and Science, </w:t>
      </w:r>
      <w:hyperlink r:id="rId30">
        <w:r>
          <w:rPr>
            <w:color w:val="222222"/>
            <w:u w:val="single"/>
          </w:rPr>
          <w:t xml:space="preserve">The One Master and the Many</w:t>
        </w:r>
      </w:hyperlink>
      <w:r>
        <w:t xml:space="preserve"> (1 July 2026).</w:t>
      </w:r>
    </w:p>
  </w:footnote>
  <w:footnote w:id="30">
    <w:p>
      <w:pPr>
        <w:pStyle w:val="FootnoteText"/>
      </w:pPr>
      <w:r>
        <w:rPr>
          <w:vertAlign w:val="superscript"/>
        </w:rPr>
        <w:footnoteRef/>
      </w:r>
      <w:r>
        <w:t xml:space="preserve"> </w:t>
      </w:r>
      <w:hyperlink r:id="rId31">
        <w:r>
          <w:rPr>
            <w:color w:val="222222"/>
            <w:u w:val="single"/>
          </w:rPr>
          <w:t xml:space="preserve">Quran 39:29</w:t>
        </w:r>
      </w:hyperlink>
    </w:p>
  </w:footnote>
  <w:footnote w:id="31">
    <w:p>
      <w:pPr>
        <w:pStyle w:val="FootnoteText"/>
      </w:pPr>
      <w:r>
        <w:rPr>
          <w:vertAlign w:val="superscript"/>
        </w:rPr>
        <w:footnoteRef/>
      </w:r>
      <w:r>
        <w:t xml:space="preserve"> </w:t>
      </w:r>
      <w:r>
        <w:t xml:space="preserve">Moderna Museet, </w:t>
      </w:r>
      <w:hyperlink r:id="rId32">
        <w:r>
          <w:rPr>
            <w:color w:val="222222"/>
            <w:u w:val="single"/>
          </w:rPr>
          <w:t xml:space="preserve">From the collection: Ivan Aguéli, Bill Viola</w:t>
        </w:r>
      </w:hyperlink>
      <w:r>
        <w:t xml:space="preserve"> (exhibition page, accessed 10 September 2026).</w:t>
      </w:r>
    </w:p>
  </w:footnote>
  <w:footnote w:id="32">
    <w:p>
      <w:pPr>
        <w:pStyle w:val="FootnoteText"/>
      </w:pPr>
      <w:r>
        <w:rPr>
          <w:vertAlign w:val="superscript"/>
        </w:rPr>
        <w:footnoteRef/>
      </w:r>
      <w:r>
        <w:t xml:space="preserve"> </w:t>
      </w:r>
      <w:r>
        <w:t xml:space="preserve">Wikipedia contributors, </w:t>
      </w:r>
      <w:hyperlink r:id="rId33">
        <w:r>
          <w:rPr>
            <w:color w:val="222222"/>
            <w:u w:val="single"/>
          </w:rPr>
          <w:t xml:space="preserve">Ivan Aguéli</w:t>
        </w:r>
      </w:hyperlink>
      <w:r>
        <w:t xml:space="preserve"> (accessed 10 September 2026).</w:t>
      </w:r>
    </w:p>
  </w:footnote>
  <w:footnote w:id="33">
    <w:p>
      <w:pPr>
        <w:pStyle w:val="FootnoteText"/>
      </w:pPr>
      <w:r>
        <w:rPr>
          <w:vertAlign w:val="superscript"/>
        </w:rPr>
        <w:footnoteRef/>
      </w:r>
      <w:r>
        <w:t xml:space="preserve"> </w:t>
      </w:r>
      <w:r>
        <w:t xml:space="preserve">Wikipedia contributors, </w:t>
      </w:r>
      <w:hyperlink r:id="rId34">
        <w:r>
          <w:rPr>
            <w:color w:val="222222"/>
            <w:u w:val="single"/>
          </w:rPr>
          <w:t xml:space="preserve">Mohammed Knut Bernström</w:t>
        </w:r>
      </w:hyperlink>
      <w:r>
        <w:t xml:space="preserve"> (accessed 10 September 2026).</w:t>
      </w:r>
    </w:p>
  </w:footnote>
  <w:footnote w:id="34">
    <w:p>
      <w:pPr>
        <w:pStyle w:val="FootnoteText"/>
      </w:pPr>
      <w:r>
        <w:rPr>
          <w:vertAlign w:val="superscript"/>
        </w:rPr>
        <w:footnoteRef/>
      </w:r>
      <w:r>
        <w:t xml:space="preserve"> </w:t>
      </w:r>
      <w:r>
        <w:t xml:space="preserve">Wikipedia contributors, </w:t>
      </w:r>
      <w:hyperlink r:id="rId35">
        <w:r>
          <w:rPr>
            <w:color w:val="222222"/>
            <w:u w:val="single"/>
          </w:rPr>
          <w:t xml:space="preserve">Tage Lindbom</w:t>
        </w:r>
      </w:hyperlink>
      <w:r>
        <w:t xml:space="preserve"> (accessed 10 September 2026).</w:t>
      </w:r>
      <w:r>
        <w:t xml:space="preserve">; </w:t>
      </w:r>
      <w:r>
        <w:t xml:space="preserve">World Wisdom, </w:t>
      </w:r>
      <w:hyperlink r:id="rId36">
        <w:r>
          <w:rPr>
            <w:color w:val="222222"/>
            <w:u w:val="single"/>
          </w:rPr>
          <w:t xml:space="preserve">Tage Lindbom</w:t>
        </w:r>
      </w:hyperlink>
      <w:r>
        <w:t xml:space="preserve"> (publisher biography, undated).</w:t>
      </w:r>
    </w:p>
  </w:footnote>
  <w:footnote w:id="35">
    <w:p>
      <w:pPr>
        <w:pStyle w:val="FootnoteText"/>
      </w:pPr>
      <w:r>
        <w:rPr>
          <w:vertAlign w:val="superscript"/>
        </w:rPr>
        <w:footnoteRef/>
      </w:r>
      <w:r>
        <w:t xml:space="preserve"> </w:t>
      </w:r>
      <w:r>
        <w:t xml:space="preserve">Wikipedia contributors, </w:t>
      </w:r>
      <w:hyperlink r:id="rId37">
        <w:r>
          <w:rPr>
            <w:color w:val="222222"/>
            <w:u w:val="single"/>
          </w:rPr>
          <w:t xml:space="preserve">Kurt Almqvist</w:t>
        </w:r>
      </w:hyperlink>
      <w:r>
        <w:t xml:space="preserve"> (accessed 10 September 2026).</w:t>
      </w:r>
    </w:p>
  </w:footnote>
  <w:footnote w:id="36">
    <w:p>
      <w:pPr>
        <w:pStyle w:val="FootnoteText"/>
      </w:pPr>
      <w:r>
        <w:rPr>
          <w:vertAlign w:val="superscript"/>
        </w:rPr>
        <w:footnoteRef/>
      </w:r>
      <w:r>
        <w:t xml:space="preserve"> </w:t>
      </w:r>
      <w:r>
        <w:t xml:space="preserve">Jesper Kurt-Nielsen, </w:t>
      </w:r>
      <w:hyperlink r:id="rId38">
        <w:r>
          <w:rPr>
            <w:color w:val="222222"/>
            <w:u w:val="single"/>
          </w:rPr>
          <w:t xml:space="preserve">Knud Holmboe</w:t>
        </w:r>
      </w:hyperlink>
      <w:r>
        <w:t xml:space="preserve"> (Lex, updated 3 October 2024).</w:t>
      </w:r>
    </w:p>
  </w:footnote>
  <w:footnote w:id="37">
    <w:p>
      <w:pPr>
        <w:pStyle w:val="FootnoteText"/>
      </w:pPr>
      <w:r>
        <w:rPr>
          <w:vertAlign w:val="superscript"/>
        </w:rPr>
        <w:footnoteRef/>
      </w:r>
      <w:r>
        <w:t xml:space="preserve"> </w:t>
      </w:r>
      <w:r>
        <w:t xml:space="preserve">Wikipedia contributors, </w:t>
      </w:r>
      <w:hyperlink r:id="rId39">
        <w:r>
          <w:rPr>
            <w:color w:val="222222"/>
            <w:u w:val="single"/>
          </w:rPr>
          <w:t xml:space="preserve">Abdul Wahid Pedersen</w:t>
        </w:r>
      </w:hyperlink>
      <w:r>
        <w:t xml:space="preserve"> (accessed 10 September 2026).</w:t>
      </w:r>
    </w:p>
  </w:footnote>
  <w:footnote w:id="38">
    <w:p>
      <w:pPr>
        <w:pStyle w:val="FootnoteText"/>
      </w:pPr>
      <w:r>
        <w:rPr>
          <w:vertAlign w:val="superscript"/>
        </w:rPr>
        <w:footnoteRef/>
      </w:r>
      <w:r>
        <w:t xml:space="preserve"> </w:t>
      </w:r>
      <w:r>
        <w:t xml:space="preserve">Aminah Tønnsen, </w:t>
      </w:r>
      <w:hyperlink r:id="rId40">
        <w:r>
          <w:rPr>
            <w:color w:val="222222"/>
            <w:u w:val="single"/>
          </w:rPr>
          <w:t xml:space="preserve">Tror muslimer at jorden er flad?: 100 spørgsmål og svar om islam</w:t>
        </w:r>
      </w:hyperlink>
      <w:r>
        <w:t xml:space="preserve"> (Google Play Books listing, accessed 10 September 2026).</w:t>
      </w:r>
    </w:p>
  </w:footnote>
  <w:footnote w:id="39">
    <w:p>
      <w:pPr>
        <w:pStyle w:val="FootnoteText"/>
      </w:pPr>
      <w:r>
        <w:rPr>
          <w:vertAlign w:val="superscript"/>
        </w:rPr>
        <w:footnoteRef/>
      </w:r>
      <w:r>
        <w:t xml:space="preserve"> </w:t>
      </w:r>
      <w:r>
        <w:t xml:space="preserve">Wikipedia contributors, </w:t>
      </w:r>
      <w:hyperlink r:id="rId41">
        <w:r>
          <w:rPr>
            <w:color w:val="222222"/>
            <w:u w:val="single"/>
          </w:rPr>
          <w:t xml:space="preserve">Lena Larsen</w:t>
        </w:r>
      </w:hyperlink>
      <w:r>
        <w:t xml:space="preserve"> (Norwegian biography, accessed 10 September 2026).</w:t>
      </w:r>
    </w:p>
  </w:footnote>
  <w:footnote w:id="40">
    <w:p>
      <w:pPr>
        <w:pStyle w:val="FootnoteText"/>
      </w:pPr>
      <w:r>
        <w:rPr>
          <w:vertAlign w:val="superscript"/>
        </w:rPr>
        <w:footnoteRef/>
      </w:r>
      <w:r>
        <w:t xml:space="preserve"> </w:t>
      </w:r>
      <w:r>
        <w:t xml:space="preserve">Anne Sofie Roald, </w:t>
      </w:r>
      <w:hyperlink r:id="rId42">
        <w:r>
          <w:rPr>
            <w:color w:val="222222"/>
            <w:u w:val="single"/>
          </w:rPr>
          <w:t xml:space="preserve">New Muslims in the European Context: The Experience of Scandinavian Converts</w:t>
        </w:r>
      </w:hyperlink>
      <w:r>
        <w:t xml:space="preserve"> (Brill, 2004).</w:t>
      </w:r>
    </w:p>
  </w:footnote>
  <w:footnote w:id="41">
    <w:p>
      <w:pPr>
        <w:pStyle w:val="FootnoteText"/>
      </w:pPr>
      <w:r>
        <w:rPr>
          <w:vertAlign w:val="superscript"/>
        </w:rPr>
        <w:footnoteRef/>
      </w:r>
      <w:r>
        <w:t xml:space="preserve"> </w:t>
      </w:r>
      <w:r>
        <w:t xml:space="preserve">Pew Research Center, </w:t>
      </w:r>
      <w:hyperlink r:id="rId43">
        <w:r>
          <w:rPr>
            <w:color w:val="222222"/>
            <w:u w:val="single"/>
          </w:rPr>
          <w:t xml:space="preserve">Europe’s Growing Muslim Population</w:t>
        </w:r>
      </w:hyperlink>
      <w:r>
        <w:t xml:space="preserve"> (29 November 2017).</w:t>
      </w:r>
    </w:p>
  </w:footnote>
  <w:footnote w:id="42">
    <w:p>
      <w:pPr>
        <w:pStyle w:val="FootnoteText"/>
      </w:pPr>
      <w:r>
        <w:rPr>
          <w:vertAlign w:val="superscript"/>
        </w:rPr>
        <w:footnoteRef/>
      </w:r>
      <w:r>
        <w:t xml:space="preserve"> </w:t>
      </w:r>
      <w:r>
        <w:t xml:space="preserve">Statistics Norway, </w:t>
      </w:r>
      <w:hyperlink r:id="rId44">
        <w:r>
          <w:rPr>
            <w:color w:val="222222"/>
            <w:u w:val="single"/>
          </w:rPr>
          <w:t xml:space="preserve">Religious communities and life stance communities</w:t>
        </w:r>
      </w:hyperlink>
      <w:r>
        <w:t xml:space="preserve"> (updated 10 June 2026).</w:t>
      </w:r>
    </w:p>
  </w:footnote>
  <w:footnote w:id="43">
    <w:p>
      <w:pPr>
        <w:pStyle w:val="FootnoteText"/>
      </w:pPr>
      <w:r>
        <w:rPr>
          <w:vertAlign w:val="superscript"/>
        </w:rPr>
        <w:footnoteRef/>
      </w:r>
      <w:r>
        <w:t xml:space="preserve"> </w:t>
      </w:r>
      <w:r>
        <w:t xml:space="preserve">Pew Research Center, </w:t>
      </w:r>
      <w:hyperlink r:id="rId45">
        <w:r>
          <w:rPr>
            <w:color w:val="222222"/>
            <w:u w:val="single"/>
          </w:rPr>
          <w:t xml:space="preserve">Europe’s Growing Muslim Population</w:t>
        </w:r>
      </w:hyperlink>
      <w:r>
        <w:t xml:space="preserve"> (29 November 2017).</w:t>
      </w:r>
    </w:p>
  </w:footnote>
  <w:footnote w:id="44">
    <w:p>
      <w:pPr>
        <w:pStyle w:val="FootnoteText"/>
      </w:pPr>
      <w:r>
        <w:rPr>
          <w:vertAlign w:val="superscript"/>
        </w:rPr>
        <w:footnoteRef/>
      </w:r>
      <w:r>
        <w:t xml:space="preserve"> </w:t>
      </w:r>
      <w:r>
        <w:t xml:space="preserve">Pew Research Center, </w:t>
      </w:r>
      <w:hyperlink r:id="rId46">
        <w:r>
          <w:rPr>
            <w:color w:val="222222"/>
            <w:u w:val="single"/>
          </w:rPr>
          <w:t xml:space="preserve">Being Christian in Western Europe</w:t>
        </w:r>
      </w:hyperlink>
      <w:r>
        <w:t xml:space="preserve"> (29 May 2018).</w:t>
      </w:r>
    </w:p>
  </w:footnote>
  <w:footnote w:id="45">
    <w:p>
      <w:pPr>
        <w:pStyle w:val="FootnoteText"/>
      </w:pPr>
      <w:r>
        <w:rPr>
          <w:vertAlign w:val="superscript"/>
        </w:rPr>
        <w:footnoteRef/>
      </w:r>
      <w:r>
        <w:t xml:space="preserve"> </w:t>
      </w:r>
      <w:r>
        <w:t xml:space="preserve">The Glorious Quran and Science, </w:t>
      </w:r>
      <w:hyperlink r:id="rId47">
        <w:r>
          <w:rPr>
            <w:color w:val="222222"/>
            <w:u w:val="single"/>
          </w:rPr>
          <w:t xml:space="preserve">The Existential Iconoclast: A Biography of Søren Kierkegaard and a Comprehensive Critique of Christendom</w:t>
        </w:r>
      </w:hyperlink>
      <w:r>
        <w:t xml:space="preserve"> (23 February 2026).</w:t>
      </w:r>
    </w:p>
  </w:footnote>
  <w:footnote w:id="46">
    <w:p>
      <w:pPr>
        <w:pStyle w:val="FootnoteText"/>
      </w:pPr>
      <w:r>
        <w:rPr>
          <w:vertAlign w:val="superscript"/>
        </w:rPr>
        <w:footnoteRef/>
      </w:r>
      <w:r>
        <w:t xml:space="preserve"> </w:t>
      </w:r>
      <w:r>
        <w:t xml:space="preserve">European Court of Human Rights and Council of Europe, </w:t>
      </w:r>
      <w:hyperlink r:id="rId48">
        <w:r>
          <w:rPr>
            <w:color w:val="222222"/>
            <w:u w:val="single"/>
          </w:rPr>
          <w:t xml:space="preserve">European Convention on Human Rights Article 9</w:t>
        </w:r>
      </w:hyperlink>
      <w:r>
        <w:t xml:space="preserve"> (current consolidated English text, accessed 10 September 2026).</w:t>
      </w:r>
    </w:p>
  </w:footnote>
  <w:footnote w:id="47">
    <w:p>
      <w:pPr>
        <w:pStyle w:val="FootnoteText"/>
      </w:pPr>
      <w:r>
        <w:rPr>
          <w:vertAlign w:val="superscript"/>
        </w:rPr>
        <w:footnoteRef/>
      </w:r>
      <w:r>
        <w:t xml:space="preserve"> </w:t>
      </w:r>
      <w:hyperlink r:id="rId49">
        <w:r>
          <w:rPr>
            <w:color w:val="222222"/>
            <w:u w:val="single"/>
          </w:rPr>
          <w:t xml:space="preserve">Quran 2:256</w:t>
        </w:r>
      </w:hyperlink>
    </w:p>
  </w:footnote>
  <w:footnote w:id="48">
    <w:p>
      <w:pPr>
        <w:pStyle w:val="FootnoteText"/>
      </w:pPr>
      <w:r>
        <w:rPr>
          <w:vertAlign w:val="superscript"/>
        </w:rPr>
        <w:footnoteRef/>
      </w:r>
      <w:r>
        <w:t xml:space="preserve"> </w:t>
      </w:r>
      <w:hyperlink r:id="rId50">
        <w:r>
          <w:rPr>
            <w:color w:val="222222"/>
            <w:u w:val="single"/>
          </w:rPr>
          <w:t xml:space="preserve">Quran 60:8</w:t>
        </w:r>
      </w:hyperlink>
    </w:p>
  </w:footnote>
  <w:footnote w:id="49">
    <w:p>
      <w:pPr>
        <w:pStyle w:val="FootnoteText"/>
      </w:pPr>
      <w:r>
        <w:rPr>
          <w:vertAlign w:val="superscript"/>
        </w:rPr>
        <w:footnoteRef/>
      </w:r>
      <w:r>
        <w:t xml:space="preserve"> </w:t>
      </w:r>
      <w:r>
        <w:t xml:space="preserve">The Glorious Quran and Science, </w:t>
      </w:r>
      <w:hyperlink r:id="rId51">
        <w:r>
          <w:rPr>
            <w:color w:val="222222"/>
            <w:u w:val="single"/>
          </w:rPr>
          <w:t xml:space="preserve">The Abrahamic Covenant of Coexistence</w:t>
        </w:r>
      </w:hyperlink>
      <w:r>
        <w:t xml:space="preserve"> (22 January 2026).</w:t>
      </w:r>
    </w:p>
  </w:footnote>
  <w:footnote w:id="50">
    <w:p>
      <w:pPr>
        <w:pStyle w:val="FootnoteText"/>
      </w:pPr>
      <w:r>
        <w:rPr>
          <w:vertAlign w:val="superscript"/>
        </w:rPr>
        <w:footnoteRef/>
      </w:r>
      <w:r>
        <w:t xml:space="preserve"> </w:t>
      </w:r>
      <w:r>
        <w:t xml:space="preserve">The Glorious Quran and Science, </w:t>
      </w:r>
      <w:hyperlink r:id="rId52">
        <w:r>
          <w:rPr>
            <w:color w:val="222222"/>
            <w:u w:val="single"/>
          </w:rPr>
          <w:t xml:space="preserve">“Though They Both Recite the Scripture”</w:t>
        </w:r>
      </w:hyperlink>
      <w:r>
        <w:t xml:space="preserve"> (30 August 2026).</w:t>
      </w:r>
    </w:p>
  </w:footnote>
  <w:footnote w:id="51">
    <w:p>
      <w:pPr>
        <w:pStyle w:val="FootnoteText"/>
      </w:pPr>
      <w:r>
        <w:rPr>
          <w:vertAlign w:val="superscript"/>
        </w:rPr>
        <w:footnoteRef/>
      </w:r>
      <w:r>
        <w:t xml:space="preserve"> </w:t>
      </w:r>
      <w:r>
        <w:t xml:space="preserve">The Glorious Quran and Science, </w:t>
      </w:r>
      <w:hyperlink r:id="rId53">
        <w:r>
          <w:rPr>
            <w:color w:val="222222"/>
            <w:u w:val="single"/>
          </w:rPr>
          <w:t xml:space="preserve">“Though They Both Recite the Scripture”</w:t>
        </w:r>
      </w:hyperlink>
      <w:r>
        <w:t xml:space="preserve"> (30 August 2026).</w:t>
      </w:r>
    </w:p>
  </w:footnote>
  <w:footnote w:id="52">
    <w:p>
      <w:pPr>
        <w:pStyle w:val="FootnoteText"/>
      </w:pPr>
      <w:r>
        <w:rPr>
          <w:vertAlign w:val="superscript"/>
        </w:rPr>
        <w:footnoteRef/>
      </w:r>
      <w:r>
        <w:t xml:space="preserve"> </w:t>
      </w:r>
      <w:hyperlink r:id="rId54">
        <w:r>
          <w:rPr>
            <w:color w:val="222222"/>
            <w:u w:val="single"/>
          </w:rPr>
          <w:t xml:space="preserve">Quran 2:62</w:t>
        </w:r>
      </w:hyperlink>
    </w:p>
  </w:footnote>
  <w:footnote w:id="53">
    <w:p>
      <w:pPr>
        <w:pStyle w:val="FootnoteText"/>
      </w:pPr>
      <w:r>
        <w:rPr>
          <w:vertAlign w:val="superscript"/>
        </w:rPr>
        <w:footnoteRef/>
      </w:r>
      <w:r>
        <w:t xml:space="preserve"> </w:t>
      </w:r>
      <w:hyperlink r:id="rId55">
        <w:r>
          <w:rPr>
            <w:color w:val="222222"/>
            <w:u w:val="single"/>
          </w:rPr>
          <w:t xml:space="preserve">Quran 33:40</w:t>
        </w:r>
      </w:hyperlink>
    </w:p>
  </w:footnote>
  <w:footnote w:id="54">
    <w:p>
      <w:pPr>
        <w:pStyle w:val="FootnoteText"/>
      </w:pPr>
      <w:r>
        <w:rPr>
          <w:vertAlign w:val="superscript"/>
        </w:rPr>
        <w:footnoteRef/>
      </w:r>
      <w:r>
        <w:t xml:space="preserve"> </w:t>
      </w:r>
      <w:hyperlink r:id="rId56">
        <w:r>
          <w:rPr>
            <w:color w:val="222222"/>
            <w:u w:val="single"/>
          </w:rPr>
          <w:t xml:space="preserve">Quran 16:125</w:t>
        </w:r>
      </w:hyperlink>
    </w:p>
  </w:footnote>
  <w:footnote w:id="55">
    <w:p>
      <w:pPr>
        <w:pStyle w:val="FootnoteText"/>
      </w:pPr>
      <w:r>
        <w:rPr>
          <w:vertAlign w:val="superscript"/>
        </w:rPr>
        <w:footnoteRef/>
      </w:r>
      <w:r>
        <w:t xml:space="preserve"> </w:t>
      </w:r>
      <w:hyperlink r:id="rId57">
        <w:r>
          <w:rPr>
            <w:color w:val="222222"/>
            <w:u w:val="single"/>
          </w:rPr>
          <w:t xml:space="preserve">Quran 49:13</w:t>
        </w:r>
      </w:hyperlink>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62" w:lineRule="auto" w:after="120"/>
    </w:pPr>
    <w:rPr>
      <w:rFonts w:ascii="DejaVu Serif" w:hAnsi="DejaVu Serif" w:cs="DejaVu Sans"/>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00" w:after="140"/>
      <w:outlineLvl w:val="0"/>
    </w:pPr>
    <w:rPr>
      <w:rFonts w:ascii="DejaVu Serif" w:hAnsi="DejaVu Serif" w:cs="DejaVu Sans"/>
      <w:b/>
      <w:bCs/>
      <w:color w:val="000000"/>
      <w:sz w:val="28"/>
      <w:szCs w:val="28"/>
    </w:rPr>
  </w:style>
  <w:style w:type="paragraph" w:styleId="Heading2">
    <w:name w:val="heading 2"/>
    <w:basedOn w:val="Normal"/>
    <w:next w:val="Normal"/>
    <w:link w:val="Heading2Char"/>
    <w:uiPriority w:val="9"/>
    <w:unhideWhenUsed/>
    <w:qFormat/>
    <w:rsid w:val="00FC693F"/>
    <w:pPr>
      <w:keepNext/>
      <w:keepLines/>
      <w:widowControl/>
      <w:spacing w:before="220" w:after="100"/>
      <w:outlineLvl w:val="1"/>
    </w:pPr>
    <w:rPr>
      <w:rFonts w:ascii="DejaVu Serif" w:hAnsi="DejaVu Serif" w:cs="DejaVu Sans"/>
      <w:b/>
      <w:bCs/>
      <w:color w:val="000000"/>
      <w:sz w:val="23"/>
      <w:szCs w:val="26"/>
    </w:rPr>
  </w:style>
  <w:style w:type="paragraph" w:styleId="Heading3">
    <w:name w:val="heading 3"/>
    <w:basedOn w:val="Normal"/>
    <w:next w:val="Normal"/>
    <w:link w:val="Heading3Char"/>
    <w:uiPriority w:val="9"/>
    <w:unhideWhenUsed/>
    <w:qFormat/>
    <w:rsid w:val="00FC693F"/>
    <w:pPr>
      <w:keepNext/>
      <w:keepLines/>
      <w:widowControl/>
      <w:spacing w:before="200" w:after="0"/>
      <w:outlineLvl w:val="2"/>
    </w:pPr>
    <w:rPr>
      <w:rFonts w:ascii="DejaVu Serif" w:hAnsi="DejaVu Serif" w:cs="DejaVu Sans"/>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keepLines/>
      <w:widowControl/>
      <w:spacing w:after="260" w:line="240" w:lineRule="auto" w:before="0"/>
      <w:contextualSpacing/>
    </w:pPr>
    <w:rPr>
      <w:rFonts w:ascii="DejaVu Serif" w:hAnsi="DejaVu Serif" w:cs="DejaVu Sans"/>
      <w:b/>
      <w:color w:val="000000"/>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abic">
    <w:name w:val="Arabic"/>
    <w:basedOn w:val="Normal"/>
    <w:pPr>
      <w:keepNext/>
      <w:keepLines/>
      <w:widowControl/>
      <w:spacing w:line="259" w:lineRule="auto" w:after="100" w:before="100"/>
    </w:pPr>
    <w:rPr>
      <w:rFonts w:ascii="DejaVu Sans" w:hAnsi="DejaVu Sans"/>
      <w:sz w:val="26"/>
    </w:rPr>
  </w:style>
  <w:style w:type="paragraph" w:customStyle="1" w:styleId="Translation">
    <w:name w:val="Translation"/>
    <w:basedOn w:val="Normal"/>
    <w:pPr>
      <w:widowControl/>
      <w:spacing w:line="259" w:lineRule="auto" w:after="180"/>
    </w:pPr>
    <w:rPr>
      <w:sz w:val="20"/>
    </w:rPr>
  </w:style>
  <w:style w:type="paragraph" w:customStyle="1" w:styleId="SourceEntry">
    <w:name w:val="SourceEntry"/>
    <w:basedOn w:val="Normal"/>
    <w:pPr>
      <w:keepLines/>
      <w:widowControl/>
      <w:spacing w:line="259" w:lineRule="auto" w:after="100"/>
    </w:pPr>
    <w:rPr>
      <w:sz w:val="18"/>
    </w:rPr>
  </w:style>
  <w:style w:type="paragraph" w:customStyle="1" w:styleId="FootnoteText">
    <w:name w:val="Footnote Text"/>
    <w:basedOn w:val="Normal"/>
    <w:pPr>
      <w:widowControl/>
      <w:spacing w:line="259" w:lineRule="auto" w:after="40"/>
    </w:pPr>
    <w:rPr>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vikingeskibsmuseet.dk/en/professions/education/the-viking-age-society/the-norse-gods-and-christianity" TargetMode="External"/><Relationship Id="rId10" Type="http://schemas.openxmlformats.org/officeDocument/2006/relationships/hyperlink" Target="https://historiska.se/en/explore-history/history-hub/norse-religion-in-the-viking-age/" TargetMode="External"/><Relationship Id="rId11" Type="http://schemas.openxmlformats.org/officeDocument/2006/relationships/hyperlink" Target="https://en.wikipedia.org/wiki/Vikings" TargetMode="External"/><Relationship Id="rId12" Type="http://schemas.openxmlformats.org/officeDocument/2006/relationships/hyperlink" Target="https://en.wikipedia.org/wiki/Christianization_of_Scandinavia" TargetMode="External"/><Relationship Id="rId13" Type="http://schemas.openxmlformats.org/officeDocument/2006/relationships/hyperlink" Target="https://en.natmus.dk/historical-knowledge/denmark/prehistoric-period-until-1050-ad/the-viking-age/religion-magic-death-and-rituals/christianity-comes-to-denmark/" TargetMode="External"/><Relationship Id="rId14" Type="http://schemas.openxmlformats.org/officeDocument/2006/relationships/hyperlink" Target="https://www.vikingeskibsmuseet.dk/en/professions/education/the-viking-age-society/barter-and-coinage" TargetMode="External"/><Relationship Id="rId15" Type="http://schemas.openxmlformats.org/officeDocument/2006/relationships/hyperlink" Target="https://www.pewresearch.org/religion/2017/11/29/europes-growing-muslim-population/" TargetMode="External"/><Relationship Id="rId16" Type="http://schemas.openxmlformats.org/officeDocument/2006/relationships/hyperlink" Target="https://www.ssb.no/en/kultur-og-fritid/religion-og-livssyn/statistikk/trus-og-livssynssamfunn-utanfor-den-norske-kyrkja" TargetMode="External"/><Relationship Id="rId17" Type="http://schemas.openxmlformats.org/officeDocument/2006/relationships/hyperlink" Target="https://www.pewresearch.org/religion/2018/05/29/being-christian-in-western-europe/" TargetMode="External"/><Relationship Id="rId18" Type="http://schemas.openxmlformats.org/officeDocument/2006/relationships/hyperlink" Target="https://www.echr.coe.int/documents/d/echr/convention_ENG" TargetMode="External"/><Relationship Id="rId19" Type="http://schemas.openxmlformats.org/officeDocument/2006/relationships/hyperlink" Target="https://www.modernamuseet.se/en/stockholm/exhibitions/from-the-collection-ivan-agueli-bill-viola/" TargetMode="External"/><Relationship Id="rId20" Type="http://schemas.openxmlformats.org/officeDocument/2006/relationships/hyperlink" Target="https://en.wikipedia.org/wiki/Ivan_Agu%C3%A9li" TargetMode="External"/><Relationship Id="rId21" Type="http://schemas.openxmlformats.org/officeDocument/2006/relationships/hyperlink" Target="https://en.wikipedia.org/wiki/Mohammed_Knut_Bernstr%C3%B6m" TargetMode="External"/><Relationship Id="rId22" Type="http://schemas.openxmlformats.org/officeDocument/2006/relationships/hyperlink" Target="https://en.wikipedia.org/wiki/Tage_Lindbom" TargetMode="External"/><Relationship Id="rId23" Type="http://schemas.openxmlformats.org/officeDocument/2006/relationships/hyperlink" Target="https://worldwisdom.com/author/tage-lindbom/" TargetMode="External"/><Relationship Id="rId24" Type="http://schemas.openxmlformats.org/officeDocument/2006/relationships/hyperlink" Target="https://en.wikipedia.org/wiki/Kurt_Almqvist" TargetMode="External"/><Relationship Id="rId25" Type="http://schemas.openxmlformats.org/officeDocument/2006/relationships/hyperlink" Target="https://lex.dk/Knud_Holmboe" TargetMode="External"/><Relationship Id="rId26" Type="http://schemas.openxmlformats.org/officeDocument/2006/relationships/hyperlink" Target="https://en.wikipedia.org/wiki/Abdul_Wahid_Pedersen" TargetMode="External"/><Relationship Id="rId27" Type="http://schemas.openxmlformats.org/officeDocument/2006/relationships/hyperlink" Target="https://play.google.com/store/books/details/Tror_muslimer_at_jorden_er_flad_100_sp%C3%B8rgsm%C3%A5l_og_s?hl=gsw&amp;id=O_-jwJBfP2wC" TargetMode="External"/><Relationship Id="rId28" Type="http://schemas.openxmlformats.org/officeDocument/2006/relationships/hyperlink" Target="https://no.wikipedia.org/wiki/Lena_Larsen" TargetMode="External"/><Relationship Id="rId29" Type="http://schemas.openxmlformats.org/officeDocument/2006/relationships/hyperlink" Target="https://books.google.com/books/about/New_Muslims_in_the_European_Context.html?id=YMtKEAAAQBAJ" TargetMode="External"/><Relationship Id="rId30" Type="http://schemas.openxmlformats.org/officeDocument/2006/relationships/hyperlink" Target="https://thequran.love/2026/02/15/the-common-word-a-historical-and-theological-analysis-of-quran-364-68-and-the-abrahamic-legacy/" TargetMode="External"/><Relationship Id="rId31" Type="http://schemas.openxmlformats.org/officeDocument/2006/relationships/hyperlink" Target="https://thequran.love/2025/04/01/commentary-on-surah-al-ikhlas-chapter-112-the-purity-of-faith/" TargetMode="External"/><Relationship Id="rId32" Type="http://schemas.openxmlformats.org/officeDocument/2006/relationships/hyperlink" Target="https://thequran.love/2025/12/01/the-rational-sanctuary-addressing-the-eucharistic-crisis-and-the-invitation-of-islamic-monotheism/" TargetMode="External"/><Relationship Id="rId33" Type="http://schemas.openxmlformats.org/officeDocument/2006/relationships/hyperlink" Target="https://thequran.love/2025/06/29/god-as-the-metaphysically-necessary-being-a-contingent-universe-in-islamic-and-christian-perspective/" TargetMode="External"/><Relationship Id="rId34" Type="http://schemas.openxmlformats.org/officeDocument/2006/relationships/hyperlink" Target="https://thequran.love/2026/08/25/research-dossier-one-creator-unified-creation-q-2122-q-3110-11-q-1316-against-polytheism-and-trinitarian-christology/" TargetMode="External"/><Relationship Id="rId35" Type="http://schemas.openxmlformats.org/officeDocument/2006/relationships/hyperlink" Target="https://thequran.love/2026/08/23/wonder-without-the-final-step-einstein-hawking-and-the-quranic-movement-from-cosmic-awe-to-the-personal-god/" TargetMode="External"/><Relationship Id="rId36" Type="http://schemas.openxmlformats.org/officeDocument/2006/relationships/hyperlink" Target="https://thequran.love/2026/07/11/the-one-and-the-ninety-nine-how-the-names-of-allah-interpret-one-another/" TargetMode="External"/><Relationship Id="rId37" Type="http://schemas.openxmlformats.org/officeDocument/2006/relationships/hyperlink" Target="https://thequran.love/2026/08/26/the-ever-present-sustainer/" TargetMode="External"/><Relationship Id="rId38" Type="http://schemas.openxmlformats.org/officeDocument/2006/relationships/hyperlink" Target="https://thequran.love/2026/07/01/the-one-master-and-the-many-tawhid-as-the-integration-of-belief-knowledge-and-self-a-commentary-on-q-3927-29/" TargetMode="External"/><Relationship Id="rId39" Type="http://schemas.openxmlformats.org/officeDocument/2006/relationships/hyperlink" Target="https://thequran.love/2026/02/23/the-existential-iconoclast-a-biography-of-soren-kierkegaard-and-a-comprehensive-critique-of-christendom/" TargetMode="External"/><Relationship Id="rId40" Type="http://schemas.openxmlformats.org/officeDocument/2006/relationships/hyperlink" Target="https://thequran.love/2026/01/22/the-abrahamic-covenant-of-coexistence-a-theological-historical-and-sociological-case-for-interfaith-tolerance-in-the-quran/" TargetMode="External"/><Relationship Id="rId41" Type="http://schemas.openxmlformats.org/officeDocument/2006/relationships/hyperlink" Target="https://thequran.love/2026/08/30/though-they-both-recite-the-scripture-a-historical-philosophical-and-theological-commentary-on-quran-2113/" TargetMode="External"/><Relationship Id="rId42" Type="http://schemas.openxmlformats.org/officeDocument/2006/relationships/hyperlink" Target="https://bookofconcord.org/augsburg-confession/of-god/" TargetMode="External"/><Relationship Id="rId43" Type="http://schemas.openxmlformats.org/officeDocument/2006/relationships/hyperlink" Target="https://quran.com/3/64" TargetMode="External"/><Relationship Id="rId44" Type="http://schemas.openxmlformats.org/officeDocument/2006/relationships/hyperlink" Target="https://quran.com/112" TargetMode="External"/><Relationship Id="rId45" Type="http://schemas.openxmlformats.org/officeDocument/2006/relationships/hyperlink" Target="https://quran.com/19/30" TargetMode="External"/><Relationship Id="rId46" Type="http://schemas.openxmlformats.org/officeDocument/2006/relationships/hyperlink" Target="https://quran.com/4/171" TargetMode="External"/><Relationship Id="rId47" Type="http://schemas.openxmlformats.org/officeDocument/2006/relationships/hyperlink" Target="https://quran.com/3/67" TargetMode="External"/><Relationship Id="rId48" Type="http://schemas.openxmlformats.org/officeDocument/2006/relationships/hyperlink" Target="https://quran.com/59/22-24" TargetMode="External"/><Relationship Id="rId49" Type="http://schemas.openxmlformats.org/officeDocument/2006/relationships/hyperlink" Target="https://quran.com/2/255" TargetMode="External"/><Relationship Id="rId50" Type="http://schemas.openxmlformats.org/officeDocument/2006/relationships/hyperlink" Target="https://quran.com/42/11" TargetMode="External"/><Relationship Id="rId51" Type="http://schemas.openxmlformats.org/officeDocument/2006/relationships/hyperlink" Target="https://quran.com/6/164" TargetMode="External"/><Relationship Id="rId52" Type="http://schemas.openxmlformats.org/officeDocument/2006/relationships/hyperlink" Target="https://quran.com/39/53" TargetMode="External"/><Relationship Id="rId53" Type="http://schemas.openxmlformats.org/officeDocument/2006/relationships/hyperlink" Target="https://quran.com/39/29" TargetMode="External"/><Relationship Id="rId54" Type="http://schemas.openxmlformats.org/officeDocument/2006/relationships/hyperlink" Target="https://quran.com/2/256" TargetMode="External"/><Relationship Id="rId55" Type="http://schemas.openxmlformats.org/officeDocument/2006/relationships/hyperlink" Target="https://quran.com/60/8" TargetMode="External"/><Relationship Id="rId56" Type="http://schemas.openxmlformats.org/officeDocument/2006/relationships/hyperlink" Target="https://quran.com/2/62" TargetMode="External"/><Relationship Id="rId57" Type="http://schemas.openxmlformats.org/officeDocument/2006/relationships/hyperlink" Target="https://quran.com/33/40" TargetMode="External"/><Relationship Id="rId58" Type="http://schemas.openxmlformats.org/officeDocument/2006/relationships/hyperlink" Target="https://quran.com/16/125" TargetMode="External"/><Relationship Id="rId59" Type="http://schemas.openxmlformats.org/officeDocument/2006/relationships/hyperlink" Target="https://quran.com/49/13" TargetMode="External"/><Relationship Id="rId60" Type="http://schemas.openxmlformats.org/officeDocument/2006/relationships/hyperlink" Target="https://thequran.love/category/christianity/" TargetMode="External"/><Relationship Id="rId61" Type="http://schemas.openxmlformats.org/officeDocument/2006/relationships/hyperlink" Target="https://thequran.love/category/monotheism/" TargetMode="External"/><Relationship Id="rId62" Type="http://schemas.openxmlformats.org/officeDocument/2006/relationships/hyperlink" Target="https://thequran.love/category/abrahamic-faiths/" TargetMode="External"/><Relationship Id="rId63" Type="http://schemas.openxmlformats.org/officeDocument/2006/relationships/hyperlink" Target="https://thequran.love/category/attributes-of-god/" TargetMode="External"/><Relationship Id="rId6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quran.com/3/64" TargetMode="External"/><Relationship Id="rId2" Type="http://schemas.openxmlformats.org/officeDocument/2006/relationships/hyperlink" Target="https://thequran.love/2026/02/15/the-common-word-a-historical-and-theological-analysis-of-quran-364-68-and-the-abrahamic-legacy/" TargetMode="External"/><Relationship Id="rId3" Type="http://schemas.openxmlformats.org/officeDocument/2006/relationships/hyperlink" Target="https://www.vikingeskibsmuseet.dk/en/professions/education/the-viking-age-society/the-norse-gods-and-christianity" TargetMode="External"/><Relationship Id="rId4" Type="http://schemas.openxmlformats.org/officeDocument/2006/relationships/hyperlink" Target="https://historiska.se/en/explore-history/history-hub/norse-religion-in-the-viking-age/" TargetMode="External"/><Relationship Id="rId5" Type="http://schemas.openxmlformats.org/officeDocument/2006/relationships/hyperlink" Target="https://en.wikipedia.org/wiki/Vikings" TargetMode="External"/><Relationship Id="rId6" Type="http://schemas.openxmlformats.org/officeDocument/2006/relationships/hyperlink" Target="https://en.wikipedia.org/wiki/Christianization_of_Scandinavia" TargetMode="External"/><Relationship Id="rId7" Type="http://schemas.openxmlformats.org/officeDocument/2006/relationships/hyperlink" Target="https://en.natmus.dk/historical-knowledge/denmark/prehistoric-period-until-1050-ad/the-viking-age/religion-magic-death-and-rituals/christianity-comes-to-denmark/" TargetMode="External"/><Relationship Id="rId8" Type="http://schemas.openxmlformats.org/officeDocument/2006/relationships/hyperlink" Target="https://en.wikipedia.org/wiki/Christianization_of_Scandinavia" TargetMode="External"/><Relationship Id="rId9" Type="http://schemas.openxmlformats.org/officeDocument/2006/relationships/hyperlink" Target="https://www.vikingeskibsmuseet.dk/en/professions/education/the-viking-age-society/barter-and-coinage" TargetMode="External"/><Relationship Id="rId10" Type="http://schemas.openxmlformats.org/officeDocument/2006/relationships/hyperlink" Target="https://bookofconcord.org/augsburg-confession/of-god/" TargetMode="External"/><Relationship Id="rId11" Type="http://schemas.openxmlformats.org/officeDocument/2006/relationships/hyperlink" Target="https://thequran.love/2025/04/01/commentary-on-surah-al-ikhlas-chapter-112-the-purity-of-faith/" TargetMode="External"/><Relationship Id="rId12" Type="http://schemas.openxmlformats.org/officeDocument/2006/relationships/hyperlink" Target="https://quran.com/112" TargetMode="External"/><Relationship Id="rId13" Type="http://schemas.openxmlformats.org/officeDocument/2006/relationships/hyperlink" Target="https://quran.com/19/30" TargetMode="External"/><Relationship Id="rId14" Type="http://schemas.openxmlformats.org/officeDocument/2006/relationships/hyperlink" Target="https://quran.com/4/171" TargetMode="External"/><Relationship Id="rId15" Type="http://schemas.openxmlformats.org/officeDocument/2006/relationships/hyperlink" Target="https://thequran.love/2025/12/01/the-rational-sanctuary-addressing-the-eucharistic-crisis-and-the-invitation-of-islamic-monotheism/" TargetMode="External"/><Relationship Id="rId16" Type="http://schemas.openxmlformats.org/officeDocument/2006/relationships/hyperlink" Target="https://quran.com/3/67" TargetMode="External"/><Relationship Id="rId17" Type="http://schemas.openxmlformats.org/officeDocument/2006/relationships/hyperlink" Target="https://thequran.love/2025/06/29/god-as-the-metaphysically-necessary-being-a-contingent-universe-in-islamic-and-christian-perspective/" TargetMode="External"/><Relationship Id="rId18" Type="http://schemas.openxmlformats.org/officeDocument/2006/relationships/hyperlink" Target="https://thequran.love/2026/08/25/research-dossier-one-creator-unified-creation-q-2122-q-3110-11-q-1316-against-polytheism-and-trinitarian-christology/" TargetMode="External"/><Relationship Id="rId19" Type="http://schemas.openxmlformats.org/officeDocument/2006/relationships/hyperlink" Target="https://thequran.love/2026/08/25/research-dossier-one-creator-unified-creation-q-2122-q-3110-11-q-1316-against-polytheism-and-trinitarian-christology/" TargetMode="External"/><Relationship Id="rId20" Type="http://schemas.openxmlformats.org/officeDocument/2006/relationships/hyperlink" Target="https://thequran.love/2026/08/23/wonder-without-the-final-step-einstein-hawking-and-the-quranic-movement-from-cosmic-awe-to-the-personal-god/" TargetMode="External"/><Relationship Id="rId21" Type="http://schemas.openxmlformats.org/officeDocument/2006/relationships/hyperlink" Target="https://thequran.love/2026/07/11/the-one-and-the-ninety-nine-how-the-names-of-allah-interpret-one-another/" TargetMode="External"/><Relationship Id="rId22" Type="http://schemas.openxmlformats.org/officeDocument/2006/relationships/hyperlink" Target="https://quran.com/59/22-24" TargetMode="External"/><Relationship Id="rId23" Type="http://schemas.openxmlformats.org/officeDocument/2006/relationships/hyperlink" Target="https://quran.com/59/22-24" TargetMode="External"/><Relationship Id="rId24" Type="http://schemas.openxmlformats.org/officeDocument/2006/relationships/hyperlink" Target="https://quran.com/59/22-24" TargetMode="External"/><Relationship Id="rId25" Type="http://schemas.openxmlformats.org/officeDocument/2006/relationships/hyperlink" Target="https://quran.com/2/255" TargetMode="External"/><Relationship Id="rId26" Type="http://schemas.openxmlformats.org/officeDocument/2006/relationships/hyperlink" Target="https://thequran.love/2026/08/26/the-ever-present-sustainer/" TargetMode="External"/><Relationship Id="rId27" Type="http://schemas.openxmlformats.org/officeDocument/2006/relationships/hyperlink" Target="https://quran.com/42/11" TargetMode="External"/><Relationship Id="rId28" Type="http://schemas.openxmlformats.org/officeDocument/2006/relationships/hyperlink" Target="https://quran.com/6/164" TargetMode="External"/><Relationship Id="rId29" Type="http://schemas.openxmlformats.org/officeDocument/2006/relationships/hyperlink" Target="https://quran.com/39/53" TargetMode="External"/><Relationship Id="rId30" Type="http://schemas.openxmlformats.org/officeDocument/2006/relationships/hyperlink" Target="https://thequran.love/2026/07/01/the-one-master-and-the-many-tawhid-as-the-integration-of-belief-knowledge-and-self-a-commentary-on-q-3927-29/" TargetMode="External"/><Relationship Id="rId31" Type="http://schemas.openxmlformats.org/officeDocument/2006/relationships/hyperlink" Target="https://quran.com/39/29" TargetMode="External"/><Relationship Id="rId32" Type="http://schemas.openxmlformats.org/officeDocument/2006/relationships/hyperlink" Target="https://www.modernamuseet.se/en/stockholm/exhibitions/from-the-collection-ivan-agueli-bill-viola/" TargetMode="External"/><Relationship Id="rId33" Type="http://schemas.openxmlformats.org/officeDocument/2006/relationships/hyperlink" Target="https://en.wikipedia.org/wiki/Ivan_Agu%C3%A9li" TargetMode="External"/><Relationship Id="rId34" Type="http://schemas.openxmlformats.org/officeDocument/2006/relationships/hyperlink" Target="https://en.wikipedia.org/wiki/Mohammed_Knut_Bernstr%C3%B6m" TargetMode="External"/><Relationship Id="rId35" Type="http://schemas.openxmlformats.org/officeDocument/2006/relationships/hyperlink" Target="https://en.wikipedia.org/wiki/Tage_Lindbom" TargetMode="External"/><Relationship Id="rId36" Type="http://schemas.openxmlformats.org/officeDocument/2006/relationships/hyperlink" Target="https://worldwisdom.com/author/tage-lindbom/" TargetMode="External"/><Relationship Id="rId37" Type="http://schemas.openxmlformats.org/officeDocument/2006/relationships/hyperlink" Target="https://en.wikipedia.org/wiki/Kurt_Almqvist" TargetMode="External"/><Relationship Id="rId38" Type="http://schemas.openxmlformats.org/officeDocument/2006/relationships/hyperlink" Target="https://lex.dk/Knud_Holmboe" TargetMode="External"/><Relationship Id="rId39" Type="http://schemas.openxmlformats.org/officeDocument/2006/relationships/hyperlink" Target="https://en.wikipedia.org/wiki/Abdul_Wahid_Pedersen" TargetMode="External"/><Relationship Id="rId40" Type="http://schemas.openxmlformats.org/officeDocument/2006/relationships/hyperlink" Target="https://play.google.com/store/books/details/Tror_muslimer_at_jorden_er_flad_100_sp%C3%B8rgsm%C3%A5l_og_s?hl=gsw&amp;id=O_-jwJBfP2wC" TargetMode="External"/><Relationship Id="rId41" Type="http://schemas.openxmlformats.org/officeDocument/2006/relationships/hyperlink" Target="https://no.wikipedia.org/wiki/Lena_Larsen" TargetMode="External"/><Relationship Id="rId42" Type="http://schemas.openxmlformats.org/officeDocument/2006/relationships/hyperlink" Target="https://books.google.com/books/about/New_Muslims_in_the_European_Context.html?id=YMtKEAAAQBAJ" TargetMode="External"/><Relationship Id="rId43" Type="http://schemas.openxmlformats.org/officeDocument/2006/relationships/hyperlink" Target="https://www.pewresearch.org/religion/2017/11/29/europes-growing-muslim-population/" TargetMode="External"/><Relationship Id="rId44" Type="http://schemas.openxmlformats.org/officeDocument/2006/relationships/hyperlink" Target="https://www.ssb.no/en/kultur-og-fritid/religion-og-livssyn/statistikk/trus-og-livssynssamfunn-utanfor-den-norske-kyrkja" TargetMode="External"/><Relationship Id="rId45" Type="http://schemas.openxmlformats.org/officeDocument/2006/relationships/hyperlink" Target="https://www.pewresearch.org/religion/2017/11/29/europes-growing-muslim-population/" TargetMode="External"/><Relationship Id="rId46" Type="http://schemas.openxmlformats.org/officeDocument/2006/relationships/hyperlink" Target="https://www.pewresearch.org/religion/2018/05/29/being-christian-in-western-europe/" TargetMode="External"/><Relationship Id="rId47" Type="http://schemas.openxmlformats.org/officeDocument/2006/relationships/hyperlink" Target="https://thequran.love/2026/02/23/the-existential-iconoclast-a-biography-of-soren-kierkegaard-and-a-comprehensive-critique-of-christendom/" TargetMode="External"/><Relationship Id="rId48" Type="http://schemas.openxmlformats.org/officeDocument/2006/relationships/hyperlink" Target="https://www.echr.coe.int/documents/d/echr/convention_ENG" TargetMode="External"/><Relationship Id="rId49" Type="http://schemas.openxmlformats.org/officeDocument/2006/relationships/hyperlink" Target="https://quran.com/2/256" TargetMode="External"/><Relationship Id="rId50" Type="http://schemas.openxmlformats.org/officeDocument/2006/relationships/hyperlink" Target="https://quran.com/60/8" TargetMode="External"/><Relationship Id="rId51" Type="http://schemas.openxmlformats.org/officeDocument/2006/relationships/hyperlink" Target="https://thequran.love/2026/01/22/the-abrahamic-covenant-of-coexistence-a-theological-historical-and-sociological-case-for-interfaith-tolerance-in-the-quran/" TargetMode="External"/><Relationship Id="rId52" Type="http://schemas.openxmlformats.org/officeDocument/2006/relationships/hyperlink" Target="https://thequran.love/2026/08/30/though-they-both-recite-the-scripture-a-historical-philosophical-and-theological-commentary-on-quran-2113/" TargetMode="External"/><Relationship Id="rId53" Type="http://schemas.openxmlformats.org/officeDocument/2006/relationships/hyperlink" Target="https://thequran.love/2026/08/30/though-they-both-recite-the-scripture-a-historical-philosophical-and-theological-commentary-on-quran-2113/" TargetMode="External"/><Relationship Id="rId54" Type="http://schemas.openxmlformats.org/officeDocument/2006/relationships/hyperlink" Target="https://quran.com/2/62" TargetMode="External"/><Relationship Id="rId55" Type="http://schemas.openxmlformats.org/officeDocument/2006/relationships/hyperlink" Target="https://quran.com/33/40" TargetMode="External"/><Relationship Id="rId56" Type="http://schemas.openxmlformats.org/officeDocument/2006/relationships/hyperlink" Target="https://quran.com/16/125" TargetMode="External"/><Relationship Id="rId57" Type="http://schemas.openxmlformats.org/officeDocument/2006/relationships/hyperlink" Target="https://quran.com/49/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Invitation to Islamic Monotheism for Norwegians, Danes, and Swedes</dc:title>
  <dc:subject>Scandinavian religious history, Islamic monotheism, conversion and peaceful coexistence</dc:subject>
  <dc:creator/>
  <cp:keywords>Scandinavia, Islam, Christianity, monotheism, Zia H Shah</cp:keywords>
  <dc:description>generated by python-docx</dc:description>
  <cp:lastModifiedBy/>
  <cp:revision>1</cp:revision>
  <dcterms:created xsi:type="dcterms:W3CDTF">2013-12-23T23:15:00Z</dcterms:created>
  <dcterms:modified xsi:type="dcterms:W3CDTF">2013-12-23T23:15:00Z</dcterms:modified>
  <cp:category/>
</cp:coreProperties>
</file>