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Quran 45 verses 24 to 30 and the Four Books of God</w:t>
      </w:r>
    </w:p>
    <w:p>
      <w:pPr>
        <w:pStyle w:val="Subtitle"/>
      </w:pPr>
      <w:r>
        <w:t>A scientific philosophical and theological commentary engaging the thesis of Zia H Shah MD</w:t>
      </w:r>
    </w:p>
    <w:p>
      <w:pPr>
        <w:pStyle w:val="Heading1"/>
      </w:pPr>
      <w:r>
        <w:t>Abstract</w:t>
      </w:r>
    </w:p>
    <w:p>
      <w:r>
        <w:t>Qur’an 45:24–30 challenges the claim that earthly life exhausts human existence and that the passage of time finally extinguishes its significance. It answers with a sequence of divine life-giving, death, resurrection, universal accountability, a truthful record, and mercy. Zia H. Shah’s Four Books Thesis offers a fruitful framework for understanding this sequence through the interconnected books of Revelation, Nature, Divine Decree, and Human Deeds. This commentary argues that the framework has substantial Qur’anic support as a theological synthesis, although the Qur’an does not formally enumerate a doctrine called the Four Books. Its central insight is that the world’s intelligibility and humanity’s accountability belong to one divine order. Contemporary science enriches this insight through environmental records, quantum information, the thermodynamics of computation, and developments in black-hole physics. The simulation hypothesis adds a philosophical model of how an experienced world could depend on a reality beyond its inhabitants’ immediate access. These connections have different evidential strengths: environmental information transfer has experimental support; holographic duality supplies powerful theoretical models; the simulation argument remains conditional philosophy. None establishes experimentally that the universe is a computer simulation or that a physical archive is the divine Book of Deeds. The strongest case joins scriptural interpretation, philosophical reasoning, and carefully bounded scientific analogies. It preserves the distinctions between information and meaning, foreknowledge and coercion, physical reconstruction and personal resurrection, and accurate remembrance and merciful judgment. The passage culminates in the believer’s entrance into divine mercy, giving the four books their ethical and devotional purpose.</w:t>
      </w:r>
    </w:p>
    <w:p>
      <w:pPr>
        <w:pStyle w:val="Heading1"/>
        <w:pageBreakBefore/>
      </w:pPr>
      <w:r>
        <w:t>The thesis and the passage</w:t>
      </w:r>
    </w:p>
    <w:p>
      <w:r>
        <w:t xml:space="preserve">The Four Books Thesis gathers four Qur’anic themes into a single interpretive framework. Revelation addresses us in words; Nature confronts us with a created order that can be investigated; Divine Decree places that order within God’s knowledge and governance; the Book of Deeds makes human conduct answerable to truth. The main essay supplied for this commentary relates these themes to occasionalism, simulation arguments, quantum information, and the neuroscience of dreaming. Its most defensible contribution is the proposal that modern knowledge can make some scriptural descriptions newly intelligible without replacing their theological meaning. </w:t>
      </w:r>
      <w:r>
        <w:t>[</w:t>
      </w:r>
      <w:hyperlink r:id="rId9">
        <w:r>
          <w:rPr>
            <w:color w:val="000000"/>
            <w:u w:val="single"/>
            <w:sz w:val="20"/>
          </w:rPr>
          <w:t>1</w:t>
        </w:r>
      </w:hyperlink>
      <w:r>
        <w:t>]</w:t>
      </w:r>
      <w:r/>
    </w:p>
    <w:tbl>
      <w:tblPr>
        <w:tblW w:type="auto" w:w="0"/>
        <w:jc w:val="center"/>
        <w:tblLayout w:type="fixed"/>
        <w:tblLook w:firstColumn="1" w:firstRow="1" w:lastColumn="0" w:lastRow="0" w:noHBand="0" w:noVBand="1" w:val="04A0"/>
      </w:tblPr>
      <w:tblGrid>
        <w:gridCol w:w="2232"/>
        <w:gridCol w:w="3168"/>
        <w:gridCol w:w="4392"/>
      </w:tblGrid>
      <w:tr>
        <w:trPr>
          <w:cantSplit/>
          <w:tblHeader/>
        </w:trPr>
        <w:tc>
          <w:tcPr>
            <w:tcW w:type="dxa" w:w="2232"/>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E6ECF1"/>
          </w:tcPr>
          <w:p>
            <w:pPr>
              <w:keepLines/>
              <w:spacing w:line="252" w:lineRule="auto" w:after="0"/>
            </w:pPr>
            <w:r>
              <w:rPr>
                <w:b/>
                <w:sz w:val="20"/>
              </w:rPr>
              <w:t>Book</w:t>
            </w:r>
          </w:p>
        </w:tc>
        <w:tc>
          <w:tcPr>
            <w:tcW w:type="dxa" w:w="3168"/>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E6ECF1"/>
          </w:tcPr>
          <w:p>
            <w:pPr>
              <w:keepLines/>
              <w:spacing w:line="252" w:lineRule="auto" w:after="0"/>
            </w:pPr>
            <w:r>
              <w:rPr>
                <w:b/>
                <w:sz w:val="20"/>
              </w:rPr>
              <w:t>Principal subject</w:t>
            </w:r>
          </w:p>
        </w:tc>
        <w:tc>
          <w:tcPr>
            <w:tcW w:type="dxa" w:w="4392"/>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E6ECF1"/>
          </w:tcPr>
          <w:p>
            <w:pPr>
              <w:keepLines/>
              <w:spacing w:line="252" w:lineRule="auto" w:after="0"/>
            </w:pPr>
            <w:r>
              <w:rPr>
                <w:b/>
                <w:sz w:val="20"/>
              </w:rPr>
              <w:t>Role in the argument</w:t>
            </w:r>
          </w:p>
        </w:tc>
      </w:tr>
      <w:tr>
        <w:trPr>
          <w:cantSplit/>
        </w:trPr>
        <w:tc>
          <w:tcPr>
            <w:tcW w:type="dxa" w:w="2232"/>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FFFFFF"/>
          </w:tcPr>
          <w:p>
            <w:pPr>
              <w:keepLines/>
              <w:spacing w:line="252" w:lineRule="auto" w:after="0"/>
            </w:pPr>
            <w:r>
              <w:rPr>
                <w:b w:val="0"/>
                <w:sz w:val="20"/>
              </w:rPr>
              <w:t>Revelation</w:t>
            </w:r>
          </w:p>
        </w:tc>
        <w:tc>
          <w:tcPr>
            <w:tcW w:type="dxa" w:w="3168"/>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FFFFFF"/>
          </w:tcPr>
          <w:p>
            <w:pPr>
              <w:keepLines/>
              <w:spacing w:line="252" w:lineRule="auto" w:after="0"/>
            </w:pPr>
            <w:r>
              <w:rPr>
                <w:b w:val="0"/>
                <w:sz w:val="20"/>
              </w:rPr>
              <w:t>Divine guidance communicated to humanity</w:t>
            </w:r>
          </w:p>
        </w:tc>
        <w:tc>
          <w:tcPr>
            <w:tcW w:type="dxa" w:w="4392"/>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FFFFFF"/>
          </w:tcPr>
          <w:p>
            <w:pPr>
              <w:keepLines/>
              <w:spacing w:line="252" w:lineRule="auto" w:after="0"/>
            </w:pPr>
            <w:r>
              <w:rPr>
                <w:b w:val="0"/>
                <w:sz w:val="20"/>
              </w:rPr>
              <w:t>Explains what human life means and what is required of us</w:t>
            </w:r>
          </w:p>
        </w:tc>
      </w:tr>
      <w:tr>
        <w:trPr>
          <w:cantSplit/>
        </w:trPr>
        <w:tc>
          <w:tcPr>
            <w:tcW w:type="dxa" w:w="2232"/>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FFFFFF"/>
          </w:tcPr>
          <w:p>
            <w:pPr>
              <w:keepLines/>
              <w:spacing w:line="252" w:lineRule="auto" w:after="0"/>
            </w:pPr>
            <w:r>
              <w:rPr>
                <w:b w:val="0"/>
                <w:sz w:val="20"/>
              </w:rPr>
              <w:t>Nature</w:t>
            </w:r>
          </w:p>
        </w:tc>
        <w:tc>
          <w:tcPr>
            <w:tcW w:type="dxa" w:w="3168"/>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FFFFFF"/>
          </w:tcPr>
          <w:p>
            <w:pPr>
              <w:keepLines/>
              <w:spacing w:line="252" w:lineRule="auto" w:after="0"/>
            </w:pPr>
            <w:r>
              <w:rPr>
                <w:b w:val="0"/>
                <w:sz w:val="20"/>
              </w:rPr>
              <w:t>The created order and its signs</w:t>
            </w:r>
          </w:p>
        </w:tc>
        <w:tc>
          <w:tcPr>
            <w:tcW w:type="dxa" w:w="4392"/>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FFFFFF"/>
          </w:tcPr>
          <w:p>
            <w:pPr>
              <w:keepLines/>
              <w:spacing w:line="252" w:lineRule="auto" w:after="0"/>
            </w:pPr>
            <w:r>
              <w:rPr>
                <w:b w:val="0"/>
                <w:sz w:val="20"/>
              </w:rPr>
              <w:t>Supplies the world in which inquiry and responsible action occur</w:t>
            </w:r>
          </w:p>
        </w:tc>
      </w:tr>
      <w:tr>
        <w:trPr>
          <w:cantSplit/>
        </w:trPr>
        <w:tc>
          <w:tcPr>
            <w:tcW w:type="dxa" w:w="2232"/>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FFFFFF"/>
          </w:tcPr>
          <w:p>
            <w:pPr>
              <w:keepLines/>
              <w:spacing w:line="252" w:lineRule="auto" w:after="0"/>
            </w:pPr>
            <w:r>
              <w:rPr>
                <w:b w:val="0"/>
                <w:sz w:val="20"/>
              </w:rPr>
              <w:t>Divine Decree</w:t>
            </w:r>
          </w:p>
        </w:tc>
        <w:tc>
          <w:tcPr>
            <w:tcW w:type="dxa" w:w="3168"/>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FFFFFF"/>
          </w:tcPr>
          <w:p>
            <w:pPr>
              <w:keepLines/>
              <w:spacing w:line="252" w:lineRule="auto" w:after="0"/>
            </w:pPr>
            <w:r>
              <w:rPr>
                <w:b w:val="0"/>
                <w:sz w:val="20"/>
              </w:rPr>
              <w:t>God’s knowledge, measure, and governance</w:t>
            </w:r>
          </w:p>
        </w:tc>
        <w:tc>
          <w:tcPr>
            <w:tcW w:type="dxa" w:w="4392"/>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FFFFFF"/>
          </w:tcPr>
          <w:p>
            <w:pPr>
              <w:keepLines/>
              <w:spacing w:line="252" w:lineRule="auto" w:after="0"/>
            </w:pPr>
            <w:r>
              <w:rPr>
                <w:b w:val="0"/>
                <w:sz w:val="20"/>
              </w:rPr>
              <w:t>Places creation and history within comprehensive divine understanding</w:t>
            </w:r>
          </w:p>
        </w:tc>
      </w:tr>
      <w:tr>
        <w:trPr>
          <w:cantSplit/>
        </w:trPr>
        <w:tc>
          <w:tcPr>
            <w:tcW w:type="dxa" w:w="2232"/>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FFFFFF"/>
          </w:tcPr>
          <w:p>
            <w:pPr>
              <w:keepLines/>
              <w:spacing w:line="252" w:lineRule="auto" w:after="0"/>
            </w:pPr>
            <w:r>
              <w:rPr>
                <w:b w:val="0"/>
                <w:sz w:val="20"/>
              </w:rPr>
              <w:t>Deeds</w:t>
            </w:r>
          </w:p>
        </w:tc>
        <w:tc>
          <w:tcPr>
            <w:tcW w:type="dxa" w:w="3168"/>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FFFFFF"/>
          </w:tcPr>
          <w:p>
            <w:pPr>
              <w:keepLines/>
              <w:spacing w:line="252" w:lineRule="auto" w:after="0"/>
            </w:pPr>
            <w:r>
              <w:rPr>
                <w:b w:val="0"/>
                <w:sz w:val="20"/>
              </w:rPr>
              <w:t>Human actions, intentions, and consequences</w:t>
            </w:r>
          </w:p>
        </w:tc>
        <w:tc>
          <w:tcPr>
            <w:tcW w:type="dxa" w:w="4392"/>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FFFFFF"/>
          </w:tcPr>
          <w:p>
            <w:pPr>
              <w:keepLines/>
              <w:spacing w:line="252" w:lineRule="auto" w:after="0"/>
            </w:pPr>
            <w:r>
              <w:rPr>
                <w:b w:val="0"/>
                <w:sz w:val="20"/>
              </w:rPr>
              <w:t>Grounds truthful disclosure, justice, and final accountability</w:t>
            </w:r>
          </w:p>
        </w:tc>
      </w:tr>
    </w:tbl>
    <w:p>
      <w:pPr>
        <w:spacing w:after="0"/>
      </w:pPr>
    </w:p>
    <w:p>
      <w:r>
        <w:t>These are four distinguishable functions, not necessarily four separate physical objects. Nature is called a “book” analogically in this framework; the Qur’an repeatedly calls its phenomena signs. Revelation and the records of decree and deeds receive explicit scriptural language of books, writing, or inscription. Their distinctions should therefore be retained without demanding a one-to-one correspondence between every occurrence of kitāb and a single category.</w:t>
      </w:r>
    </w:p>
    <w:p>
      <w:r>
        <w:t xml:space="preserve">The accompanying June research compilation highlights the sequence from sovereignty to the gathered communities, their records, and judgment. Its discussion of the repeated attribution of the book is especially useful: in 45:28 it belongs to the community whose conduct it contains; in 45:29 God calls it “Our record,” establishing its authority. These consecutive references need not designate two unrelated books. </w:t>
      </w:r>
      <w:r>
        <w:t>[</w:t>
      </w:r>
      <w:hyperlink r:id="rId10">
        <w:r>
          <w:rPr>
            <w:color w:val="000000"/>
            <w:u w:val="single"/>
            <w:sz w:val="20"/>
          </w:rPr>
          <w:t>2</w:t>
        </w:r>
      </w:hyperlink>
      <w:r>
        <w:t>]</w:t>
      </w:r>
      <w:r/>
    </w:p>
    <w:p>
      <w:r>
        <w:t xml:space="preserve">The companion essay on an “information-theoretic eschaton” invites us to consider how an event might remain available to knowledge after it disappears from ordinary experience. That question deserves serious attention. Several of its stronger scientific formulations, however, require qualification: decoherence is not by itself a demonstrated physical collapse; the no-hiding theorem does not say that information is stored only in correlations; and Landauer’s principle does not establish an eternally readable moral archive. The argument below develops the underlying insight using the relevant primary research. </w:t>
      </w:r>
      <w:r>
        <w:t>[</w:t>
      </w:r>
      <w:hyperlink r:id="rId11">
        <w:r>
          <w:rPr>
            <w:color w:val="000000"/>
            <w:u w:val="single"/>
            <w:sz w:val="20"/>
          </w:rPr>
          <w:t>3</w:t>
        </w:r>
      </w:hyperlink>
      <w:r>
        <w:t>]</w:t>
      </w:r>
      <w:r/>
    </w:p>
    <w:p>
      <w:r>
        <w:t>The English translations throughout this commentary are fresh working renderings of the Arabic, rather than quotations from a named modern translator. Each verse cited is reproduced in Arabic. References to ranges include every verse in that range. Qur’anic wording is distinguished from the interpretations developed around it.</w:t>
      </w:r>
    </w:p>
    <w:p>
      <w:pPr>
        <w:pStyle w:val="VerseLabel"/>
      </w:pPr>
      <w:hyperlink r:id="rId12">
        <w:r>
          <w:rPr>
            <w:color w:val="000000"/>
            <w:u w:val="single"/>
            <w:sz w:val="20"/>
            <w:b/>
          </w:rPr>
          <w:t>Qur’an 45:24</w:t>
        </w:r>
      </w:hyperlink>
    </w:p>
    <w:p>
      <w:pPr>
        <w:pStyle w:val="ArabicVerse"/>
        <w:jc w:val="left"/>
        <w:bidi w:val="1"/>
      </w:pPr>
      <w:r>
        <w:rPr>
          <w:rFonts w:ascii="Noto Naskh Arabic" w:hAnsi="Noto Naskh Arabic" w:cs="Noto Naskh Arabic" w:eastAsia="Noto Naskh Arabic"/>
          <w:rtl w:val="1"/>
          <w:szCs w:val="30"/>
          <w:lang w:bidi="ar-SA"/>
        </w:rPr>
        <w:t>وَقَالُواْ مَا هِيَ إِلَّا حَيَاتُنَا ٱلدُّنۡيَا نَمُوتُ وَنَحۡيَا وَمَا يُهۡلِكُنَآ إِلَّا ٱلدَّهۡرُۚ وَمَا لَهُم بِذَٰلِكَ مِنۡ عِلۡمٍۖ إِنۡ هُمۡ إِلَّا يَظُنُّونَ</w:t>
      </w:r>
    </w:p>
    <w:p>
      <w:pPr>
        <w:pStyle w:val="Translation"/>
      </w:pPr>
      <w:r>
        <w:t>They say, “There is only our present worldly life: we die and we live, and nothing destroys us except time.” Yet they have no knowledge of this; they are merely conjecturing.</w:t>
      </w:r>
    </w:p>
    <w:p>
      <w:r>
        <w:t>The first claim is an ontological judgment: only this worldly life exists. The second invokes al-dahr, the passage or succession of time, to account for humanity’s disappearance. The verse does not deny observable mortality. Its objection concerns the movement from mortality to an exhaustive assertion about reality. Observing death establishes that a living organism ceases to function; the further claim that no divine restoration can occur requires additional premises.</w:t>
      </w:r>
    </w:p>
    <w:p>
      <w:r>
        <w:t>This distinction is important scientifically. Time is a parameter in physical descriptions, not a complete account of why organisms deteriorate. Explanations of aging and death concern biological processes unfolding in time. A successful account of those processes does not independently establish that God cannot resurrect the dead. Equally, an unanswered metaphysical question does not itself establish that resurrection will happen. The positive religious argument must come from the broader case for God, revelation, and divine purpose.</w:t>
      </w:r>
    </w:p>
    <w:p>
      <w:r>
        <w:t xml:space="preserve">Maududi’s commentary draws attention to precisely this excess of certainty: the categorical denial of an afterlife goes beyond what these deniers know. </w:t>
      </w:r>
      <w:r>
        <w:t>[</w:t>
      </w:r>
      <w:hyperlink r:id="rId13">
        <w:r>
          <w:rPr>
            <w:color w:val="000000"/>
            <w:u w:val="single"/>
            <w:sz w:val="20"/>
          </w:rPr>
          <w:t>4</w:t>
        </w:r>
      </w:hyperlink>
      <w:r>
        <w:t>]</w:t>
      </w:r>
      <w:r>
        <w:t xml:space="preserve"> Applied consistently, the verse also disciplines religious argument. We should not answer an unsupported denial with an unsupported assertion that physics has already detected the hereafter. Its criticism of conjecture makes intellectual honesty part of faith.</w:t>
      </w:r>
    </w:p>
    <w:p>
      <w:pPr>
        <w:pStyle w:val="VerseLabel"/>
      </w:pPr>
      <w:hyperlink r:id="rId14">
        <w:r>
          <w:rPr>
            <w:color w:val="000000"/>
            <w:u w:val="single"/>
            <w:sz w:val="20"/>
            <w:b/>
          </w:rPr>
          <w:t>Qur’an 45:25</w:t>
        </w:r>
      </w:hyperlink>
    </w:p>
    <w:p>
      <w:pPr>
        <w:pStyle w:val="ArabicVerse"/>
        <w:jc w:val="left"/>
        <w:bidi w:val="1"/>
      </w:pPr>
      <w:r>
        <w:rPr>
          <w:rFonts w:ascii="Noto Naskh Arabic" w:hAnsi="Noto Naskh Arabic" w:cs="Noto Naskh Arabic" w:eastAsia="Noto Naskh Arabic"/>
          <w:rtl w:val="1"/>
          <w:szCs w:val="30"/>
          <w:lang w:bidi="ar-SA"/>
        </w:rPr>
        <w:t>وَإِذَا تُتۡلَىٰ عَلَيۡهِمۡ ءَايَٰتُنَا بَيِّنَٰتٖ مَّا كَانَ حُجَّتَهُمۡ إِلَّآ أَن قَالُواْ ٱئۡتُواْ بِـَٔابَآئِنَآ إِن كُنتُمۡ صَٰدِقِينَ</w:t>
      </w:r>
    </w:p>
    <w:p>
      <w:pPr>
        <w:pStyle w:val="Translation"/>
      </w:pPr>
      <w:r>
        <w:t>When Our clear signs are recited to them, their only argument is to say, “Bring back our fathers, if you are truthful.”</w:t>
      </w:r>
    </w:p>
    <w:p>
      <w:r>
        <w:t>The demand turns a promised universal resurrection into a challenge for an immediate demonstration. Within the passage’s logic, these are different claims. A promised event at an appointed judgment does not entail that every challenger may require it to occur now. The request also narrows the field of admissible evidence before considering the cumulative argument from creation, revelation, and moral purpose.</w:t>
      </w:r>
    </w:p>
    <w:p>
      <w:r>
        <w:t>There is nevertheless a legitimate question beneath the challenge: what warrants belief in an event not yet witnessed? The Four Books approach answers by relating kinds of knowledge. The Book of Nature supplies evidence of an intelligible world and the reality of human life; Revelation interprets its ultimate purpose; Divine Decree and the Book of Deeds place the future judgment within divine knowledge and justice. This is a cumulative theological argument. It is not a laboratory protocol for summoning the dead.</w:t>
      </w:r>
    </w:p>
    <w:p>
      <w:pPr>
        <w:pStyle w:val="VerseLabel"/>
      </w:pPr>
      <w:hyperlink r:id="rId15">
        <w:r>
          <w:rPr>
            <w:color w:val="000000"/>
            <w:u w:val="single"/>
            <w:sz w:val="20"/>
            <w:b/>
          </w:rPr>
          <w:t>Qur’an 45:26</w:t>
        </w:r>
      </w:hyperlink>
    </w:p>
    <w:p>
      <w:pPr>
        <w:pStyle w:val="ArabicVerse"/>
        <w:jc w:val="left"/>
        <w:bidi w:val="1"/>
      </w:pPr>
      <w:r>
        <w:rPr>
          <w:rFonts w:ascii="Noto Naskh Arabic" w:hAnsi="Noto Naskh Arabic" w:cs="Noto Naskh Arabic" w:eastAsia="Noto Naskh Arabic"/>
          <w:rtl w:val="1"/>
          <w:szCs w:val="30"/>
          <w:lang w:bidi="ar-SA"/>
        </w:rPr>
        <w:t>قُلِ ٱللَّهُ يُحۡيِيكُمۡ ثُمَّ يُمِيتُكُمۡ ثُمَّ يَجۡمَعُكُمۡ إِلَىٰ يَوۡمِ ٱلۡقِيَٰمَةِ لَا رَيۡبَ فِيهِ وَلَٰكِنَّ أَكۡثَرَ ٱلنَّاسِ لَا يَعۡلَمُونَ</w:t>
      </w:r>
    </w:p>
    <w:p>
      <w:pPr>
        <w:pStyle w:val="Translation"/>
      </w:pPr>
      <w:r>
        <w:t>Say, “God gives you life, then causes you to die, then gathers you to the Day of Resurrection, about which there is no doubt; but most people do not know.”</w:t>
      </w:r>
    </w:p>
    <w:p>
      <w:r>
        <w:t>Life-giving, death, and gathering belong to one sovereignty. The theological force is continuity of agency: the Creator’s power does not terminate where present biological mechanisms cease. The claim that God can restore a person is grounded in the same divine agency by which persons exist in the first place.</w:t>
      </w:r>
    </w:p>
    <w:p>
      <w:r>
        <w:t>“There is no doubt” states the certainty of the divine promise within the discourse of revelation. It should not be confused with a declaration that every scientific or philosophical audience has already accepted a proof. Faith’s confidence and public assessment of its grounds remain related but distinguishable questions. An intellectually responsible apologetic explains those grounds rather than treating the assertion as a substitute for them.</w:t>
      </w:r>
    </w:p>
    <w:p>
      <w:pPr>
        <w:pStyle w:val="VerseLabel"/>
      </w:pPr>
      <w:hyperlink r:id="rId16">
        <w:r>
          <w:rPr>
            <w:color w:val="000000"/>
            <w:u w:val="single"/>
            <w:sz w:val="20"/>
            <w:b/>
          </w:rPr>
          <w:t>Qur’an 45:27</w:t>
        </w:r>
      </w:hyperlink>
    </w:p>
    <w:p>
      <w:pPr>
        <w:pStyle w:val="ArabicVerse"/>
        <w:jc w:val="left"/>
        <w:bidi w:val="1"/>
      </w:pPr>
      <w:r>
        <w:rPr>
          <w:rFonts w:ascii="Noto Naskh Arabic" w:hAnsi="Noto Naskh Arabic" w:cs="Noto Naskh Arabic" w:eastAsia="Noto Naskh Arabic"/>
          <w:rtl w:val="1"/>
          <w:szCs w:val="30"/>
          <w:lang w:bidi="ar-SA"/>
        </w:rPr>
        <w:t>وَلِلَّهِ مُلۡكُ ٱلسَّمَٰوَٰتِ وَٱلۡأَرۡضِۚ وَيَوۡمَ تَقُومُ ٱلسَّاعَةُ يَوۡمَئِذٖ يَخۡسَرُ ٱلۡمُبۡطِلُونَ</w:t>
      </w:r>
    </w:p>
    <w:p>
      <w:pPr>
        <w:pStyle w:val="Translation"/>
      </w:pPr>
      <w:r>
        <w:t>To God belongs the sovereignty of the heavens and the earth. On the day the Hour arises, those who persist in falsehood will lose.</w:t>
      </w:r>
    </w:p>
    <w:p>
      <w:r>
        <w:t>The passage moves from the individual life to the whole domain in which life occurs. God’s sovereignty encompasses the stage of history and its conclusion. On a theistic reading, nature’s laws describe dependable features of creation; their regularity does not make them independent authorities over their Creator.</w:t>
      </w:r>
    </w:p>
    <w:p>
      <w:r>
        <w:t>Here the Book of Nature and the Book of Decree meet. An ordered universe enables action, prediction, and responsibility. The conclusion of its present order does not fall outside the knowledge that sustains it. The verse gives theological grounds for that claim; neither the distant prospect of cosmic cooling nor any particular cosmological end-state identifies the Qur’anic Hour.</w:t>
      </w:r>
    </w:p>
    <w:p>
      <w:pPr>
        <w:pStyle w:val="VerseLabel"/>
      </w:pPr>
      <w:hyperlink r:id="rId17">
        <w:r>
          <w:rPr>
            <w:color w:val="000000"/>
            <w:u w:val="single"/>
            <w:sz w:val="20"/>
            <w:b/>
          </w:rPr>
          <w:t>Qur’an 45:28</w:t>
        </w:r>
      </w:hyperlink>
    </w:p>
    <w:p>
      <w:pPr>
        <w:pStyle w:val="ArabicVerse"/>
        <w:jc w:val="left"/>
        <w:bidi w:val="1"/>
      </w:pPr>
      <w:r>
        <w:rPr>
          <w:rFonts w:ascii="Noto Naskh Arabic" w:hAnsi="Noto Naskh Arabic" w:cs="Noto Naskh Arabic" w:eastAsia="Noto Naskh Arabic"/>
          <w:rtl w:val="1"/>
          <w:szCs w:val="30"/>
          <w:lang w:bidi="ar-SA"/>
        </w:rPr>
        <w:t>وَتَرَىٰ كُلَّ أُمَّةٖ جَاثِيَةٗۚ كُلُّ أُمَّةٖ تُدۡعَىٰٓ إِلَىٰ كِتَٰبِهَا ٱلۡيَوۡمَ تُجۡزَوۡنَ مَا كُنتُمۡ تَعۡمَلُونَ</w:t>
      </w:r>
    </w:p>
    <w:p>
      <w:pPr>
        <w:pStyle w:val="Translation"/>
      </w:pPr>
      <w:r>
        <w:t>You will see every community kneeling. Every community will be called to its record: “Today you are repaid for what you used to do.”</w:t>
      </w:r>
    </w:p>
    <w:p>
      <w:r>
        <w:t>The communities kneel because their power to control appearances has ended. The collective language matters. Human actions occur within institutions, inherited practices, public decisions, and relations of influence. A community has a history that can be examined even while responsibility differs among its members. The verse supports moral reflection on collective conduct without authorizing guilt by ancestry or identity.</w:t>
      </w:r>
    </w:p>
    <w:p>
      <w:r>
        <w:t xml:space="preserve">Ibn Kathir understands the book here as the record of deeds and the kneeling as a response to the gravity of the resurrection. </w:t>
      </w:r>
      <w:r>
        <w:t>[</w:t>
      </w:r>
      <w:hyperlink r:id="rId18">
        <w:r>
          <w:rPr>
            <w:color w:val="000000"/>
            <w:u w:val="single"/>
            <w:sz w:val="20"/>
          </w:rPr>
          <w:t>5</w:t>
        </w:r>
      </w:hyperlink>
      <w:r>
        <w:t>]</w:t>
      </w:r>
      <w:r>
        <w:t xml:space="preserve"> In contemporary terms, the scene defeats the belief that institutions can make wrongdoing unreal by destroying their own documents. That is a theological application of divine knowledge, not a claim that human investigators can recover every historical fact.</w:t>
      </w:r>
    </w:p>
    <w:p>
      <w:pPr>
        <w:pStyle w:val="VerseLabel"/>
      </w:pPr>
      <w:hyperlink r:id="rId19">
        <w:r>
          <w:rPr>
            <w:color w:val="000000"/>
            <w:u w:val="single"/>
            <w:sz w:val="20"/>
            <w:b/>
          </w:rPr>
          <w:t>Qur’an 45:29</w:t>
        </w:r>
      </w:hyperlink>
    </w:p>
    <w:p>
      <w:pPr>
        <w:pStyle w:val="ArabicVerse"/>
        <w:jc w:val="left"/>
        <w:bidi w:val="1"/>
      </w:pPr>
      <w:r>
        <w:rPr>
          <w:rFonts w:ascii="Noto Naskh Arabic" w:hAnsi="Noto Naskh Arabic" w:cs="Noto Naskh Arabic" w:eastAsia="Noto Naskh Arabic"/>
          <w:rtl w:val="1"/>
          <w:szCs w:val="30"/>
          <w:lang w:bidi="ar-SA"/>
        </w:rPr>
        <w:t>هَٰذَا كِتَٰبُنَا يَنطِقُ عَلَيۡكُم بِٱلۡحَقِّۚ إِنَّا كُنَّا نَسۡتَنسِخُ مَا كُنتُمۡ تَعۡمَلُونَ</w:t>
      </w:r>
    </w:p>
    <w:p>
      <w:pPr>
        <w:pStyle w:val="Translation"/>
      </w:pPr>
      <w:r>
        <w:t>This record of Ours bears truthful witness concerning you. We were having recorded what you used to do.</w:t>
      </w:r>
    </w:p>
    <w:p>
      <w:r>
        <w:t>This is the central verse for the present commentary. Kitābunā establishes the record’s divine authority; yanṭiqu depicts its capacity to disclose or testify; bi-l-ḥaqq establishes its truthfulness; and nastansikhu explains that the deeds were recorded. The point is an account adequate to judgment. Recording serves the disclosure of truth to creatures; it does not supply God with information He previously lacked.</w:t>
      </w:r>
    </w:p>
    <w:p>
      <w:r>
        <w:t xml:space="preserve">Al-Tabari explains the recording as God having the guardians write human deeds. He also transmits reports connecting the inscription to an antecedent master record. </w:t>
      </w:r>
      <w:r>
        <w:t>[</w:t>
      </w:r>
      <w:hyperlink r:id="rId20">
        <w:r>
          <w:rPr>
            <w:color w:val="000000"/>
            <w:u w:val="single"/>
            <w:sz w:val="20"/>
          </w:rPr>
          <w:t>6</w:t>
        </w:r>
      </w:hyperlink>
      <w:r>
        <w:t>]</w:t>
      </w:r>
      <w:r>
        <w:t xml:space="preserve"> Al-Qurtubi explains the book’s “speaking” through the language of testimony and making matters clear, while recording several views about transcription. </w:t>
      </w:r>
      <w:r>
        <w:t>[</w:t>
      </w:r>
      <w:hyperlink r:id="rId21">
        <w:r>
          <w:rPr>
            <w:color w:val="000000"/>
            <w:u w:val="single"/>
            <w:sz w:val="20"/>
          </w:rPr>
          <w:t>7</w:t>
        </w:r>
      </w:hyperlink>
      <w:r>
        <w:t>]</w:t>
      </w:r>
      <w:r>
        <w:t xml:space="preserve"> Ibn Kathir emphasizes fidelity and transmits the comparison between angelic records and what was previously written. </w:t>
      </w:r>
      <w:r>
        <w:t>[</w:t>
      </w:r>
      <w:hyperlink r:id="rId18">
        <w:r>
          <w:rPr>
            <w:color w:val="000000"/>
            <w:u w:val="single"/>
            <w:sz w:val="20"/>
          </w:rPr>
          <w:t>5</w:t>
        </w:r>
      </w:hyperlink>
      <w:r>
        <w:t>]</w:t>
      </w:r>
      <w:r>
        <w:t xml:space="preserve"> These sources establish a substantial interpretive tradition; the historical reports within them should not all be treated as equally authenticated prophetic statements.</w:t>
      </w:r>
    </w:p>
    <w:p>
      <w:r>
        <w:t>The root n-s-kh can convey copying or transcription here. That supports a relationship between an event and its faithful record, and it can accommodate the classical relationship between decree and recorded deeds. The verb alone does not specify software, a holographic boundary, or a quantum storage medium. Likewise, a record may “speak” by making truth unmistakable. Restricting the verse to a predicted audiovisual technology would reduce its scope.</w:t>
      </w:r>
    </w:p>
    <w:p>
      <w:r>
        <w:t>An illuminating feature is the transition from “its record” to “Our record.” The deeds belong to the agents who performed them, while the integrity of the account belongs to God. Human self-description is therefore neither the sole source nor the final judge of the truth about a human life.</w:t>
      </w:r>
    </w:p>
    <w:p>
      <w:pPr>
        <w:pStyle w:val="VerseLabel"/>
      </w:pPr>
      <w:hyperlink r:id="rId22">
        <w:r>
          <w:rPr>
            <w:color w:val="000000"/>
            <w:u w:val="single"/>
            <w:sz w:val="20"/>
            <w:b/>
          </w:rPr>
          <w:t>Qur’an 45:30</w:t>
        </w:r>
      </w:hyperlink>
    </w:p>
    <w:p>
      <w:pPr>
        <w:pStyle w:val="ArabicVerse"/>
        <w:jc w:val="left"/>
        <w:bidi w:val="1"/>
      </w:pPr>
      <w:r>
        <w:rPr>
          <w:rFonts w:ascii="Noto Naskh Arabic" w:hAnsi="Noto Naskh Arabic" w:cs="Noto Naskh Arabic" w:eastAsia="Noto Naskh Arabic"/>
          <w:rtl w:val="1"/>
          <w:szCs w:val="30"/>
          <w:lang w:bidi="ar-SA"/>
        </w:rPr>
        <w:t>فَأَمَّا ٱلَّذِينَ ءَامَنُواْ وَعَمِلُواْ ٱلصَّـٰلِحَٰتِ فَيُدۡخِلُهُمۡ رَبُّهُمۡ فِي رَحۡمَتِهِۦۚ ذَٰلِكَ هُوَ ٱلۡفَوۡزُ ٱلۡمُبِينُ</w:t>
      </w:r>
    </w:p>
    <w:p>
      <w:pPr>
        <w:pStyle w:val="Translation"/>
      </w:pPr>
      <w:r>
        <w:t>As for those who believed and did righteous deeds, their Lord will admit them into His mercy. That is the clear triumph.</w:t>
      </w:r>
    </w:p>
    <w:p>
      <w:r>
        <w:t>The final verse determines how the preceding record should be understood. The record belongs within a relationship of moral responsibility to a merciful Lord. The outcome for faithful, righteous people is described as entry into mercy. An impersonal calculation cannot exhaust that meaning.</w:t>
      </w:r>
    </w:p>
    <w:p>
      <w:r>
        <w:t>Belief and good conduct remain joined. A person cannot replace care for others with fascination about quantum theory, nor turn knowledge of the divine record into a reason for despair. In the four-book framework, Revelation guides action within Nature, Decree establishes God’s comprehensive governance, and the record of Deeds discloses the life actually lived. The passage’s destination is mercy.</w:t>
      </w:r>
    </w:p>
    <w:p>
      <w:r>
        <w:t>The next two verses clarify the opposing response and connect this commentary with the wider passage discussed in the supplied June essays.</w:t>
      </w:r>
    </w:p>
    <w:p>
      <w:pPr>
        <w:pStyle w:val="VerseLabel"/>
      </w:pPr>
      <w:hyperlink r:id="rId23">
        <w:r>
          <w:rPr>
            <w:color w:val="000000"/>
            <w:u w:val="single"/>
            <w:sz w:val="20"/>
            <w:b/>
          </w:rPr>
          <w:t>Qur’an 45:31</w:t>
        </w:r>
      </w:hyperlink>
    </w:p>
    <w:p>
      <w:pPr>
        <w:pStyle w:val="ArabicVerse"/>
        <w:jc w:val="left"/>
        <w:bidi w:val="1"/>
      </w:pPr>
      <w:r>
        <w:rPr>
          <w:rFonts w:ascii="Noto Naskh Arabic" w:hAnsi="Noto Naskh Arabic" w:cs="Noto Naskh Arabic" w:eastAsia="Noto Naskh Arabic"/>
          <w:rtl w:val="1"/>
          <w:szCs w:val="30"/>
          <w:lang w:bidi="ar-SA"/>
        </w:rPr>
        <w:t>وَأَمَّا ٱلَّذِينَ كَفَرُوٓاْ أَفَلَمۡ تَكُنۡ ءَايَٰتِي تُتۡلَىٰ عَلَيۡكُمۡ فَٱسۡتَكۡبَرۡتُمۡ وَكُنتُمۡ قَوۡمٗا مُّجۡرِمِينَ</w:t>
      </w:r>
    </w:p>
    <w:p>
      <w:pPr>
        <w:pStyle w:val="Translation"/>
      </w:pPr>
      <w:r>
        <w:t>As for those who rejected faith: “Were My signs not recited to you? Yet you acted arrogantly and were a people who committed wrong.”</w:t>
      </w:r>
    </w:p>
    <w:p>
      <w:pPr>
        <w:pStyle w:val="VerseLabel"/>
      </w:pPr>
      <w:hyperlink r:id="rId24">
        <w:r>
          <w:rPr>
            <w:color w:val="000000"/>
            <w:u w:val="single"/>
            <w:sz w:val="20"/>
            <w:b/>
          </w:rPr>
          <w:t>Qur’an 45:32</w:t>
        </w:r>
      </w:hyperlink>
    </w:p>
    <w:p>
      <w:pPr>
        <w:pStyle w:val="ArabicVerse"/>
        <w:jc w:val="left"/>
        <w:bidi w:val="1"/>
      </w:pPr>
      <w:r>
        <w:rPr>
          <w:rFonts w:ascii="Noto Naskh Arabic" w:hAnsi="Noto Naskh Arabic" w:cs="Noto Naskh Arabic" w:eastAsia="Noto Naskh Arabic"/>
          <w:rtl w:val="1"/>
          <w:szCs w:val="30"/>
          <w:lang w:bidi="ar-SA"/>
        </w:rPr>
        <w:t>وَإِذَا قِيلَ إِنَّ وَعۡدَ ٱللَّهِ حَقّٞ وَٱلسَّاعَةُ لَا رَيۡبَ فِيهَا قُلۡتُم مَّا نَدۡرِي مَا ٱلسَّاعَةُ إِن نَّظُنُّ إِلَّا ظَنّٗا وَمَا نَحۡنُ بِمُسۡتَيۡقِنِينَ</w:t>
      </w:r>
    </w:p>
    <w:p>
      <w:pPr>
        <w:pStyle w:val="Translation"/>
      </w:pPr>
      <w:r>
        <w:t>When it was said, “God’s promise is true, and there is no doubt about the Hour,” you said, “We do not know what the Hour is. We have only conjecture, and we are not certain.”</w:t>
      </w:r>
    </w:p>
    <w:p>
      <w:r>
        <w:t>The immediate indictment includes arrogance and wrongdoing alongside the stated uncertainty. It should not be turned into a general judgment that every honest intellectual difficulty is an act of arrogance. Read with 45:24, the verses ask whether a person’s attitude to accountability reflects a careful assessment of reasons or a settled refusal to engage them.</w:t>
      </w:r>
    </w:p>
    <w:p>
      <w:pPr>
        <w:pStyle w:val="Heading1"/>
      </w:pPr>
      <w:r>
        <w:t>Reading the four books within the Quran</w:t>
      </w:r>
    </w:p>
    <w:p>
      <w:r>
        <w:t>The surrounding chapter already prepares this synthesis. It begins by joining revelation to signs in the world, and it explicitly connects creation to justice.</w:t>
      </w:r>
    </w:p>
    <w:p>
      <w:pPr>
        <w:pStyle w:val="VerseLabel"/>
      </w:pPr>
      <w:hyperlink r:id="rId25">
        <w:r>
          <w:rPr>
            <w:color w:val="000000"/>
            <w:u w:val="single"/>
            <w:sz w:val="20"/>
            <w:b/>
          </w:rPr>
          <w:t>Qur’an 45:2</w:t>
        </w:r>
      </w:hyperlink>
    </w:p>
    <w:p>
      <w:pPr>
        <w:pStyle w:val="ArabicVerse"/>
        <w:jc w:val="left"/>
        <w:bidi w:val="1"/>
      </w:pPr>
      <w:r>
        <w:rPr>
          <w:rFonts w:ascii="Noto Naskh Arabic" w:hAnsi="Noto Naskh Arabic" w:cs="Noto Naskh Arabic" w:eastAsia="Noto Naskh Arabic"/>
          <w:rtl w:val="1"/>
          <w:szCs w:val="30"/>
          <w:lang w:bidi="ar-SA"/>
        </w:rPr>
        <w:t>تَنزِيلُ ٱلۡكِتَٰبِ مِنَ ٱللَّهِ ٱلۡعَزِيزِ ٱلۡحَكِيمِ</w:t>
      </w:r>
    </w:p>
    <w:p>
      <w:pPr>
        <w:pStyle w:val="Translation"/>
      </w:pPr>
      <w:r>
        <w:t>The sending down of the Book is from God, the Mighty, the Wise.</w:t>
      </w:r>
    </w:p>
    <w:p>
      <w:pPr>
        <w:pStyle w:val="VerseLabel"/>
      </w:pPr>
      <w:hyperlink r:id="rId26">
        <w:r>
          <w:rPr>
            <w:color w:val="000000"/>
            <w:u w:val="single"/>
            <w:sz w:val="20"/>
            <w:b/>
          </w:rPr>
          <w:t>Qur’an 45:3</w:t>
        </w:r>
      </w:hyperlink>
    </w:p>
    <w:p>
      <w:pPr>
        <w:pStyle w:val="ArabicVerse"/>
        <w:jc w:val="left"/>
        <w:bidi w:val="1"/>
      </w:pPr>
      <w:r>
        <w:rPr>
          <w:rFonts w:ascii="Noto Naskh Arabic" w:hAnsi="Noto Naskh Arabic" w:cs="Noto Naskh Arabic" w:eastAsia="Noto Naskh Arabic"/>
          <w:rtl w:val="1"/>
          <w:szCs w:val="30"/>
          <w:lang w:bidi="ar-SA"/>
        </w:rPr>
        <w:t>إِنَّ فِي ٱلسَّمَٰوَٰتِ وَٱلۡأَرۡضِ لَأٓيَٰتٖ لِّلۡمُؤۡمِنِينَ</w:t>
      </w:r>
    </w:p>
    <w:p>
      <w:pPr>
        <w:pStyle w:val="Translation"/>
      </w:pPr>
      <w:r>
        <w:t>In the heavens and the earth there are signs for those who believe.</w:t>
      </w:r>
    </w:p>
    <w:p>
      <w:pPr>
        <w:pStyle w:val="VerseLabel"/>
      </w:pPr>
      <w:hyperlink r:id="rId27">
        <w:r>
          <w:rPr>
            <w:color w:val="000000"/>
            <w:u w:val="single"/>
            <w:sz w:val="20"/>
            <w:b/>
          </w:rPr>
          <w:t>Qur’an 45:4</w:t>
        </w:r>
      </w:hyperlink>
    </w:p>
    <w:p>
      <w:pPr>
        <w:pStyle w:val="ArabicVerse"/>
        <w:jc w:val="left"/>
        <w:bidi w:val="1"/>
      </w:pPr>
      <w:r>
        <w:rPr>
          <w:rFonts w:ascii="Noto Naskh Arabic" w:hAnsi="Noto Naskh Arabic" w:cs="Noto Naskh Arabic" w:eastAsia="Noto Naskh Arabic"/>
          <w:rtl w:val="1"/>
          <w:szCs w:val="30"/>
          <w:lang w:bidi="ar-SA"/>
        </w:rPr>
        <w:t>وَفِي خَلۡقِكُمۡ وَمَا يَبُثُّ مِن دَآبَّةٍ ءَايَٰتٞ لِّقَوۡمٖ يُوقِنُونَ</w:t>
      </w:r>
    </w:p>
    <w:p>
      <w:pPr>
        <w:pStyle w:val="Translation"/>
      </w:pPr>
      <w:r>
        <w:t>In your own creation, and in the living creatures He spreads abroad, there are signs for people who are certain.</w:t>
      </w:r>
    </w:p>
    <w:p>
      <w:pPr>
        <w:pStyle w:val="VerseLabel"/>
      </w:pPr>
      <w:hyperlink r:id="rId28">
        <w:r>
          <w:rPr>
            <w:color w:val="000000"/>
            <w:u w:val="single"/>
            <w:sz w:val="20"/>
            <w:b/>
          </w:rPr>
          <w:t>Qur’an 45:5</w:t>
        </w:r>
      </w:hyperlink>
    </w:p>
    <w:p>
      <w:pPr>
        <w:pStyle w:val="ArabicVerse"/>
        <w:jc w:val="left"/>
        <w:bidi w:val="1"/>
      </w:pPr>
      <w:r>
        <w:rPr>
          <w:rFonts w:ascii="Noto Naskh Arabic" w:hAnsi="Noto Naskh Arabic" w:cs="Noto Naskh Arabic" w:eastAsia="Noto Naskh Arabic"/>
          <w:rtl w:val="1"/>
          <w:szCs w:val="30"/>
          <w:lang w:bidi="ar-SA"/>
        </w:rPr>
        <w:t>وَٱخۡتِلَٰفِ ٱلَّيۡلِ وَٱلنَّهَارِ وَمَآ أَنزَلَ ٱللَّهُ مِنَ ٱلسَّمَآءِ مِن رِّزۡقٖ فَأَحۡيَا بِهِ ٱلۡأَرۡضَ بَعۡدَ مَوۡتِهَا وَتَصۡرِيفِ ٱلرِّيَٰحِ ءَايَٰتٞ لِّقَوۡمٖ يَعۡقِلُونَ</w:t>
      </w:r>
    </w:p>
    <w:p>
      <w:pPr>
        <w:pStyle w:val="Translation"/>
      </w:pPr>
      <w:r>
        <w:t>In the alternation of night and day, in the provision God sends down from the sky by which He revives the earth after its death, and in the changing winds, there are signs for people who use reason.</w:t>
      </w:r>
    </w:p>
    <w:p>
      <w:pPr>
        <w:pStyle w:val="VerseLabel"/>
      </w:pPr>
      <w:hyperlink r:id="rId29">
        <w:r>
          <w:rPr>
            <w:color w:val="000000"/>
            <w:u w:val="single"/>
            <w:sz w:val="20"/>
            <w:b/>
          </w:rPr>
          <w:t>Qur’an 45:6</w:t>
        </w:r>
      </w:hyperlink>
    </w:p>
    <w:p>
      <w:pPr>
        <w:pStyle w:val="ArabicVerse"/>
        <w:jc w:val="left"/>
        <w:bidi w:val="1"/>
      </w:pPr>
      <w:r>
        <w:rPr>
          <w:rFonts w:ascii="Noto Naskh Arabic" w:hAnsi="Noto Naskh Arabic" w:cs="Noto Naskh Arabic" w:eastAsia="Noto Naskh Arabic"/>
          <w:rtl w:val="1"/>
          <w:szCs w:val="30"/>
          <w:lang w:bidi="ar-SA"/>
        </w:rPr>
        <w:t>تِلۡكَ ءَايَٰتُ ٱللَّهِ نَتۡلُوهَا عَلَيۡكَ بِٱلۡحَقِّۖ فَبِأَيِّ حَدِيثِۭ بَعۡدَ ٱللَّهِ وَءَايَٰتِهِۦ يُؤۡمِنُونَ</w:t>
      </w:r>
    </w:p>
    <w:p>
      <w:pPr>
        <w:pStyle w:val="Translation"/>
      </w:pPr>
      <w:r>
        <w:t>These are God’s signs, which We recite to you in truth. In what discourse, after God and His signs, will they believe?</w:t>
      </w:r>
    </w:p>
    <w:p>
      <w:r>
        <w:t>The same language of signs embraces what is recited and what is observed. Astronomy, the life sciences, and the study of weather can therefore enlarge a believer’s understanding of what these verses invite humanity to examine. The invitation does not depend on extracting a concealed technical formula from every phrase. Discovering how a process operates can deepen reflection on the conditions that make it possible and the place of conscious agents within it.</w:t>
      </w:r>
    </w:p>
    <w:p>
      <w:pPr>
        <w:pStyle w:val="VerseLabel"/>
      </w:pPr>
      <w:hyperlink r:id="rId30">
        <w:r>
          <w:rPr>
            <w:color w:val="000000"/>
            <w:u w:val="single"/>
            <w:sz w:val="20"/>
            <w:b/>
          </w:rPr>
          <w:t>Qur’an 45:21</w:t>
        </w:r>
      </w:hyperlink>
    </w:p>
    <w:p>
      <w:pPr>
        <w:pStyle w:val="ArabicVerse"/>
        <w:jc w:val="left"/>
        <w:bidi w:val="1"/>
      </w:pPr>
      <w:r>
        <w:rPr>
          <w:rFonts w:ascii="Noto Naskh Arabic" w:hAnsi="Noto Naskh Arabic" w:cs="Noto Naskh Arabic" w:eastAsia="Noto Naskh Arabic"/>
          <w:rtl w:val="1"/>
          <w:szCs w:val="30"/>
          <w:lang w:bidi="ar-SA"/>
        </w:rPr>
        <w:t>أَمۡ حَسِبَ ٱلَّذِينَ ٱجۡتَرَحُواْ ٱلسَّيِّـَٔاتِ أَن نَّجۡعَلَهُمۡ كَٱلَّذِينَ ءَامَنُواْ وَعَمِلُواْ ٱلصَّـٰلِحَٰتِ سَوَآءٗ مَّحۡيَاهُمۡ وَمَمَاتُهُمۡۚ سَآءَ مَا يَحۡكُمُونَ</w:t>
      </w:r>
    </w:p>
    <w:p>
      <w:pPr>
        <w:pStyle w:val="Translation"/>
      </w:pPr>
      <w:r>
        <w:t>Do those who commit evil suppose that We will make them like those who believe and do righteous deeds, equal in their living and their dying? How badly they judge!</w:t>
      </w:r>
    </w:p>
    <w:p>
      <w:pPr>
        <w:pStyle w:val="VerseLabel"/>
      </w:pPr>
      <w:hyperlink r:id="rId31">
        <w:r>
          <w:rPr>
            <w:color w:val="000000"/>
            <w:u w:val="single"/>
            <w:sz w:val="20"/>
            <w:b/>
          </w:rPr>
          <w:t>Qur’an 45:22</w:t>
        </w:r>
      </w:hyperlink>
    </w:p>
    <w:p>
      <w:pPr>
        <w:pStyle w:val="ArabicVerse"/>
        <w:jc w:val="left"/>
        <w:bidi w:val="1"/>
      </w:pPr>
      <w:r>
        <w:rPr>
          <w:rFonts w:ascii="Noto Naskh Arabic" w:hAnsi="Noto Naskh Arabic" w:cs="Noto Naskh Arabic" w:eastAsia="Noto Naskh Arabic"/>
          <w:rtl w:val="1"/>
          <w:szCs w:val="30"/>
          <w:lang w:bidi="ar-SA"/>
        </w:rPr>
        <w:t>وَخَلَقَ ٱللَّهُ ٱلسَّمَٰوَٰتِ وَٱلۡأَرۡضَ بِٱلۡحَقِّ وَلِتُجۡزَىٰ كُلُّ نَفۡسِۭ بِمَا كَسَبَتۡ وَهُمۡ لَا يُظۡلَمُونَ</w:t>
      </w:r>
    </w:p>
    <w:p>
      <w:pPr>
        <w:pStyle w:val="Translation"/>
      </w:pPr>
      <w:r>
        <w:t>God created the heavens and the earth in truth, so that every soul may be repaid for what it has earned; and they will not be wronged.</w:t>
      </w:r>
    </w:p>
    <w:p>
      <w:r>
        <w:t>The immediate context therefore supplies something no information-conservation theorem supplies: a moral purpose. Reality is presented as answerable to truth and justice. Earthly history often leaves merit unrecognized and injury unredressed. Given the additional theological premises of God’s justice and promise, judgment completes an order that present appearances leave unfinished. The argument’s force is moral and metaphysical; injustice alone does not mathematically prove that another life exists.</w:t>
      </w:r>
    </w:p>
    <w:p>
      <w:r>
        <w:t>Revelation also invites scrutiny of its own coherence.</w:t>
      </w:r>
    </w:p>
    <w:p>
      <w:pPr>
        <w:pStyle w:val="VerseLabel"/>
      </w:pPr>
      <w:hyperlink r:id="rId32">
        <w:r>
          <w:rPr>
            <w:color w:val="000000"/>
            <w:u w:val="single"/>
            <w:sz w:val="20"/>
            <w:b/>
          </w:rPr>
          <w:t>Qur’an 4:82</w:t>
        </w:r>
      </w:hyperlink>
    </w:p>
    <w:p>
      <w:pPr>
        <w:pStyle w:val="ArabicVerse"/>
        <w:jc w:val="left"/>
        <w:bidi w:val="1"/>
      </w:pPr>
      <w:r>
        <w:rPr>
          <w:rFonts w:ascii="Noto Naskh Arabic" w:hAnsi="Noto Naskh Arabic" w:cs="Noto Naskh Arabic" w:eastAsia="Noto Naskh Arabic"/>
          <w:rtl w:val="1"/>
          <w:szCs w:val="30"/>
          <w:lang w:bidi="ar-SA"/>
        </w:rPr>
        <w:t>أَفَلَا يَتَدَبَّرُونَ ٱلۡقُرۡءَانَۚ وَلَوۡ كَانَ مِنۡ عِندِ غَيۡرِ ٱللَّهِ لَوَجَدُواْ فِيهِ ٱخۡتِلَٰفٗا كَثِيرٗا</w:t>
      </w:r>
    </w:p>
    <w:p>
      <w:pPr>
        <w:pStyle w:val="Translation"/>
      </w:pPr>
      <w:r>
        <w:t>Will they not reflect on the Qur’an? Had it been from someone other than God, they would have found much inconsistency in it.</w:t>
      </w:r>
    </w:p>
    <w:p>
      <w:r>
        <w:t>For the Four Books Thesis, this supports a disciplined expectation of unity. If the same God creates and reveals, truth in one domain cannot finally contradict truth in another. What can conflict are our interpretations, incomplete observations, or extrapolations. This principle protects scientific inquiry and requires theological interpretations to remain open to correction when they make empirical claims.</w:t>
      </w:r>
    </w:p>
    <w:p>
      <w:r>
        <w:t>The Qur’an gives a particularly rich account of reflective inquiry in the verses on people of understanding.</w:t>
      </w:r>
    </w:p>
    <w:p>
      <w:pPr>
        <w:pStyle w:val="VerseLabel"/>
      </w:pPr>
      <w:hyperlink r:id="rId33">
        <w:r>
          <w:rPr>
            <w:color w:val="000000"/>
            <w:u w:val="single"/>
            <w:sz w:val="20"/>
            <w:b/>
          </w:rPr>
          <w:t>Qur’an 3:189</w:t>
        </w:r>
      </w:hyperlink>
    </w:p>
    <w:p>
      <w:pPr>
        <w:pStyle w:val="ArabicVerse"/>
        <w:jc w:val="left"/>
        <w:bidi w:val="1"/>
      </w:pPr>
      <w:r>
        <w:rPr>
          <w:rFonts w:ascii="Noto Naskh Arabic" w:hAnsi="Noto Naskh Arabic" w:cs="Noto Naskh Arabic" w:eastAsia="Noto Naskh Arabic"/>
          <w:rtl w:val="1"/>
          <w:szCs w:val="30"/>
          <w:lang w:bidi="ar-SA"/>
        </w:rPr>
        <w:t>وَلِلَّهِ مُلۡكُ ٱلسَّمَٰوَٰتِ وَٱلۡأَرۡضِۗ وَٱللَّهُ عَلَىٰ كُلِّ شَيۡءٖ قَدِيرٌ</w:t>
      </w:r>
    </w:p>
    <w:p>
      <w:pPr>
        <w:pStyle w:val="Translation"/>
      </w:pPr>
      <w:r>
        <w:t>To God belongs the sovereignty of the heavens and the earth, and God has power over everything.</w:t>
      </w:r>
    </w:p>
    <w:p>
      <w:pPr>
        <w:pStyle w:val="VerseLabel"/>
      </w:pPr>
      <w:hyperlink r:id="rId34">
        <w:r>
          <w:rPr>
            <w:color w:val="000000"/>
            <w:u w:val="single"/>
            <w:sz w:val="20"/>
            <w:b/>
          </w:rPr>
          <w:t>Qur’an 3:190</w:t>
        </w:r>
      </w:hyperlink>
    </w:p>
    <w:p>
      <w:pPr>
        <w:pStyle w:val="ArabicVerse"/>
        <w:jc w:val="left"/>
        <w:bidi w:val="1"/>
      </w:pPr>
      <w:r>
        <w:rPr>
          <w:rFonts w:ascii="Noto Naskh Arabic" w:hAnsi="Noto Naskh Arabic" w:cs="Noto Naskh Arabic" w:eastAsia="Noto Naskh Arabic"/>
          <w:rtl w:val="1"/>
          <w:szCs w:val="30"/>
          <w:lang w:bidi="ar-SA"/>
        </w:rPr>
        <w:t>إِنَّ فِي خَلۡقِ ٱلسَّمَٰوَٰتِ وَٱلۡأَرۡضِ وَٱخۡتِلَٰفِ ٱلَّيۡلِ وَٱلنَّهَارِ لَأٓيَٰتٖ لِّأُوْلِي ٱلۡأَلۡبَٰبِ</w:t>
      </w:r>
    </w:p>
    <w:p>
      <w:pPr>
        <w:pStyle w:val="Translation"/>
      </w:pPr>
      <w:r>
        <w:t>In the creation of the heavens and the earth, and in the alternation of night and day, there are signs for people of understanding.</w:t>
      </w:r>
    </w:p>
    <w:p>
      <w:pPr>
        <w:pStyle w:val="VerseLabel"/>
      </w:pPr>
      <w:hyperlink r:id="rId35">
        <w:r>
          <w:rPr>
            <w:color w:val="000000"/>
            <w:u w:val="single"/>
            <w:sz w:val="20"/>
            <w:b/>
          </w:rPr>
          <w:t>Qur’an 3:191</w:t>
        </w:r>
      </w:hyperlink>
    </w:p>
    <w:p>
      <w:pPr>
        <w:pStyle w:val="ArabicVerse"/>
        <w:jc w:val="left"/>
        <w:bidi w:val="1"/>
      </w:pPr>
      <w:r>
        <w:rPr>
          <w:rFonts w:ascii="Noto Naskh Arabic" w:hAnsi="Noto Naskh Arabic" w:cs="Noto Naskh Arabic" w:eastAsia="Noto Naskh Arabic"/>
          <w:rtl w:val="1"/>
          <w:szCs w:val="30"/>
          <w:lang w:bidi="ar-SA"/>
        </w:rPr>
        <w:t>ٱلَّذِينَ يَذۡكُرُونَ ٱللَّهَ قِيَٰمٗا وَقُعُودٗا وَعَلَىٰ جُنُوبِهِمۡ وَيَتَفَكَّرُونَ فِي خَلۡقِ ٱلسَّمَٰوَٰتِ وَٱلۡأَرۡضِ رَبَّنَا مَا خَلَقۡتَ هَٰذَا بَٰطِلٗا سُبۡحَٰنَكَ فَقِنَا عَذَابَ ٱلنَّارِ</w:t>
      </w:r>
    </w:p>
    <w:p>
      <w:pPr>
        <w:pStyle w:val="Translation"/>
      </w:pPr>
      <w:r>
        <w:t>They remember God standing, sitting, and lying on their sides, and reflect on the creation of the heavens and the earth: “Our Lord, You have not created this without purpose. Glory be to You! Protect us from the punishment of the Fire.”</w:t>
      </w:r>
    </w:p>
    <w:p>
      <w:pPr>
        <w:pStyle w:val="VerseLabel"/>
      </w:pPr>
      <w:hyperlink r:id="rId36">
        <w:r>
          <w:rPr>
            <w:color w:val="000000"/>
            <w:u w:val="single"/>
            <w:sz w:val="20"/>
            <w:b/>
          </w:rPr>
          <w:t>Qur’an 3:192</w:t>
        </w:r>
      </w:hyperlink>
    </w:p>
    <w:p>
      <w:pPr>
        <w:pStyle w:val="ArabicVerse"/>
        <w:jc w:val="left"/>
        <w:bidi w:val="1"/>
      </w:pPr>
      <w:r>
        <w:rPr>
          <w:rFonts w:ascii="Noto Naskh Arabic" w:hAnsi="Noto Naskh Arabic" w:cs="Noto Naskh Arabic" w:eastAsia="Noto Naskh Arabic"/>
          <w:rtl w:val="1"/>
          <w:szCs w:val="30"/>
          <w:lang w:bidi="ar-SA"/>
        </w:rPr>
        <w:t>رَبَّنَآ إِنَّكَ مَن تُدۡخِلِ ٱلنَّارَ فَقَدۡ أَخۡزَيۡتَهُۥۖ وَمَا لِلظَّـٰلِمِينَ مِنۡ أَنصَارٖ</w:t>
      </w:r>
    </w:p>
    <w:p>
      <w:pPr>
        <w:pStyle w:val="Translation"/>
      </w:pPr>
      <w:r>
        <w:t>Our Lord, whoever You admit into the Fire, You have surely disgraced; and the wrongdoers will have no helpers.</w:t>
      </w:r>
    </w:p>
    <w:p>
      <w:pPr>
        <w:pStyle w:val="VerseLabel"/>
      </w:pPr>
      <w:hyperlink r:id="rId37">
        <w:r>
          <w:rPr>
            <w:color w:val="000000"/>
            <w:u w:val="single"/>
            <w:sz w:val="20"/>
            <w:b/>
          </w:rPr>
          <w:t>Qur’an 3:193</w:t>
        </w:r>
      </w:hyperlink>
    </w:p>
    <w:p>
      <w:pPr>
        <w:pStyle w:val="ArabicVerse"/>
        <w:jc w:val="left"/>
        <w:bidi w:val="1"/>
      </w:pPr>
      <w:r>
        <w:rPr>
          <w:rFonts w:ascii="Noto Naskh Arabic" w:hAnsi="Noto Naskh Arabic" w:cs="Noto Naskh Arabic" w:eastAsia="Noto Naskh Arabic"/>
          <w:rtl w:val="1"/>
          <w:szCs w:val="30"/>
          <w:lang w:bidi="ar-SA"/>
        </w:rPr>
        <w:t>رَّبَّنَآ إِنَّنَا سَمِعۡنَا مُنَادِيٗا يُنَادِي لِلۡإِيمَٰنِ أَنۡ ءَامِنُواْ بِرَبِّكُمۡ فَـَٔامَنَّاۚ رَبَّنَا فَٱغۡفِرۡ لَنَا ذُنُوبَنَا وَكَفِّرۡ عَنَّا سَيِّـَٔاتِنَا وَتَوَفَّنَا مَعَ ٱلۡأَبۡرَارِ</w:t>
      </w:r>
    </w:p>
    <w:p>
      <w:pPr>
        <w:pStyle w:val="Translation"/>
      </w:pPr>
      <w:r>
        <w:t>Our Lord, we have heard a caller calling to faith, “Believe in your Lord,” and we have believed. Our Lord, forgive our sins, remove our evil deeds, and let us die among the righteous.</w:t>
      </w:r>
    </w:p>
    <w:p>
      <w:pPr>
        <w:pStyle w:val="VerseLabel"/>
      </w:pPr>
      <w:hyperlink r:id="rId38">
        <w:r>
          <w:rPr>
            <w:color w:val="000000"/>
            <w:u w:val="single"/>
            <w:sz w:val="20"/>
            <w:b/>
          </w:rPr>
          <w:t>Qur’an 3:194</w:t>
        </w:r>
      </w:hyperlink>
    </w:p>
    <w:p>
      <w:pPr>
        <w:pStyle w:val="ArabicVerse"/>
        <w:jc w:val="left"/>
        <w:bidi w:val="1"/>
      </w:pPr>
      <w:r>
        <w:rPr>
          <w:rFonts w:ascii="Noto Naskh Arabic" w:hAnsi="Noto Naskh Arabic" w:cs="Noto Naskh Arabic" w:eastAsia="Noto Naskh Arabic"/>
          <w:rtl w:val="1"/>
          <w:szCs w:val="30"/>
          <w:lang w:bidi="ar-SA"/>
        </w:rPr>
        <w:t>رَبَّنَا وَءَاتِنَا مَا وَعَدتَّنَا عَلَىٰ رُسُلِكَ وَلَا تُخۡزِنَا يَوۡمَ ٱلۡقِيَٰمَةِۖ إِنَّكَ لَا تُخۡلِفُ ٱلۡمِيعَادَ</w:t>
      </w:r>
    </w:p>
    <w:p>
      <w:pPr>
        <w:pStyle w:val="Translation"/>
      </w:pPr>
      <w:r>
        <w:t>Our Lord, give us what You have promised through Your messengers, and do not disgrace us on the Day of Resurrection. You never fail in Your promise.</w:t>
      </w:r>
    </w:p>
    <w:p>
      <w:r>
        <w:t>These verses connect the books through an act of human understanding. Reflection on Nature becomes a judgment about purpose; the call to faith invokes Revelation; prayer seeks forgiveness for Deeds; confidence in the promise acknowledges divine governance. Ulū al-albāb do not merely admire a beautiful cosmos. They recognize that their own lives belong within the question of what that cosmos means.</w:t>
      </w:r>
    </w:p>
    <w:p>
      <w:r>
        <w:t>This theological movement should not be misrepresented as an inference that every scientist must make on pain of logical contradiction. Empirical inquiry can be conducted within different philosophies. The Qur’anic invitation is to consider whether intelligibility, consciousness, moral responsibility, and revelation receive a more unified account within theism. Its scope exceeds a calculation of physical parameters.</w:t>
      </w:r>
    </w:p>
    <w:p>
      <w:pPr>
        <w:pStyle w:val="VerseLabel"/>
      </w:pPr>
      <w:hyperlink r:id="rId39">
        <w:r>
          <w:rPr>
            <w:color w:val="000000"/>
            <w:u w:val="single"/>
            <w:sz w:val="20"/>
            <w:b/>
          </w:rPr>
          <w:t>Qur’an 41:53</w:t>
        </w:r>
      </w:hyperlink>
    </w:p>
    <w:p>
      <w:pPr>
        <w:pStyle w:val="ArabicVerse"/>
        <w:jc w:val="left"/>
        <w:bidi w:val="1"/>
      </w:pPr>
      <w:r>
        <w:rPr>
          <w:rFonts w:ascii="Noto Naskh Arabic" w:hAnsi="Noto Naskh Arabic" w:cs="Noto Naskh Arabic" w:eastAsia="Noto Naskh Arabic"/>
          <w:rtl w:val="1"/>
          <w:szCs w:val="30"/>
          <w:lang w:bidi="ar-SA"/>
        </w:rPr>
        <w:t>سَنُرِيهِمۡ ءَايَٰتِنَا فِي ٱلۡأٓفَاقِ وَفِيٓ أَنفُسِهِمۡ حَتَّىٰ يَتَبَيَّنَ لَهُمۡ أَنَّهُ ٱلۡحَقُّۗ أَوَلَمۡ يَكۡفِ بِرَبِّكَ أَنَّهُۥ عَلَىٰ كُلِّ شَيۡءٖ شَهِيدٌ</w:t>
      </w:r>
    </w:p>
    <w:p>
      <w:pPr>
        <w:pStyle w:val="Translation"/>
      </w:pPr>
      <w:r>
        <w:t>We shall show them Our signs in the horizons and within themselves until it becomes clear to them that it is the truth. Is it not enough that your Lord is witness over everything?</w:t>
      </w:r>
    </w:p>
    <w:p>
      <w:r>
        <w:t>For a modern reader, scientific discovery can provide new occasions for this reflection. The verse’s references to horizons and selves are broader than any single scientific development. Its final appeal to God as witness also joins investigation to accountability: the knower of nature is known by God.</w:t>
      </w:r>
    </w:p>
    <w:p>
      <w:pPr>
        <w:pStyle w:val="Heading1"/>
      </w:pPr>
      <w:r>
        <w:t>Divine decree and the unity of knowledge</w:t>
      </w:r>
    </w:p>
    <w:p>
      <w:r>
        <w:t>The Book of Decree is supported by a network of verses describing measure, comprehensive knowledge, prior inscription, and preservation. Taken together, they warrant considerably more than a vague claim that the universe has order.</w:t>
      </w:r>
    </w:p>
    <w:p>
      <w:pPr>
        <w:pStyle w:val="VerseLabel"/>
      </w:pPr>
      <w:hyperlink r:id="rId40">
        <w:r>
          <w:rPr>
            <w:color w:val="000000"/>
            <w:u w:val="single"/>
            <w:sz w:val="20"/>
            <w:b/>
          </w:rPr>
          <w:t>Qur’an 54:49</w:t>
        </w:r>
      </w:hyperlink>
    </w:p>
    <w:p>
      <w:pPr>
        <w:pStyle w:val="ArabicVerse"/>
        <w:jc w:val="left"/>
        <w:bidi w:val="1"/>
      </w:pPr>
      <w:r>
        <w:rPr>
          <w:rFonts w:ascii="Noto Naskh Arabic" w:hAnsi="Noto Naskh Arabic" w:cs="Noto Naskh Arabic" w:eastAsia="Noto Naskh Arabic"/>
          <w:rtl w:val="1"/>
          <w:szCs w:val="30"/>
          <w:lang w:bidi="ar-SA"/>
        </w:rPr>
        <w:t>إِنَّا كُلَّ شَيۡءٍ خَلَقۡنَٰهُ بِقَدَرٖ</w:t>
      </w:r>
    </w:p>
    <w:p>
      <w:pPr>
        <w:pStyle w:val="Translation"/>
      </w:pPr>
      <w:r>
        <w:t>We have created everything according to a measure.</w:t>
      </w:r>
    </w:p>
    <w:p>
      <w:r>
        <w:t>Measure makes a world of intelligible relations conceivable. Theological reflection may connect it to the regularities that science expresses mathematically. Yet qadar is not a technical synonym for a modern physical constant, and the verse does not specify whether every event is determined by antecedent physical states. Divine knowledge and physical determinism are different claims.</w:t>
      </w:r>
    </w:p>
    <w:p>
      <w:pPr>
        <w:pStyle w:val="VerseLabel"/>
      </w:pPr>
      <w:hyperlink r:id="rId41">
        <w:r>
          <w:rPr>
            <w:color w:val="000000"/>
            <w:u w:val="single"/>
            <w:sz w:val="20"/>
            <w:b/>
          </w:rPr>
          <w:t>Qur’an 6:59</w:t>
        </w:r>
      </w:hyperlink>
    </w:p>
    <w:p>
      <w:pPr>
        <w:pStyle w:val="ArabicVerse"/>
        <w:jc w:val="left"/>
        <w:bidi w:val="1"/>
      </w:pPr>
      <w:r>
        <w:rPr>
          <w:rFonts w:ascii="Noto Naskh Arabic" w:hAnsi="Noto Naskh Arabic" w:cs="Noto Naskh Arabic" w:eastAsia="Noto Naskh Arabic"/>
          <w:rtl w:val="1"/>
          <w:szCs w:val="30"/>
          <w:lang w:bidi="ar-SA"/>
        </w:rPr>
        <w:t>۞وَعِندَهُۥ مَفَاتِحُ ٱلۡغَيۡبِ لَا يَعۡلَمُهَآ إِلَّا هُوَۚ وَيَعۡلَمُ مَا فِي ٱلۡبَرِّ وَٱلۡبَحۡرِۚ وَمَا تَسۡقُطُ مِن وَرَقَةٍ إِلَّا يَعۡلَمُهَا وَلَا حَبَّةٖ فِي ظُلُمَٰتِ ٱلۡأَرۡضِ وَلَا رَطۡبٖ وَلَا يَابِسٍ إِلَّا فِي كِتَٰبٖ مُّبِينٖ</w:t>
      </w:r>
    </w:p>
    <w:p>
      <w:pPr>
        <w:pStyle w:val="Translation"/>
      </w:pPr>
      <w:r>
        <w:t>With Him are the keys of the unseen; none knows them except Him. He knows whatever is on land and in the sea. No leaf falls without His knowing it, and no grain lies in the earth’s darkness, nor anything fresh or dry, except that it is in a clear record.</w:t>
      </w:r>
    </w:p>
    <w:p>
      <w:r>
        <w:t>The examples give comprehensive knowledge a concrete scale. A falling leaf is neither too small nor too transient to be known. Nature and the record are joined without making the record identical to the leaf. This distinction is essential when information theory enters the discussion: a physical event, its representation, and God’s knowledge of it need not be the same thing.</w:t>
      </w:r>
    </w:p>
    <w:p>
      <w:pPr>
        <w:pStyle w:val="VerseLabel"/>
      </w:pPr>
      <w:hyperlink r:id="rId42">
        <w:r>
          <w:rPr>
            <w:color w:val="000000"/>
            <w:u w:val="single"/>
            <w:sz w:val="20"/>
            <w:b/>
          </w:rPr>
          <w:t>Qur’an 10:61</w:t>
        </w:r>
      </w:hyperlink>
    </w:p>
    <w:p>
      <w:pPr>
        <w:pStyle w:val="ArabicVerse"/>
        <w:jc w:val="left"/>
        <w:bidi w:val="1"/>
      </w:pPr>
      <w:r>
        <w:rPr>
          <w:rFonts w:ascii="Noto Naskh Arabic" w:hAnsi="Noto Naskh Arabic" w:cs="Noto Naskh Arabic" w:eastAsia="Noto Naskh Arabic"/>
          <w:rtl w:val="1"/>
          <w:szCs w:val="30"/>
          <w:lang w:bidi="ar-SA"/>
        </w:rPr>
        <w:t>وَمَا تَكُونُ فِي شَأۡنٖ وَمَا تَتۡلُواْ مِنۡهُ مِن قُرۡءَانٖ وَلَا تَعۡمَلُونَ مِنۡ عَمَلٍ إِلَّا كُنَّا عَلَيۡكُمۡ شُهُودًا إِذۡ تُفِيضُونَ فِيهِۚ وَمَا يَعۡزُبُ عَن رَّبِّكَ مِن مِّثۡقَالِ ذَرَّةٖ فِي ٱلۡأَرۡضِ وَلَا فِي ٱلسَّمَآءِ وَلَآ أَصۡغَرَ مِن ذَٰلِكَ وَلَآ أَكۡبَرَ إِلَّا فِي كِتَٰبٖ مُّبِينٍ</w:t>
      </w:r>
    </w:p>
    <w:p>
      <w:pPr>
        <w:pStyle w:val="Translation"/>
      </w:pPr>
      <w:r>
        <w:t>You undertake no affair, recite no portion of the Qur’an, and perform no work without Our being witnesses over you as you engage in it. Nothing of an atom’s weight on earth or in heaven escapes your Lord, nor anything smaller or greater, except that it is in a clear record.</w:t>
      </w:r>
    </w:p>
    <w:p>
      <w:r>
        <w:t>Here revelation, activity, and cosmic detail meet in one act of witnessing. The verse is particularly important for the four-book synthesis because it joins reading the Qur’an, performing deeds, and belonging to the physical world. “An atom’s weight” is a conventional English rendering of a very small measure; the Arabic should not be treated as a technical prediction of atomic or subatomic theory.</w:t>
      </w:r>
    </w:p>
    <w:p>
      <w:pPr>
        <w:pStyle w:val="VerseLabel"/>
      </w:pPr>
      <w:hyperlink r:id="rId43">
        <w:r>
          <w:rPr>
            <w:color w:val="000000"/>
            <w:u w:val="single"/>
            <w:sz w:val="20"/>
            <w:b/>
          </w:rPr>
          <w:t>Qur’an 22:70</w:t>
        </w:r>
      </w:hyperlink>
    </w:p>
    <w:p>
      <w:pPr>
        <w:pStyle w:val="ArabicVerse"/>
        <w:jc w:val="left"/>
        <w:bidi w:val="1"/>
      </w:pPr>
      <w:r>
        <w:rPr>
          <w:rFonts w:ascii="Noto Naskh Arabic" w:hAnsi="Noto Naskh Arabic" w:cs="Noto Naskh Arabic" w:eastAsia="Noto Naskh Arabic"/>
          <w:rtl w:val="1"/>
          <w:szCs w:val="30"/>
          <w:lang w:bidi="ar-SA"/>
        </w:rPr>
        <w:t>أَلَمۡ تَعۡلَمۡ أَنَّ ٱللَّهَ يَعۡلَمُ مَا فِي ٱلسَّمَآءِ وَٱلۡأَرۡضِۚ إِنَّ ذَٰلِكَ فِي كِتَٰبٍۚ إِنَّ ذَٰلِكَ عَلَى ٱللَّهِ يَسِيرٞ</w:t>
      </w:r>
    </w:p>
    <w:p>
      <w:pPr>
        <w:pStyle w:val="Translation"/>
      </w:pPr>
      <w:r>
        <w:t>Do you not know that God knows whatever is in heaven and earth? This is in a record; that is easy for God.</w:t>
      </w:r>
    </w:p>
    <w:p>
      <w:pPr>
        <w:pStyle w:val="VerseLabel"/>
      </w:pPr>
      <w:hyperlink r:id="rId44">
        <w:r>
          <w:rPr>
            <w:color w:val="000000"/>
            <w:u w:val="single"/>
            <w:sz w:val="20"/>
            <w:b/>
          </w:rPr>
          <w:t>Qur’an 57:22</w:t>
        </w:r>
      </w:hyperlink>
    </w:p>
    <w:p>
      <w:pPr>
        <w:pStyle w:val="ArabicVerse"/>
        <w:jc w:val="left"/>
        <w:bidi w:val="1"/>
      </w:pPr>
      <w:r>
        <w:rPr>
          <w:rFonts w:ascii="Noto Naskh Arabic" w:hAnsi="Noto Naskh Arabic" w:cs="Noto Naskh Arabic" w:eastAsia="Noto Naskh Arabic"/>
          <w:rtl w:val="1"/>
          <w:szCs w:val="30"/>
          <w:lang w:bidi="ar-SA"/>
        </w:rPr>
        <w:t>مَآ أَصَابَ مِن مُّصِيبَةٖ فِي ٱلۡأَرۡضِ وَلَا فِيٓ أَنفُسِكُمۡ إِلَّا فِي كِتَٰبٖ مِّن قَبۡلِ أَن نَّبۡرَأَهَآۚ إِنَّ ذَٰلِكَ عَلَى ٱللَّهِ يَسِيرٞ</w:t>
      </w:r>
    </w:p>
    <w:p>
      <w:pPr>
        <w:pStyle w:val="Translation"/>
      </w:pPr>
      <w:r>
        <w:t>No calamity occurs on earth or within yourselves without its being in a record before We bring it into being. That is easy for God.</w:t>
      </w:r>
    </w:p>
    <w:p>
      <w:pPr>
        <w:pStyle w:val="VerseLabel"/>
      </w:pPr>
      <w:hyperlink r:id="rId45">
        <w:r>
          <w:rPr>
            <w:color w:val="000000"/>
            <w:u w:val="single"/>
            <w:sz w:val="20"/>
            <w:b/>
          </w:rPr>
          <w:t>Qur’an 57:23</w:t>
        </w:r>
      </w:hyperlink>
    </w:p>
    <w:p>
      <w:pPr>
        <w:pStyle w:val="ArabicVerse"/>
        <w:jc w:val="left"/>
        <w:bidi w:val="1"/>
      </w:pPr>
      <w:r>
        <w:rPr>
          <w:rFonts w:ascii="Noto Naskh Arabic" w:hAnsi="Noto Naskh Arabic" w:cs="Noto Naskh Arabic" w:eastAsia="Noto Naskh Arabic"/>
          <w:rtl w:val="1"/>
          <w:szCs w:val="30"/>
          <w:lang w:bidi="ar-SA"/>
        </w:rPr>
        <w:t>لِّكَيۡلَا تَأۡسَوۡاْ عَلَىٰ مَا فَاتَكُمۡ وَلَا تَفۡرَحُواْ بِمَآ ءَاتَىٰكُمۡۗ وَٱللَّهُ لَا يُحِبُّ كُلَّ مُخۡتَالٖ فَخُورٍ</w:t>
      </w:r>
    </w:p>
    <w:p>
      <w:pPr>
        <w:pStyle w:val="Translation"/>
      </w:pPr>
      <w:r>
        <w:t>This is so that you may not despair over what has escaped you or exult over what He has given you. God does not love anyone arrogant and boastful.</w:t>
      </w:r>
    </w:p>
    <w:p>
      <w:r>
        <w:t>The pairing matters. Prior inscription is presented with an ethical consequence: steadiness amid loss and restraint amid success. It does not remove the practical obligations to prevent suffering, seek treatment, or remedy injustice. The Book of Decree offers trust in divine comprehension while the Book of Deeds continues to hold us responsible for our response.</w:t>
      </w:r>
    </w:p>
    <w:p>
      <w:pPr>
        <w:pStyle w:val="VerseLabel"/>
      </w:pPr>
      <w:hyperlink r:id="rId46">
        <w:r>
          <w:rPr>
            <w:color w:val="000000"/>
            <w:u w:val="single"/>
            <w:sz w:val="20"/>
            <w:b/>
          </w:rPr>
          <w:t>Qur’an 85:21</w:t>
        </w:r>
      </w:hyperlink>
    </w:p>
    <w:p>
      <w:pPr>
        <w:pStyle w:val="ArabicVerse"/>
        <w:jc w:val="left"/>
        <w:bidi w:val="1"/>
      </w:pPr>
      <w:r>
        <w:rPr>
          <w:rFonts w:ascii="Noto Naskh Arabic" w:hAnsi="Noto Naskh Arabic" w:cs="Noto Naskh Arabic" w:eastAsia="Noto Naskh Arabic"/>
          <w:rtl w:val="1"/>
          <w:szCs w:val="30"/>
          <w:lang w:bidi="ar-SA"/>
        </w:rPr>
        <w:t>بَلۡ هُوَ قُرۡءَانٞ مَّجِيدٞ</w:t>
      </w:r>
    </w:p>
    <w:p>
      <w:pPr>
        <w:pStyle w:val="Translation"/>
      </w:pPr>
      <w:r>
        <w:t>Rather, it is a glorious Qur’an,</w:t>
      </w:r>
    </w:p>
    <w:p>
      <w:pPr>
        <w:pStyle w:val="VerseLabel"/>
      </w:pPr>
      <w:hyperlink r:id="rId47">
        <w:r>
          <w:rPr>
            <w:color w:val="000000"/>
            <w:u w:val="single"/>
            <w:sz w:val="20"/>
            <w:b/>
          </w:rPr>
          <w:t>Qur’an 85:22</w:t>
        </w:r>
      </w:hyperlink>
    </w:p>
    <w:p>
      <w:pPr>
        <w:pStyle w:val="ArabicVerse"/>
        <w:jc w:val="left"/>
        <w:bidi w:val="1"/>
      </w:pPr>
      <w:r>
        <w:rPr>
          <w:rFonts w:ascii="Noto Naskh Arabic" w:hAnsi="Noto Naskh Arabic" w:cs="Noto Naskh Arabic" w:eastAsia="Noto Naskh Arabic"/>
          <w:rtl w:val="1"/>
          <w:szCs w:val="30"/>
          <w:lang w:bidi="ar-SA"/>
        </w:rPr>
        <w:t>فِي لَوۡحٖ مَّحۡفُوظِۭ</w:t>
      </w:r>
    </w:p>
    <w:p>
      <w:pPr>
        <w:pStyle w:val="Translation"/>
      </w:pPr>
      <w:r>
        <w:t>in a preserved tablet.</w:t>
      </w:r>
    </w:p>
    <w:p>
      <w:r>
        <w:t>These verses explicitly connect revelation to al-Lawḥ al-Maḥfūẓ. They give the thesis an internal bridge between the revealed Book and the preserved order associated in Islamic tradition with divine decree. They do not describe the tablet’s material, location, storage density, or dimensionality.</w:t>
      </w:r>
    </w:p>
    <w:p>
      <w:pPr>
        <w:pStyle w:val="VerseLabel"/>
      </w:pPr>
      <w:hyperlink r:id="rId48">
        <w:r>
          <w:rPr>
            <w:color w:val="000000"/>
            <w:u w:val="single"/>
            <w:sz w:val="20"/>
            <w:b/>
          </w:rPr>
          <w:t>Qur’an 43:2</w:t>
        </w:r>
      </w:hyperlink>
    </w:p>
    <w:p>
      <w:pPr>
        <w:pStyle w:val="ArabicVerse"/>
        <w:jc w:val="left"/>
        <w:bidi w:val="1"/>
      </w:pPr>
      <w:r>
        <w:rPr>
          <w:rFonts w:ascii="Noto Naskh Arabic" w:hAnsi="Noto Naskh Arabic" w:cs="Noto Naskh Arabic" w:eastAsia="Noto Naskh Arabic"/>
          <w:rtl w:val="1"/>
          <w:szCs w:val="30"/>
          <w:lang w:bidi="ar-SA"/>
        </w:rPr>
        <w:t>وَٱلۡكِتَٰبِ ٱلۡمُبِينِ</w:t>
      </w:r>
    </w:p>
    <w:p>
      <w:pPr>
        <w:pStyle w:val="Translation"/>
      </w:pPr>
      <w:r>
        <w:t>By the clear Book,</w:t>
      </w:r>
    </w:p>
    <w:p>
      <w:pPr>
        <w:pStyle w:val="VerseLabel"/>
      </w:pPr>
      <w:hyperlink r:id="rId49">
        <w:r>
          <w:rPr>
            <w:color w:val="000000"/>
            <w:u w:val="single"/>
            <w:sz w:val="20"/>
            <w:b/>
          </w:rPr>
          <w:t>Qur’an 43:3</w:t>
        </w:r>
      </w:hyperlink>
    </w:p>
    <w:p>
      <w:pPr>
        <w:pStyle w:val="ArabicVerse"/>
        <w:jc w:val="left"/>
        <w:bidi w:val="1"/>
      </w:pPr>
      <w:r>
        <w:rPr>
          <w:rFonts w:ascii="Noto Naskh Arabic" w:hAnsi="Noto Naskh Arabic" w:cs="Noto Naskh Arabic" w:eastAsia="Noto Naskh Arabic"/>
          <w:rtl w:val="1"/>
          <w:szCs w:val="30"/>
          <w:lang w:bidi="ar-SA"/>
        </w:rPr>
        <w:t>إِنَّا جَعَلۡنَٰهُ قُرۡءَٰنًا عَرَبِيّٗا لَّعَلَّكُمۡ تَعۡقِلُونَ</w:t>
      </w:r>
    </w:p>
    <w:p>
      <w:pPr>
        <w:pStyle w:val="Translation"/>
      </w:pPr>
      <w:r>
        <w:t>We have made it an Arabic Qur’an so that you may understand.</w:t>
      </w:r>
    </w:p>
    <w:p>
      <w:pPr>
        <w:pStyle w:val="VerseLabel"/>
      </w:pPr>
      <w:hyperlink r:id="rId50">
        <w:r>
          <w:rPr>
            <w:color w:val="000000"/>
            <w:u w:val="single"/>
            <w:sz w:val="20"/>
            <w:b/>
          </w:rPr>
          <w:t>Qur’an 43:4</w:t>
        </w:r>
      </w:hyperlink>
    </w:p>
    <w:p>
      <w:pPr>
        <w:pStyle w:val="ArabicVerse"/>
        <w:jc w:val="left"/>
        <w:bidi w:val="1"/>
      </w:pPr>
      <w:r>
        <w:rPr>
          <w:rFonts w:ascii="Noto Naskh Arabic" w:hAnsi="Noto Naskh Arabic" w:cs="Noto Naskh Arabic" w:eastAsia="Noto Naskh Arabic"/>
          <w:rtl w:val="1"/>
          <w:szCs w:val="30"/>
          <w:lang w:bidi="ar-SA"/>
        </w:rPr>
        <w:t>وَإِنَّهُۥ فِيٓ أُمِّ ٱلۡكِتَٰبِ لَدَيۡنَا لَعَلِيٌّ حَكِيمٌ</w:t>
      </w:r>
    </w:p>
    <w:p>
      <w:pPr>
        <w:pStyle w:val="Translation"/>
      </w:pPr>
      <w:r>
        <w:t>It is, in the Mother of the Book with Us, exalted and full of wisdom.</w:t>
      </w:r>
    </w:p>
    <w:p>
      <w:pPr>
        <w:pStyle w:val="VerseLabel"/>
      </w:pPr>
      <w:hyperlink r:id="rId51">
        <w:r>
          <w:rPr>
            <w:color w:val="000000"/>
            <w:u w:val="single"/>
            <w:sz w:val="20"/>
            <w:b/>
          </w:rPr>
          <w:t>Qur’an 13:39</w:t>
        </w:r>
      </w:hyperlink>
    </w:p>
    <w:p>
      <w:pPr>
        <w:pStyle w:val="ArabicVerse"/>
        <w:jc w:val="left"/>
        <w:bidi w:val="1"/>
      </w:pPr>
      <w:r>
        <w:rPr>
          <w:rFonts w:ascii="Noto Naskh Arabic" w:hAnsi="Noto Naskh Arabic" w:cs="Noto Naskh Arabic" w:eastAsia="Noto Naskh Arabic"/>
          <w:rtl w:val="1"/>
          <w:szCs w:val="30"/>
          <w:lang w:bidi="ar-SA"/>
        </w:rPr>
        <w:t>يَمۡحُواْ ٱللَّهُ مَا يَشَآءُ وَيُثۡبِتُۖ وَعِندَهُۥٓ أُمُّ ٱلۡكِتَٰبِ</w:t>
      </w:r>
    </w:p>
    <w:p>
      <w:pPr>
        <w:pStyle w:val="Translation"/>
      </w:pPr>
      <w:r>
        <w:t>God erases what He wills and confirms, and with Him is the Mother of the Book.</w:t>
      </w:r>
    </w:p>
    <w:p>
      <w:r>
        <w:t xml:space="preserve">The collection’s essay on Umm al-Kitāb draws attention to the relation between revealed discourse and its transcendent source. </w:t>
      </w:r>
      <w:r>
        <w:t>[</w:t>
      </w:r>
      <w:hyperlink r:id="rId52">
        <w:r>
          <w:rPr>
            <w:color w:val="000000"/>
            <w:u w:val="single"/>
            <w:sz w:val="20"/>
          </w:rPr>
          <w:t>8</w:t>
        </w:r>
      </w:hyperlink>
      <w:r>
        <w:t>]</w:t>
      </w:r>
      <w:r>
        <w:t xml:space="preserve"> For our purpose, these passages establish a unity beneath the distinctions among the books. They also warn against treating every scriptural book as an independent heavenly container. The “Mother of the Book” identifies an authoritative source, while the language of erasing and confirming affirms divine sovereignty over inscription.</w:t>
      </w:r>
    </w:p>
    <w:p>
      <w:r>
        <w:t>That last verse creates an important limit for a literal computer metaphor. Decree is not an authority imposed upon God. Nor should changing inscriptions be described casually as God discovering new facts. Classical theology distinguishes divine knowledge from created or conditional records in different ways. The Qur’anic affirmation of sovereignty remains firmer than any proposed technological analogy.</w:t>
      </w:r>
    </w:p>
    <w:p>
      <w:pPr>
        <w:pStyle w:val="VerseLabel"/>
      </w:pPr>
      <w:hyperlink r:id="rId53">
        <w:r>
          <w:rPr>
            <w:color w:val="000000"/>
            <w:u w:val="single"/>
            <w:sz w:val="20"/>
            <w:b/>
          </w:rPr>
          <w:t>Qur’an 35:41</w:t>
        </w:r>
      </w:hyperlink>
    </w:p>
    <w:p>
      <w:pPr>
        <w:pStyle w:val="ArabicVerse"/>
        <w:jc w:val="left"/>
        <w:bidi w:val="1"/>
      </w:pPr>
      <w:r>
        <w:rPr>
          <w:rFonts w:ascii="Noto Naskh Arabic" w:hAnsi="Noto Naskh Arabic" w:cs="Noto Naskh Arabic" w:eastAsia="Noto Naskh Arabic"/>
          <w:rtl w:val="1"/>
          <w:szCs w:val="30"/>
          <w:lang w:bidi="ar-SA"/>
        </w:rPr>
        <w:t>۞إِنَّ ٱللَّهَ يُمۡسِكُ ٱلسَّمَٰوَٰتِ وَٱلۡأَرۡضَ أَن تَزُولَاۚ وَلَئِن زَالَتَآ إِنۡ أَمۡسَكَهُمَا مِنۡ أَحَدٖ مِّنۢ بَعۡدِهِۦٓۚ إِنَّهُۥ كَانَ حَلِيمًا غَفُورٗا</w:t>
      </w:r>
    </w:p>
    <w:p>
      <w:pPr>
        <w:pStyle w:val="Translation"/>
      </w:pPr>
      <w:r>
        <w:t>God holds the heavens and the earth lest they cease; if they were to cease, none after Him could hold them. He is forbearing and forgiving.</w:t>
      </w:r>
    </w:p>
    <w:p>
      <w:pPr>
        <w:pStyle w:val="VerseLabel"/>
      </w:pPr>
      <w:hyperlink r:id="rId54">
        <w:r>
          <w:rPr>
            <w:color w:val="000000"/>
            <w:u w:val="single"/>
            <w:sz w:val="20"/>
            <w:b/>
          </w:rPr>
          <w:t>Qur’an 55:29</w:t>
        </w:r>
      </w:hyperlink>
    </w:p>
    <w:p>
      <w:pPr>
        <w:pStyle w:val="ArabicVerse"/>
        <w:jc w:val="left"/>
        <w:bidi w:val="1"/>
      </w:pPr>
      <w:r>
        <w:rPr>
          <w:rFonts w:ascii="Noto Naskh Arabic" w:hAnsi="Noto Naskh Arabic" w:cs="Noto Naskh Arabic" w:eastAsia="Noto Naskh Arabic"/>
          <w:rtl w:val="1"/>
          <w:szCs w:val="30"/>
          <w:lang w:bidi="ar-SA"/>
        </w:rPr>
        <w:t>يَسۡـَٔلُهُۥ مَن فِي ٱلسَّمَٰوَٰتِ وَٱلۡأَرۡضِۚ كُلَّ يَوۡمٍ هُوَ فِي شَأۡنٖ</w:t>
      </w:r>
    </w:p>
    <w:p>
      <w:pPr>
        <w:pStyle w:val="Translation"/>
      </w:pPr>
      <w:r>
        <w:t>All who are in the heavens and the earth ask of Him. Every day He is engaged in an affair.</w:t>
      </w:r>
    </w:p>
    <w:p>
      <w:r>
        <w:t>These passages support the conception of a continuously dependent creation. Shah’s occasionalist approach interprets dependable natural processes as expressions of continuing divine agency. This can be a coherent metaphysics of scientific regularity: science discovers how events ordinarily occur, while theology asks what ultimately sustains their occurrence. The verses affirm dependence and governance; choosing a complete occasionalist account rather than a doctrine of created secondary causes requires further philosophical argument.</w:t>
      </w:r>
    </w:p>
    <w:p>
      <w:r>
        <w:t>Theologically, God’s knowledge also exceeds a census of outward motion. A record adequate to justice must include understanding of persons, purposes, opportunities, and constraints. Physical descriptions can illuminate the conditions under which an act occurs. They do not, by themselves, determine its moral significance.</w:t>
      </w:r>
    </w:p>
    <w:p>
      <w:pPr>
        <w:pStyle w:val="Heading1"/>
      </w:pPr>
      <w:r>
        <w:t>The record of deeds and the conditions of justice</w:t>
      </w:r>
    </w:p>
    <w:p>
      <w:r>
        <w:t>The Qur’anic support for the Book of Deeds is extensive and remarkably concrete. It includes actions, their continuing effects, speech, self-disclosure, the testimony of the body, and judgment proportionate to responsibility.</w:t>
      </w:r>
    </w:p>
    <w:p>
      <w:pPr>
        <w:pStyle w:val="VerseLabel"/>
      </w:pPr>
      <w:hyperlink r:id="rId55">
        <w:r>
          <w:rPr>
            <w:color w:val="000000"/>
            <w:u w:val="single"/>
            <w:sz w:val="20"/>
            <w:b/>
          </w:rPr>
          <w:t>Qur’an 36:12</w:t>
        </w:r>
      </w:hyperlink>
    </w:p>
    <w:p>
      <w:pPr>
        <w:pStyle w:val="ArabicVerse"/>
        <w:jc w:val="left"/>
        <w:bidi w:val="1"/>
      </w:pPr>
      <w:r>
        <w:rPr>
          <w:rFonts w:ascii="Noto Naskh Arabic" w:hAnsi="Noto Naskh Arabic" w:cs="Noto Naskh Arabic" w:eastAsia="Noto Naskh Arabic"/>
          <w:rtl w:val="1"/>
          <w:szCs w:val="30"/>
          <w:lang w:bidi="ar-SA"/>
        </w:rPr>
        <w:t>إِنَّا نَحۡنُ نُحۡيِ ٱلۡمَوۡتَىٰ وَنَكۡتُبُ مَا قَدَّمُواْ وَءَاثَٰرَهُمۡۚ وَكُلَّ شَيۡءٍ أَحۡصَيۡنَٰهُ فِيٓ إِمَامٖ مُّبِينٖ</w:t>
      </w:r>
    </w:p>
    <w:p>
      <w:pPr>
        <w:pStyle w:val="Translation"/>
      </w:pPr>
      <w:r>
        <w:t>We indeed bring the dead to life, and We write down what they have sent ahead and the traces they leave behind. We have encompassed everything in a clear register.</w:t>
      </w:r>
    </w:p>
    <w:p>
      <w:r>
        <w:t>This is among the thesis’s most important supporting verses. Resurrection and record-keeping occur together. The reference to traces extends moral attention beyond the instant of action. Teaching, generosity, prejudice, institutional decisions, and acts of violence can affect people long after their originators are absent. Interpreted ethically, the verse asks us to consider what our lives set in motion. Responsibility for consequences still requires just assessment; it does not mean that agents are equally blameworthy for every unforeseen downstream event.</w:t>
      </w:r>
    </w:p>
    <w:p>
      <w:pPr>
        <w:pStyle w:val="VerseLabel"/>
      </w:pPr>
      <w:hyperlink r:id="rId56">
        <w:r>
          <w:rPr>
            <w:color w:val="000000"/>
            <w:u w:val="single"/>
            <w:sz w:val="20"/>
            <w:b/>
          </w:rPr>
          <w:t>Qur’an 50:16</w:t>
        </w:r>
      </w:hyperlink>
    </w:p>
    <w:p>
      <w:pPr>
        <w:pStyle w:val="ArabicVerse"/>
        <w:jc w:val="left"/>
        <w:bidi w:val="1"/>
      </w:pPr>
      <w:r>
        <w:rPr>
          <w:rFonts w:ascii="Noto Naskh Arabic" w:hAnsi="Noto Naskh Arabic" w:cs="Noto Naskh Arabic" w:eastAsia="Noto Naskh Arabic"/>
          <w:rtl w:val="1"/>
          <w:szCs w:val="30"/>
          <w:lang w:bidi="ar-SA"/>
        </w:rPr>
        <w:t>وَلَقَدۡ خَلَقۡنَا ٱلۡإِنسَٰنَ وَنَعۡلَمُ مَا تُوَسۡوِسُ بِهِۦ نَفۡسُهُۥۖ وَنَحۡنُ أَقۡرَبُ إِلَيۡهِ مِنۡ حَبۡلِ ٱلۡوَرِيدِ</w:t>
      </w:r>
    </w:p>
    <w:p>
      <w:pPr>
        <w:pStyle w:val="Translation"/>
      </w:pPr>
      <w:r>
        <w:t>We created the human being and know what the self whispers within; We are nearer to the person than the jugular vein.</w:t>
      </w:r>
    </w:p>
    <w:p>
      <w:pPr>
        <w:pStyle w:val="VerseLabel"/>
      </w:pPr>
      <w:hyperlink r:id="rId57">
        <w:r>
          <w:rPr>
            <w:color w:val="000000"/>
            <w:u w:val="single"/>
            <w:sz w:val="20"/>
            <w:b/>
          </w:rPr>
          <w:t>Qur’an 50:17</w:t>
        </w:r>
      </w:hyperlink>
    </w:p>
    <w:p>
      <w:pPr>
        <w:pStyle w:val="ArabicVerse"/>
        <w:jc w:val="left"/>
        <w:bidi w:val="1"/>
      </w:pPr>
      <w:r>
        <w:rPr>
          <w:rFonts w:ascii="Noto Naskh Arabic" w:hAnsi="Noto Naskh Arabic" w:cs="Noto Naskh Arabic" w:eastAsia="Noto Naskh Arabic"/>
          <w:rtl w:val="1"/>
          <w:szCs w:val="30"/>
          <w:lang w:bidi="ar-SA"/>
        </w:rPr>
        <w:t>إِذۡ يَتَلَقَّى ٱلۡمُتَلَقِّيَانِ عَنِ ٱلۡيَمِينِ وَعَنِ ٱلشِّمَالِ قَعِيدٞ</w:t>
      </w:r>
    </w:p>
    <w:p>
      <w:pPr>
        <w:pStyle w:val="Translation"/>
      </w:pPr>
      <w:r>
        <w:t>When the two receivers receive, seated on the right and on the left,</w:t>
      </w:r>
    </w:p>
    <w:p>
      <w:pPr>
        <w:pStyle w:val="VerseLabel"/>
      </w:pPr>
      <w:hyperlink r:id="rId58">
        <w:r>
          <w:rPr>
            <w:color w:val="000000"/>
            <w:u w:val="single"/>
            <w:sz w:val="20"/>
            <w:b/>
          </w:rPr>
          <w:t>Qur’an 50:18</w:t>
        </w:r>
      </w:hyperlink>
    </w:p>
    <w:p>
      <w:pPr>
        <w:pStyle w:val="ArabicVerse"/>
        <w:jc w:val="left"/>
        <w:bidi w:val="1"/>
      </w:pPr>
      <w:r>
        <w:rPr>
          <w:rFonts w:ascii="Noto Naskh Arabic" w:hAnsi="Noto Naskh Arabic" w:cs="Noto Naskh Arabic" w:eastAsia="Noto Naskh Arabic"/>
          <w:rtl w:val="1"/>
          <w:szCs w:val="30"/>
          <w:lang w:bidi="ar-SA"/>
        </w:rPr>
        <w:t>مَّا يَلۡفِظُ مِن قَوۡلٍ إِلَّا لَدَيۡهِ رَقِيبٌ عَتِيدٞ</w:t>
      </w:r>
    </w:p>
    <w:p>
      <w:pPr>
        <w:pStyle w:val="Translation"/>
      </w:pPr>
      <w:r>
        <w:t>no word is uttered without a watcher ready beside the speaker.</w:t>
      </w:r>
    </w:p>
    <w:p>
      <w:r>
        <w:t>The movement from inner whispering to spoken words presents a moral world in which concealment from people does not imply concealment from God. Raqīb and ʿatīd in the last verse describe watchfulness and readiness; the verse itself does not assign these as the personal names of two angels. Divine nearness is likewise not a measurement of physical distance.</w:t>
      </w:r>
    </w:p>
    <w:p>
      <w:pPr>
        <w:pStyle w:val="VerseLabel"/>
      </w:pPr>
      <w:hyperlink r:id="rId59">
        <w:r>
          <w:rPr>
            <w:color w:val="000000"/>
            <w:u w:val="single"/>
            <w:sz w:val="20"/>
            <w:b/>
          </w:rPr>
          <w:t>Qur’an 82:10</w:t>
        </w:r>
      </w:hyperlink>
    </w:p>
    <w:p>
      <w:pPr>
        <w:pStyle w:val="ArabicVerse"/>
        <w:jc w:val="left"/>
        <w:bidi w:val="1"/>
      </w:pPr>
      <w:r>
        <w:rPr>
          <w:rFonts w:ascii="Noto Naskh Arabic" w:hAnsi="Noto Naskh Arabic" w:cs="Noto Naskh Arabic" w:eastAsia="Noto Naskh Arabic"/>
          <w:rtl w:val="1"/>
          <w:szCs w:val="30"/>
          <w:lang w:bidi="ar-SA"/>
        </w:rPr>
        <w:t>وَإِنَّ عَلَيۡكُمۡ لَحَٰفِظِينَ</w:t>
      </w:r>
    </w:p>
    <w:p>
      <w:pPr>
        <w:pStyle w:val="Translation"/>
      </w:pPr>
      <w:r>
        <w:t>Over you there are guardians,</w:t>
      </w:r>
    </w:p>
    <w:p>
      <w:pPr>
        <w:pStyle w:val="VerseLabel"/>
      </w:pPr>
      <w:hyperlink r:id="rId60">
        <w:r>
          <w:rPr>
            <w:color w:val="000000"/>
            <w:u w:val="single"/>
            <w:sz w:val="20"/>
            <w:b/>
          </w:rPr>
          <w:t>Qur’an 82:11</w:t>
        </w:r>
      </w:hyperlink>
    </w:p>
    <w:p>
      <w:pPr>
        <w:pStyle w:val="ArabicVerse"/>
        <w:jc w:val="left"/>
        <w:bidi w:val="1"/>
      </w:pPr>
      <w:r>
        <w:rPr>
          <w:rFonts w:ascii="Noto Naskh Arabic" w:hAnsi="Noto Naskh Arabic" w:cs="Noto Naskh Arabic" w:eastAsia="Noto Naskh Arabic"/>
          <w:rtl w:val="1"/>
          <w:szCs w:val="30"/>
          <w:lang w:bidi="ar-SA"/>
        </w:rPr>
        <w:t>كِرَامٗا كَٰتِبِينَ</w:t>
      </w:r>
    </w:p>
    <w:p>
      <w:pPr>
        <w:pStyle w:val="Translation"/>
      </w:pPr>
      <w:r>
        <w:t>noble recorders,</w:t>
      </w:r>
    </w:p>
    <w:p>
      <w:pPr>
        <w:pStyle w:val="VerseLabel"/>
      </w:pPr>
      <w:hyperlink r:id="rId61">
        <w:r>
          <w:rPr>
            <w:color w:val="000000"/>
            <w:u w:val="single"/>
            <w:sz w:val="20"/>
            <w:b/>
          </w:rPr>
          <w:t>Qur’an 82:12</w:t>
        </w:r>
      </w:hyperlink>
    </w:p>
    <w:p>
      <w:pPr>
        <w:pStyle w:val="ArabicVerse"/>
        <w:jc w:val="left"/>
        <w:bidi w:val="1"/>
      </w:pPr>
      <w:r>
        <w:rPr>
          <w:rFonts w:ascii="Noto Naskh Arabic" w:hAnsi="Noto Naskh Arabic" w:cs="Noto Naskh Arabic" w:eastAsia="Noto Naskh Arabic"/>
          <w:rtl w:val="1"/>
          <w:szCs w:val="30"/>
          <w:lang w:bidi="ar-SA"/>
        </w:rPr>
        <w:t>يَعۡلَمُونَ مَا تَفۡعَلُونَ</w:t>
      </w:r>
    </w:p>
    <w:p>
      <w:pPr>
        <w:pStyle w:val="Translation"/>
      </w:pPr>
      <w:r>
        <w:t>who know what you do.</w:t>
      </w:r>
    </w:p>
    <w:p>
      <w:r>
        <w:t>Physical recording analogies can help a modern reader understand that observation need not be confined to a human scribe. They do not establish that the angels are electromagnetic fields or processes of decoherence. Such an identification would add an ontological claim neither the verses nor physics demonstrates. A believer may regard natural mechanisms as serving providence while leaving the precise mode of angelic action open.</w:t>
      </w:r>
    </w:p>
    <w:p>
      <w:pPr>
        <w:pStyle w:val="VerseLabel"/>
      </w:pPr>
      <w:hyperlink r:id="rId62">
        <w:r>
          <w:rPr>
            <w:color w:val="000000"/>
            <w:u w:val="single"/>
            <w:sz w:val="20"/>
            <w:b/>
          </w:rPr>
          <w:t>Qur’an 54:52</w:t>
        </w:r>
      </w:hyperlink>
    </w:p>
    <w:p>
      <w:pPr>
        <w:pStyle w:val="ArabicVerse"/>
        <w:jc w:val="left"/>
        <w:bidi w:val="1"/>
      </w:pPr>
      <w:r>
        <w:rPr>
          <w:rFonts w:ascii="Noto Naskh Arabic" w:hAnsi="Noto Naskh Arabic" w:cs="Noto Naskh Arabic" w:eastAsia="Noto Naskh Arabic"/>
          <w:rtl w:val="1"/>
          <w:szCs w:val="30"/>
          <w:lang w:bidi="ar-SA"/>
        </w:rPr>
        <w:t>وَكُلُّ شَيۡءٖ فَعَلُوهُ فِي ٱلزُّبُرِ</w:t>
      </w:r>
    </w:p>
    <w:p>
      <w:pPr>
        <w:pStyle w:val="Translation"/>
      </w:pPr>
      <w:r>
        <w:t>Everything they did is in the written records.</w:t>
      </w:r>
    </w:p>
    <w:p>
      <w:pPr>
        <w:pStyle w:val="VerseLabel"/>
      </w:pPr>
      <w:hyperlink r:id="rId63">
        <w:r>
          <w:rPr>
            <w:color w:val="000000"/>
            <w:u w:val="single"/>
            <w:sz w:val="20"/>
            <w:b/>
          </w:rPr>
          <w:t>Qur’an 54:53</w:t>
        </w:r>
      </w:hyperlink>
    </w:p>
    <w:p>
      <w:pPr>
        <w:pStyle w:val="ArabicVerse"/>
        <w:jc w:val="left"/>
        <w:bidi w:val="1"/>
      </w:pPr>
      <w:r>
        <w:rPr>
          <w:rFonts w:ascii="Noto Naskh Arabic" w:hAnsi="Noto Naskh Arabic" w:cs="Noto Naskh Arabic" w:eastAsia="Noto Naskh Arabic"/>
          <w:rtl w:val="1"/>
          <w:szCs w:val="30"/>
          <w:lang w:bidi="ar-SA"/>
        </w:rPr>
        <w:t>وَكُلُّ صَغِيرٖ وَكَبِيرٖ مُّسۡتَطَرٌ</w:t>
      </w:r>
    </w:p>
    <w:p>
      <w:pPr>
        <w:pStyle w:val="Translation"/>
      </w:pPr>
      <w:r>
        <w:t>Every small and great thing is inscribed.</w:t>
      </w:r>
    </w:p>
    <w:p>
      <w:pPr>
        <w:pStyle w:val="VerseLabel"/>
      </w:pPr>
      <w:hyperlink r:id="rId64">
        <w:r>
          <w:rPr>
            <w:color w:val="000000"/>
            <w:u w:val="single"/>
            <w:sz w:val="20"/>
            <w:b/>
          </w:rPr>
          <w:t>Qur’an 78:29</w:t>
        </w:r>
      </w:hyperlink>
    </w:p>
    <w:p>
      <w:pPr>
        <w:pStyle w:val="ArabicVerse"/>
        <w:jc w:val="left"/>
        <w:bidi w:val="1"/>
      </w:pPr>
      <w:r>
        <w:rPr>
          <w:rFonts w:ascii="Noto Naskh Arabic" w:hAnsi="Noto Naskh Arabic" w:cs="Noto Naskh Arabic" w:eastAsia="Noto Naskh Arabic"/>
          <w:rtl w:val="1"/>
          <w:szCs w:val="30"/>
          <w:lang w:bidi="ar-SA"/>
        </w:rPr>
        <w:t>وَكُلَّ شَيۡءٍ أَحۡصَيۡنَٰهُ كِتَٰبٗا</w:t>
      </w:r>
    </w:p>
    <w:p>
      <w:pPr>
        <w:pStyle w:val="Translation"/>
      </w:pPr>
      <w:r>
        <w:t>We have counted everything in a written record.</w:t>
      </w:r>
    </w:p>
    <w:p>
      <w:pPr>
        <w:pStyle w:val="VerseLabel"/>
      </w:pPr>
      <w:hyperlink r:id="rId65">
        <w:r>
          <w:rPr>
            <w:color w:val="000000"/>
            <w:u w:val="single"/>
            <w:sz w:val="20"/>
            <w:b/>
          </w:rPr>
          <w:t>Qur’an 58:6</w:t>
        </w:r>
      </w:hyperlink>
    </w:p>
    <w:p>
      <w:pPr>
        <w:pStyle w:val="ArabicVerse"/>
        <w:jc w:val="left"/>
        <w:bidi w:val="1"/>
      </w:pPr>
      <w:r>
        <w:rPr>
          <w:rFonts w:ascii="Noto Naskh Arabic" w:hAnsi="Noto Naskh Arabic" w:cs="Noto Naskh Arabic" w:eastAsia="Noto Naskh Arabic"/>
          <w:rtl w:val="1"/>
          <w:szCs w:val="30"/>
          <w:lang w:bidi="ar-SA"/>
        </w:rPr>
        <w:t>يَوۡمَ يَبۡعَثُهُمُ ٱللَّهُ جَمِيعٗا فَيُنَبِّئُهُم بِمَا عَمِلُوٓاْۚ أَحۡصَىٰهُ ٱللَّهُ وَنَسُوهُۚ وَٱللَّهُ عَلَىٰ كُلِّ شَيۡءٖ شَهِيدٌ</w:t>
      </w:r>
    </w:p>
    <w:p>
      <w:pPr>
        <w:pStyle w:val="Translation"/>
      </w:pPr>
      <w:r>
        <w:t>On the day God raises them all, He will inform them of what they did. God has counted it, although they have forgotten it. God is witness over everything.</w:t>
      </w:r>
    </w:p>
    <w:p>
      <w:r>
        <w:t>The contrast between divine enumeration and human forgetting is decisive. Human memory is selective, reconstructive, and finite. The theological claim is that truth does not share those limits. Forgetting an injury does not establish that it never occurred, and forgetting an act of kindness does not erase its worth.</w:t>
      </w:r>
    </w:p>
    <w:p>
      <w:pPr>
        <w:pStyle w:val="VerseLabel"/>
      </w:pPr>
      <w:hyperlink r:id="rId66">
        <w:r>
          <w:rPr>
            <w:color w:val="000000"/>
            <w:u w:val="single"/>
            <w:sz w:val="20"/>
            <w:b/>
          </w:rPr>
          <w:t>Qur’an 17:13</w:t>
        </w:r>
      </w:hyperlink>
    </w:p>
    <w:p>
      <w:pPr>
        <w:pStyle w:val="ArabicVerse"/>
        <w:jc w:val="left"/>
        <w:bidi w:val="1"/>
      </w:pPr>
      <w:r>
        <w:rPr>
          <w:rFonts w:ascii="Noto Naskh Arabic" w:hAnsi="Noto Naskh Arabic" w:cs="Noto Naskh Arabic" w:eastAsia="Noto Naskh Arabic"/>
          <w:rtl w:val="1"/>
          <w:szCs w:val="30"/>
          <w:lang w:bidi="ar-SA"/>
        </w:rPr>
        <w:t>وَكُلَّ إِنسَٰنٍ أَلۡزَمۡنَٰهُ طَـٰٓئِرَهُۥ فِي عُنُقِهِۦۖ وَنُخۡرِجُ لَهُۥ يَوۡمَ ٱلۡقِيَٰمَةِ كِتَٰبٗا يَلۡقَىٰهُ مَنشُورًا</w:t>
      </w:r>
    </w:p>
    <w:p>
      <w:pPr>
        <w:pStyle w:val="Translation"/>
      </w:pPr>
      <w:r>
        <w:t>We have fastened every person’s lot to their neck, and on the Day of Resurrection We shall bring forth for them a book which they will find spread open.</w:t>
      </w:r>
    </w:p>
    <w:p>
      <w:pPr>
        <w:pStyle w:val="VerseLabel"/>
      </w:pPr>
      <w:hyperlink r:id="rId67">
        <w:r>
          <w:rPr>
            <w:color w:val="000000"/>
            <w:u w:val="single"/>
            <w:sz w:val="20"/>
            <w:b/>
          </w:rPr>
          <w:t>Qur’an 17:14</w:t>
        </w:r>
      </w:hyperlink>
    </w:p>
    <w:p>
      <w:pPr>
        <w:pStyle w:val="ArabicVerse"/>
        <w:jc w:val="left"/>
        <w:bidi w:val="1"/>
      </w:pPr>
      <w:r>
        <w:rPr>
          <w:rFonts w:ascii="Noto Naskh Arabic" w:hAnsi="Noto Naskh Arabic" w:cs="Noto Naskh Arabic" w:eastAsia="Noto Naskh Arabic"/>
          <w:rtl w:val="1"/>
          <w:szCs w:val="30"/>
          <w:lang w:bidi="ar-SA"/>
        </w:rPr>
        <w:t>ٱقۡرَأۡ كِتَٰبَكَ كَفَىٰ بِنَفۡسِكَ ٱلۡيَوۡمَ عَلَيۡكَ حَسِيبٗا</w:t>
      </w:r>
    </w:p>
    <w:p>
      <w:pPr>
        <w:pStyle w:val="Translation"/>
      </w:pPr>
      <w:r>
        <w:t>Read your record. Today you yourself are sufficient to reckon against yourself.</w:t>
      </w:r>
    </w:p>
    <w:p>
      <w:r>
        <w:t>The imagery of the attached lot binds a person to the life actually lived. The second verse makes accountability intelligible to the accountable person. Judgment is not presented merely as an unexplained sentence imposed from outside. The record enables recognition. That suggests a richer disclosure than a list of outcomes without circumstances, motives, or opportunities to understand them.</w:t>
      </w:r>
    </w:p>
    <w:p>
      <w:pPr>
        <w:pStyle w:val="VerseLabel"/>
      </w:pPr>
      <w:hyperlink r:id="rId68">
        <w:r>
          <w:rPr>
            <w:color w:val="000000"/>
            <w:u w:val="single"/>
            <w:sz w:val="20"/>
            <w:b/>
          </w:rPr>
          <w:t>Qur’an 18:49</w:t>
        </w:r>
      </w:hyperlink>
    </w:p>
    <w:p>
      <w:pPr>
        <w:pStyle w:val="ArabicVerse"/>
        <w:jc w:val="left"/>
        <w:bidi w:val="1"/>
      </w:pPr>
      <w:r>
        <w:rPr>
          <w:rFonts w:ascii="Noto Naskh Arabic" w:hAnsi="Noto Naskh Arabic" w:cs="Noto Naskh Arabic" w:eastAsia="Noto Naskh Arabic"/>
          <w:rtl w:val="1"/>
          <w:szCs w:val="30"/>
          <w:lang w:bidi="ar-SA"/>
        </w:rPr>
        <w:t>وَوُضِعَ ٱلۡكِتَٰبُ فَتَرَى ٱلۡمُجۡرِمِينَ مُشۡفِقِينَ مِمَّا فِيهِ وَيَقُولُونَ يَٰوَيۡلَتَنَا مَالِ هَٰذَا ٱلۡكِتَٰبِ لَا يُغَادِرُ صَغِيرَةٗ وَلَا كَبِيرَةً إِلَّآ أَحۡصَىٰهَاۚ وَوَجَدُواْ مَا عَمِلُواْ حَاضِرٗاۗ وَلَا يَظۡلِمُ رَبُّكَ أَحَدٗا</w:t>
      </w:r>
    </w:p>
    <w:p>
      <w:pPr>
        <w:pStyle w:val="Translation"/>
      </w:pPr>
      <w:r>
        <w:t>The record will be set down, and you will see the guilty fearful of what it contains. They will say, “Woe to us! What is this record that leaves nothing small or great without counting it?” They will find what they did present before them, and your Lord will wrong no one.</w:t>
      </w:r>
    </w:p>
    <w:p>
      <w:r>
        <w:t>Completeness and justice are inseparable here. A complete record that is wrongly interpreted would not satisfy the verse. An account that includes every external movement but misses coercion, ignorance, repentance, or intention would still be inadequate to moral judgment. The divine record’s theological significance therefore exceeds the amount of data it might contain.</w:t>
      </w:r>
    </w:p>
    <w:p>
      <w:pPr>
        <w:pStyle w:val="VerseLabel"/>
      </w:pPr>
      <w:hyperlink r:id="rId69">
        <w:r>
          <w:rPr>
            <w:color w:val="000000"/>
            <w:u w:val="single"/>
            <w:sz w:val="20"/>
            <w:b/>
          </w:rPr>
          <w:t>Qur’an 23:62</w:t>
        </w:r>
      </w:hyperlink>
    </w:p>
    <w:p>
      <w:pPr>
        <w:pStyle w:val="ArabicVerse"/>
        <w:jc w:val="left"/>
        <w:bidi w:val="1"/>
      </w:pPr>
      <w:r>
        <w:rPr>
          <w:rFonts w:ascii="Noto Naskh Arabic" w:hAnsi="Noto Naskh Arabic" w:cs="Noto Naskh Arabic" w:eastAsia="Noto Naskh Arabic"/>
          <w:rtl w:val="1"/>
          <w:szCs w:val="30"/>
          <w:lang w:bidi="ar-SA"/>
        </w:rPr>
        <w:t>وَلَا نُكَلِّفُ نَفۡسًا إِلَّا وُسۡعَهَاۚ وَلَدَيۡنَا كِتَٰبٞ يَنطِقُ بِٱلۡحَقِّ وَهُمۡ لَا يُظۡلَمُونَ</w:t>
      </w:r>
    </w:p>
    <w:p>
      <w:pPr>
        <w:pStyle w:val="Translation"/>
      </w:pPr>
      <w:r>
        <w:t>We burden no soul beyond its capacity. With Us is a book that speaks the truth, and they will not be wronged.</w:t>
      </w:r>
    </w:p>
    <w:p>
      <w:pPr>
        <w:pStyle w:val="VerseLabel"/>
      </w:pPr>
      <w:hyperlink r:id="rId70">
        <w:r>
          <w:rPr>
            <w:color w:val="000000"/>
            <w:u w:val="single"/>
            <w:sz w:val="20"/>
            <w:b/>
          </w:rPr>
          <w:t>Qur’an 21:47</w:t>
        </w:r>
      </w:hyperlink>
    </w:p>
    <w:p>
      <w:pPr>
        <w:pStyle w:val="ArabicVerse"/>
        <w:jc w:val="left"/>
        <w:bidi w:val="1"/>
      </w:pPr>
      <w:r>
        <w:rPr>
          <w:rFonts w:ascii="Noto Naskh Arabic" w:hAnsi="Noto Naskh Arabic" w:cs="Noto Naskh Arabic" w:eastAsia="Noto Naskh Arabic"/>
          <w:rtl w:val="1"/>
          <w:szCs w:val="30"/>
          <w:lang w:bidi="ar-SA"/>
        </w:rPr>
        <w:t>وَنَضَعُ ٱلۡمَوَٰزِينَ ٱلۡقِسۡطَ لِيَوۡمِ ٱلۡقِيَٰمَةِ فَلَا تُظۡلَمُ نَفۡسٞ شَيۡـٔٗاۖ وَإِن كَانَ مِثۡقَالَ حَبَّةٖ مِّنۡ خَرۡدَلٍ أَتَيۡنَا بِهَاۗ وَكَفَىٰ بِنَا حَٰسِبِينَ</w:t>
      </w:r>
    </w:p>
    <w:p>
      <w:pPr>
        <w:pStyle w:val="Translation"/>
      </w:pPr>
      <w:r>
        <w:t>We shall set up the scales of justice for the Day of Resurrection, so that no soul is wronged in anything. Even if something has the weight of a mustard seed, We shall bring it forth. We are sufficient as reckoners.</w:t>
      </w:r>
    </w:p>
    <w:p>
      <w:r>
        <w:t>These are essential safeguards against turning the Four Books Thesis into a vision of indiscriminate surveillance. The point is proportionate, truthful judgment. Capacity matters. Nothing insignificant to other people is necessarily insignificant morally. The smallness of a deed does not place it outside knowledge, and the greatness of an institution does not place it above accountability.</w:t>
      </w:r>
    </w:p>
    <w:p>
      <w:pPr>
        <w:pStyle w:val="VerseLabel"/>
      </w:pPr>
      <w:hyperlink r:id="rId71">
        <w:r>
          <w:rPr>
            <w:color w:val="000000"/>
            <w:u w:val="single"/>
            <w:sz w:val="20"/>
            <w:b/>
          </w:rPr>
          <w:t>Qur’an 36:65</w:t>
        </w:r>
      </w:hyperlink>
    </w:p>
    <w:p>
      <w:pPr>
        <w:pStyle w:val="ArabicVerse"/>
        <w:jc w:val="left"/>
        <w:bidi w:val="1"/>
      </w:pPr>
      <w:r>
        <w:rPr>
          <w:rFonts w:ascii="Noto Naskh Arabic" w:hAnsi="Noto Naskh Arabic" w:cs="Noto Naskh Arabic" w:eastAsia="Noto Naskh Arabic"/>
          <w:rtl w:val="1"/>
          <w:szCs w:val="30"/>
          <w:lang w:bidi="ar-SA"/>
        </w:rPr>
        <w:t>ٱلۡيَوۡمَ نَخۡتِمُ عَلَىٰٓ أَفۡوَٰهِهِمۡ وَتُكَلِّمُنَآ أَيۡدِيهِمۡ وَتَشۡهَدُ أَرۡجُلُهُم بِمَا كَانُواْ يَكۡسِبُونَ</w:t>
      </w:r>
    </w:p>
    <w:p>
      <w:pPr>
        <w:pStyle w:val="Translation"/>
      </w:pPr>
      <w:r>
        <w:t>Today We shall seal their mouths; their hands will speak to Us and their feet will testify to what they used to earn.</w:t>
      </w:r>
    </w:p>
    <w:p>
      <w:pPr>
        <w:pStyle w:val="VerseLabel"/>
      </w:pPr>
      <w:hyperlink r:id="rId72">
        <w:r>
          <w:rPr>
            <w:color w:val="000000"/>
            <w:u w:val="single"/>
            <w:sz w:val="20"/>
            <w:b/>
          </w:rPr>
          <w:t>Qur’an 41:20</w:t>
        </w:r>
      </w:hyperlink>
    </w:p>
    <w:p>
      <w:pPr>
        <w:pStyle w:val="ArabicVerse"/>
        <w:jc w:val="left"/>
        <w:bidi w:val="1"/>
      </w:pPr>
      <w:r>
        <w:rPr>
          <w:rFonts w:ascii="Noto Naskh Arabic" w:hAnsi="Noto Naskh Arabic" w:cs="Noto Naskh Arabic" w:eastAsia="Noto Naskh Arabic"/>
          <w:rtl w:val="1"/>
          <w:szCs w:val="30"/>
          <w:lang w:bidi="ar-SA"/>
        </w:rPr>
        <w:t>حَتَّىٰٓ إِذَا مَا جَآءُوهَا شَهِدَ عَلَيۡهِمۡ سَمۡعُهُمۡ وَأَبۡصَٰرُهُمۡ وَجُلُودُهُم بِمَا كَانُواْ يَعۡمَلُونَ</w:t>
      </w:r>
    </w:p>
    <w:p>
      <w:pPr>
        <w:pStyle w:val="Translation"/>
      </w:pPr>
      <w:r>
        <w:t>When they reach it, their hearing, their sight, and their skins will testify against them concerning what they used to do.</w:t>
      </w:r>
    </w:p>
    <w:p>
      <w:pPr>
        <w:pStyle w:val="VerseLabel"/>
      </w:pPr>
      <w:hyperlink r:id="rId73">
        <w:r>
          <w:rPr>
            <w:color w:val="000000"/>
            <w:u w:val="single"/>
            <w:sz w:val="20"/>
            <w:b/>
          </w:rPr>
          <w:t>Qur’an 41:21</w:t>
        </w:r>
      </w:hyperlink>
    </w:p>
    <w:p>
      <w:pPr>
        <w:pStyle w:val="ArabicVerse"/>
        <w:jc w:val="left"/>
        <w:bidi w:val="1"/>
      </w:pPr>
      <w:r>
        <w:rPr>
          <w:rFonts w:ascii="Noto Naskh Arabic" w:hAnsi="Noto Naskh Arabic" w:cs="Noto Naskh Arabic" w:eastAsia="Noto Naskh Arabic"/>
          <w:rtl w:val="1"/>
          <w:szCs w:val="30"/>
          <w:lang w:bidi="ar-SA"/>
        </w:rPr>
        <w:t>وَقَالُواْ لِجُلُودِهِمۡ لِمَ شَهِدتُّمۡ عَلَيۡنَاۖ قَالُوٓاْ أَنطَقَنَا ٱللَّهُ ٱلَّذِيٓ أَنطَقَ كُلَّ شَيۡءٖۚ وَهُوَ خَلَقَكُمۡ أَوَّلَ مَرَّةٖ وَإِلَيۡهِ تُرۡجَعُونَ</w:t>
      </w:r>
    </w:p>
    <w:p>
      <w:pPr>
        <w:pStyle w:val="Translation"/>
      </w:pPr>
      <w:r>
        <w:t>They will say to their skins, “Why have you testified against us?” They will answer, “God, who gives speech to everything, has given us speech. He created you the first time, and to Him you are returned.”</w:t>
      </w:r>
    </w:p>
    <w:p>
      <w:r>
        <w:t>The body is part of a person’s moral history. These verses permit reflection on embodied memory and physical traces, but their testimony is an eschatological claim grounded in divine agency. DNA does not contain a complete transcript of a person’s actions; present forensic science should not be substituted for the verses’ stronger promise.</w:t>
      </w:r>
    </w:p>
    <w:p>
      <w:pPr>
        <w:pStyle w:val="VerseLabel"/>
      </w:pPr>
      <w:hyperlink r:id="rId74">
        <w:r>
          <w:rPr>
            <w:color w:val="000000"/>
            <w:u w:val="single"/>
            <w:sz w:val="20"/>
            <w:b/>
          </w:rPr>
          <w:t>Qur’an 99:4</w:t>
        </w:r>
      </w:hyperlink>
    </w:p>
    <w:p>
      <w:pPr>
        <w:pStyle w:val="ArabicVerse"/>
        <w:jc w:val="left"/>
        <w:bidi w:val="1"/>
      </w:pPr>
      <w:r>
        <w:rPr>
          <w:rFonts w:ascii="Noto Naskh Arabic" w:hAnsi="Noto Naskh Arabic" w:cs="Noto Naskh Arabic" w:eastAsia="Noto Naskh Arabic"/>
          <w:rtl w:val="1"/>
          <w:szCs w:val="30"/>
          <w:lang w:bidi="ar-SA"/>
        </w:rPr>
        <w:t>يَوۡمَئِذٖ تُحَدِّثُ أَخۡبَارَهَا</w:t>
      </w:r>
    </w:p>
    <w:p>
      <w:pPr>
        <w:pStyle w:val="Translation"/>
      </w:pPr>
      <w:r>
        <w:t>On that day the earth will tell its news,</w:t>
      </w:r>
    </w:p>
    <w:p>
      <w:pPr>
        <w:pStyle w:val="VerseLabel"/>
      </w:pPr>
      <w:hyperlink r:id="rId75">
        <w:r>
          <w:rPr>
            <w:color w:val="000000"/>
            <w:u w:val="single"/>
            <w:sz w:val="20"/>
            <w:b/>
          </w:rPr>
          <w:t>Qur’an 99:5</w:t>
        </w:r>
      </w:hyperlink>
    </w:p>
    <w:p>
      <w:pPr>
        <w:pStyle w:val="ArabicVerse"/>
        <w:jc w:val="left"/>
        <w:bidi w:val="1"/>
      </w:pPr>
      <w:r>
        <w:rPr>
          <w:rFonts w:ascii="Noto Naskh Arabic" w:hAnsi="Noto Naskh Arabic" w:cs="Noto Naskh Arabic" w:eastAsia="Noto Naskh Arabic"/>
          <w:rtl w:val="1"/>
          <w:szCs w:val="30"/>
          <w:lang w:bidi="ar-SA"/>
        </w:rPr>
        <w:t>بِأَنَّ رَبَّكَ أَوۡحَىٰ لَهَا</w:t>
      </w:r>
    </w:p>
    <w:p>
      <w:pPr>
        <w:pStyle w:val="Translation"/>
      </w:pPr>
      <w:r>
        <w:t>because your Lord will have inspired it.</w:t>
      </w:r>
    </w:p>
    <w:p>
      <w:pPr>
        <w:pStyle w:val="VerseLabel"/>
      </w:pPr>
      <w:hyperlink r:id="rId76">
        <w:r>
          <w:rPr>
            <w:color w:val="000000"/>
            <w:u w:val="single"/>
            <w:sz w:val="20"/>
            <w:b/>
          </w:rPr>
          <w:t>Qur’an 99:6</w:t>
        </w:r>
      </w:hyperlink>
    </w:p>
    <w:p>
      <w:pPr>
        <w:pStyle w:val="ArabicVerse"/>
        <w:jc w:val="left"/>
        <w:bidi w:val="1"/>
      </w:pPr>
      <w:r>
        <w:rPr>
          <w:rFonts w:ascii="Noto Naskh Arabic" w:hAnsi="Noto Naskh Arabic" w:cs="Noto Naskh Arabic" w:eastAsia="Noto Naskh Arabic"/>
          <w:rtl w:val="1"/>
          <w:szCs w:val="30"/>
          <w:lang w:bidi="ar-SA"/>
        </w:rPr>
        <w:t>يَوۡمَئِذٖ يَصۡدُرُ ٱلنَّاسُ أَشۡتَاتٗا لِّيُرَوۡاْ أَعۡمَٰلَهُمۡ</w:t>
      </w:r>
    </w:p>
    <w:p>
      <w:pPr>
        <w:pStyle w:val="Translation"/>
      </w:pPr>
      <w:r>
        <w:t>On that day people will emerge separately to be shown their deeds.</w:t>
      </w:r>
    </w:p>
    <w:p>
      <w:pPr>
        <w:pStyle w:val="VerseLabel"/>
      </w:pPr>
      <w:hyperlink r:id="rId77">
        <w:r>
          <w:rPr>
            <w:color w:val="000000"/>
            <w:u w:val="single"/>
            <w:sz w:val="20"/>
            <w:b/>
          </w:rPr>
          <w:t>Qur’an 99:7</w:t>
        </w:r>
      </w:hyperlink>
    </w:p>
    <w:p>
      <w:pPr>
        <w:pStyle w:val="ArabicVerse"/>
        <w:jc w:val="left"/>
        <w:bidi w:val="1"/>
      </w:pPr>
      <w:r>
        <w:rPr>
          <w:rFonts w:ascii="Noto Naskh Arabic" w:hAnsi="Noto Naskh Arabic" w:cs="Noto Naskh Arabic" w:eastAsia="Noto Naskh Arabic"/>
          <w:rtl w:val="1"/>
          <w:szCs w:val="30"/>
          <w:lang w:bidi="ar-SA"/>
        </w:rPr>
        <w:t>فَمَن يَعۡمَلۡ مِثۡقَالَ ذَرَّةٍ خَيۡرٗا يَرَهُۥ</w:t>
      </w:r>
    </w:p>
    <w:p>
      <w:pPr>
        <w:pStyle w:val="Translation"/>
      </w:pPr>
      <w:r>
        <w:t>Whoever does an atom’s weight of good will see it,</w:t>
      </w:r>
    </w:p>
    <w:p>
      <w:pPr>
        <w:pStyle w:val="VerseLabel"/>
      </w:pPr>
      <w:hyperlink r:id="rId78">
        <w:r>
          <w:rPr>
            <w:color w:val="000000"/>
            <w:u w:val="single"/>
            <w:sz w:val="20"/>
            <w:b/>
          </w:rPr>
          <w:t>Qur’an 99:8</w:t>
        </w:r>
      </w:hyperlink>
    </w:p>
    <w:p>
      <w:pPr>
        <w:pStyle w:val="ArabicVerse"/>
        <w:jc w:val="left"/>
        <w:bidi w:val="1"/>
      </w:pPr>
      <w:r>
        <w:rPr>
          <w:rFonts w:ascii="Noto Naskh Arabic" w:hAnsi="Noto Naskh Arabic" w:cs="Noto Naskh Arabic" w:eastAsia="Noto Naskh Arabic"/>
          <w:rtl w:val="1"/>
          <w:szCs w:val="30"/>
          <w:lang w:bidi="ar-SA"/>
        </w:rPr>
        <w:t>وَمَن يَعۡمَلۡ مِثۡقَالَ ذَرَّةٖ شَرّٗا يَرَهُۥ</w:t>
      </w:r>
    </w:p>
    <w:p>
      <w:pPr>
        <w:pStyle w:val="Translation"/>
      </w:pPr>
      <w:r>
        <w:t>and whoever does an atom’s weight of evil will see it.</w:t>
      </w:r>
    </w:p>
    <w:p>
      <w:r>
        <w:t>In this passage the earth is the witness. Read alongside the bodily witnesses, the image widens from the individual organism to the inhabited world. The setting of our actions does not remain morally mute forever. The repeated promise of seeing one’s deeds is stronger than an abstract assurance that a tally exists: conduct becomes manifest to the agent.</w:t>
      </w:r>
    </w:p>
    <w:p>
      <w:pPr>
        <w:pStyle w:val="VerseLabel"/>
      </w:pPr>
      <w:hyperlink r:id="rId79">
        <w:r>
          <w:rPr>
            <w:color w:val="000000"/>
            <w:u w:val="single"/>
            <w:sz w:val="20"/>
            <w:b/>
          </w:rPr>
          <w:t>Qur’an 81:10</w:t>
        </w:r>
      </w:hyperlink>
    </w:p>
    <w:p>
      <w:pPr>
        <w:pStyle w:val="ArabicVerse"/>
        <w:jc w:val="left"/>
        <w:bidi w:val="1"/>
      </w:pPr>
      <w:r>
        <w:rPr>
          <w:rFonts w:ascii="Noto Naskh Arabic" w:hAnsi="Noto Naskh Arabic" w:cs="Noto Naskh Arabic" w:eastAsia="Noto Naskh Arabic"/>
          <w:rtl w:val="1"/>
          <w:szCs w:val="30"/>
          <w:lang w:bidi="ar-SA"/>
        </w:rPr>
        <w:t>وَإِذَا ٱلصُّحُفُ نُشِرَتۡ</w:t>
      </w:r>
    </w:p>
    <w:p>
      <w:pPr>
        <w:pStyle w:val="Translation"/>
      </w:pPr>
      <w:r>
        <w:t>When the scrolls are spread open,</w:t>
      </w:r>
    </w:p>
    <w:p>
      <w:pPr>
        <w:pStyle w:val="VerseLabel"/>
      </w:pPr>
      <w:hyperlink r:id="rId80">
        <w:r>
          <w:rPr>
            <w:color w:val="000000"/>
            <w:u w:val="single"/>
            <w:sz w:val="20"/>
            <w:b/>
          </w:rPr>
          <w:t>Qur’an 69:19</w:t>
        </w:r>
      </w:hyperlink>
    </w:p>
    <w:p>
      <w:pPr>
        <w:pStyle w:val="ArabicVerse"/>
        <w:jc w:val="left"/>
        <w:bidi w:val="1"/>
      </w:pPr>
      <w:r>
        <w:rPr>
          <w:rFonts w:ascii="Noto Naskh Arabic" w:hAnsi="Noto Naskh Arabic" w:cs="Noto Naskh Arabic" w:eastAsia="Noto Naskh Arabic"/>
          <w:rtl w:val="1"/>
          <w:szCs w:val="30"/>
          <w:lang w:bidi="ar-SA"/>
        </w:rPr>
        <w:t>فَأَمَّا مَنۡ أُوتِيَ كِتَٰبَهُۥ بِيَمِينِهِۦ فَيَقُولُ هَآؤُمُ ٱقۡرَءُواْ كِتَٰبِيَهۡ</w:t>
      </w:r>
    </w:p>
    <w:p>
      <w:pPr>
        <w:pStyle w:val="Translation"/>
      </w:pPr>
      <w:r>
        <w:t>As for the one given the record in the right hand, that person will say, “Here, read my record!”</w:t>
      </w:r>
    </w:p>
    <w:p>
      <w:pPr>
        <w:pStyle w:val="VerseLabel"/>
      </w:pPr>
      <w:hyperlink r:id="rId81">
        <w:r>
          <w:rPr>
            <w:color w:val="000000"/>
            <w:u w:val="single"/>
            <w:sz w:val="20"/>
            <w:b/>
          </w:rPr>
          <w:t>Qur’an 69:25</w:t>
        </w:r>
      </w:hyperlink>
    </w:p>
    <w:p>
      <w:pPr>
        <w:pStyle w:val="ArabicVerse"/>
        <w:jc w:val="left"/>
        <w:bidi w:val="1"/>
      </w:pPr>
      <w:r>
        <w:rPr>
          <w:rFonts w:ascii="Noto Naskh Arabic" w:hAnsi="Noto Naskh Arabic" w:cs="Noto Naskh Arabic" w:eastAsia="Noto Naskh Arabic"/>
          <w:rtl w:val="1"/>
          <w:szCs w:val="30"/>
          <w:lang w:bidi="ar-SA"/>
        </w:rPr>
        <w:t>وَأَمَّا مَنۡ أُوتِيَ كِتَٰبَهُۥ بِشِمَالِهِۦ فَيَقُولُ يَٰلَيۡتَنِي لَمۡ أُوتَ كِتَٰبِيَهۡ</w:t>
      </w:r>
    </w:p>
    <w:p>
      <w:pPr>
        <w:pStyle w:val="Translation"/>
      </w:pPr>
      <w:r>
        <w:t>As for the one given the record in the left hand, that person will say, “If only I had not been given my record!”</w:t>
      </w:r>
    </w:p>
    <w:p>
      <w:r>
        <w:t>The contrasting responses disclose the existential meaning of the archive. The record is encountered by someone who recognizes a life as their own. Joy, shame, relief, and responsibility concern a continuing subject. No account of the book is complete if it speaks only about stored information and neglects the person to whom it is disclosed.</w:t>
      </w:r>
    </w:p>
    <w:p>
      <w:pPr>
        <w:pStyle w:val="Heading1"/>
      </w:pPr>
      <w:r>
        <w:t>What the science of information contributes</w:t>
      </w:r>
    </w:p>
    <w:p>
      <w:r>
        <w:t>The strongest scientific contribution to this discussion is the discovery that records are physical relationships. A mark on paper, a signal in a detector, and a memory in an electronic device are states that correlate with events. At a broader level, light, heat, and interactions with surrounding matter carry information about the systems with which they have interacted. Science can study those relationships without assuming that nature itself interprets them morally.</w:t>
      </w:r>
    </w:p>
    <w:p>
      <w:r>
        <w:t xml:space="preserve">Quantum unitarity supplies a deeper version of this point. In standard quantum mechanics, the isolated evolution of a closed system is represented by an invertible transformation that preserves the structure of quantum states. Information that becomes inaccessible in a subsystem need not have disappeared from the enlarged system. This is a conditional statement within the theory. Applying it without qualification to the complete history of the universe requires assumptions about cosmology, quantum gravity, and the interpretation of measurement. </w:t>
      </w:r>
      <w:r>
        <w:t>[</w:t>
      </w:r>
      <w:hyperlink r:id="rId82">
        <w:r>
          <w:rPr>
            <w:color w:val="000000"/>
            <w:u w:val="single"/>
            <w:sz w:val="20"/>
          </w:rPr>
          <w:t>9</w:t>
        </w:r>
      </w:hyperlink>
      <w:r>
        <w:t xml:space="preserve">, </w:t>
      </w:r>
      <w:hyperlink r:id="rId83">
        <w:r>
          <w:rPr>
            <w:color w:val="000000"/>
            <w:u w:val="single"/>
            <w:sz w:val="20"/>
          </w:rPr>
          <w:t>10</w:t>
        </w:r>
      </w:hyperlink>
      <w:r>
        <w:t>]</w:t>
      </w:r>
      <w:r/>
    </w:p>
    <w:p>
      <w:r>
        <w:t>The relevant philosophical lesson is modest but significant: “no longer accessible to us” and “absolutely nonexistent” are different propositions. The theology of remembrance can make use of that distinction without claiming that present physics provides access to every past event. A reconstruction would require adequate information and the relevant dynamics; practical recovery can be blocked by immense complexity and inaccessible degrees of freedom. No experiment has read the complete history of a human life out of the universe.</w:t>
      </w:r>
    </w:p>
    <w:p>
      <w:r>
        <w:t xml:space="preserve">Environmental decoherence provides a more concrete connection. When a system interacts with its surroundings, quantum correlations develop between them. Interference between selected alternatives becomes effectively inaccessible in the system considered alone. Zurek’s work explains how environmental interactions can monitor certain observables and stabilize the states that appear classical. </w:t>
      </w:r>
      <w:r>
        <w:t>[</w:t>
      </w:r>
      <w:hyperlink r:id="rId82">
        <w:r>
          <w:rPr>
            <w:color w:val="000000"/>
            <w:u w:val="single"/>
            <w:sz w:val="20"/>
          </w:rPr>
          <w:t>9</w:t>
        </w:r>
      </w:hyperlink>
      <w:r>
        <w:t>]</w:t>
      </w:r>
      <w:r>
        <w:t xml:space="preserve"> The term “monitor” here describes a physical interaction; it does not require an observer with a mind.</w:t>
      </w:r>
    </w:p>
    <w:p>
      <w:r>
        <w:t xml:space="preserve">Quantum Darwinism extends the account by studying how information about preferred states can be redundantly imprinted into environmental fragments. Different observers can then obtain compatible information from the environment. This is an informative analogy for public facts that outlast someone’s private denial. It concerns selected observable information, however, rather than unrestricted duplication of the entire unknown quantum state. </w:t>
      </w:r>
      <w:r>
        <w:t>[</w:t>
      </w:r>
      <w:hyperlink r:id="rId84">
        <w:r>
          <w:rPr>
            <w:color w:val="000000"/>
            <w:u w:val="single"/>
            <w:sz w:val="20"/>
          </w:rPr>
          <w:t>11</w:t>
        </w:r>
      </w:hyperlink>
      <w:r>
        <w:t>]</w:t>
      </w:r>
      <w:r/>
    </w:p>
    <w:p>
      <w:r>
        <w:t xml:space="preserve">There is experimental evidence for this limited form of environmental recording. Unden and colleagues studied a nitrogen-vacancy center in diamond coupled to surrounding nuclear spins and observed redundant information about the system in its environment. </w:t>
      </w:r>
      <w:r>
        <w:t>[</w:t>
      </w:r>
      <w:hyperlink r:id="rId85">
        <w:r>
          <w:rPr>
            <w:color w:val="000000"/>
            <w:u w:val="single"/>
            <w:sz w:val="20"/>
          </w:rPr>
          <w:t>12</w:t>
        </w:r>
      </w:hyperlink>
      <w:r>
        <w:t>]</w:t>
      </w:r>
      <w:r>
        <w:t xml:space="preserve"> This is stronger evidence than a speculative claim about cosmic computer code because it investigates a specified physical mechanism. Its scale and scope must remain clear: a controlled quantum experiment does not demonstrate that every morally relevant detail of history is permanently available in a cosmic archive.</w:t>
      </w:r>
    </w:p>
    <w:p>
      <w:r>
        <w:t xml:space="preserve">The no-hiding theorem sharpens the discussion in a different way. Braunstein and Pati showed that, under the theorem’s assumptions, if a process makes a subsystem’s output independent of an arbitrary input state, the missing quantum information must be recoverable from the remaining degrees of freedom in a unitary description. It cannot reside solely in correlations between the two parts. This is precisely why the theorem should not be paraphrased as “all information is hidden only in entanglement.” </w:t>
      </w:r>
      <w:r>
        <w:t>[</w:t>
      </w:r>
      <w:hyperlink r:id="rId86">
        <w:r>
          <w:rPr>
            <w:color w:val="000000"/>
            <w:u w:val="single"/>
            <w:sz w:val="20"/>
          </w:rPr>
          <w:t>13</w:t>
        </w:r>
      </w:hyperlink>
      <w:r>
        <w:t>]</w:t>
      </w:r>
      <w:r/>
    </w:p>
    <w:p>
      <w:r>
        <w:t xml:space="preserve">An experimental implementation using nuclear magnetic resonance tested the theorem’s information-transfer structure. </w:t>
      </w:r>
      <w:r>
        <w:t>[</w:t>
      </w:r>
      <w:hyperlink r:id="rId87">
        <w:r>
          <w:rPr>
            <w:color w:val="000000"/>
            <w:u w:val="single"/>
            <w:sz w:val="20"/>
          </w:rPr>
          <w:t>14</w:t>
        </w:r>
      </w:hyperlink>
      <w:r>
        <w:t>]</w:t>
      </w:r>
      <w:r>
        <w:t xml:space="preserve"> The result supports the quantum account within a controlled setup. It does not establish the persistence of personal consciousness, identify a soul with a qubit, or supply a physical proof of omniscience. Its relevance to the thesis is the disciplined distinction between apparent loss in one location and the disposition of information in a larger system.</w:t>
      </w:r>
    </w:p>
    <w:p>
      <w:r>
        <w:t xml:space="preserve">The no-cloning theorem places an equally important boundary on the analogy of transcription. Wootters and Zurek showed that quantum theory forbids a universal machine that perfectly copies an arbitrary unknown quantum state. </w:t>
      </w:r>
      <w:r>
        <w:t>[</w:t>
      </w:r>
      <w:hyperlink r:id="rId88">
        <w:r>
          <w:rPr>
            <w:color w:val="000000"/>
            <w:u w:val="single"/>
            <w:sz w:val="20"/>
          </w:rPr>
          <w:t>15</w:t>
        </w:r>
      </w:hyperlink>
      <w:r>
        <w:t>]</w:t>
      </w:r>
      <w:r>
        <w:t xml:space="preserve"> There is no conflict with ordinary records or with environmental copies of selected classical information. But it is scientifically incorrect to invoke no-cloning as proof that nature keeps an unlimited set of exact quantum duplicates of every person. The Qur’anic promise of truthful recording does not specify such a process.</w:t>
      </w:r>
    </w:p>
    <w:p>
      <w:r>
        <w:t xml:space="preserve">Landauer’s principle connects information processing to thermodynamics. Under the standard conditions for resetting an initially unbiased one-bit memory coupled to a thermal reservoir, the minimum average heat cost is Boltzmann’s constant multiplied by temperature and the natural logarithm of two. Experiments with a colloidal particle in a controlled double-well potential have approached this bound. </w:t>
      </w:r>
      <w:r>
        <w:t>[</w:t>
      </w:r>
      <w:hyperlink r:id="rId89">
        <w:r>
          <w:rPr>
            <w:color w:val="000000"/>
            <w:u w:val="single"/>
            <w:sz w:val="20"/>
          </w:rPr>
          <w:t>16</w:t>
        </w:r>
      </w:hyperlink>
      <w:r>
        <w:t>]</w:t>
      </w:r>
      <w:r/>
    </w:p>
    <w:p>
      <w:r>
        <w:t>This establishes that erasure has physical consequences. It does not establish that the erased message remains recoverable from the amount of heat alone. Two different messages can lead to the same coarse description of heat dissipation. Conservation of energy is also not the conservation of a readable biography. The theological resonance is therefore the physical seriousness of information, rather than a demonstrated mechanism of divine remembrance.</w:t>
      </w:r>
    </w:p>
    <w:p>
      <w:r>
        <w:t xml:space="preserve">Black-hole physics offers the most striking theoretical connection. Black-hole thermodynamics associates entropy with horizon area. Maldacena’s AdS/CFT proposal relates certain gravitational theories in anti-de Sitter settings to nongravitational quantum theories on a lower-dimensional boundary. </w:t>
      </w:r>
      <w:r>
        <w:t>[</w:t>
      </w:r>
      <w:hyperlink r:id="rId90">
        <w:r>
          <w:rPr>
            <w:color w:val="000000"/>
            <w:u w:val="single"/>
            <w:sz w:val="20"/>
          </w:rPr>
          <w:t>17</w:t>
        </w:r>
      </w:hyperlink>
      <w:r>
        <w:t>]</w:t>
      </w:r>
      <w:r>
        <w:t xml:space="preserve"> This supplies a precise and productive model in which apparently different descriptions encode the same physics. It challenges the assumption that information must be organized exactly as everyday spatial intuition suggests.</w:t>
      </w:r>
    </w:p>
    <w:p>
      <w:r>
        <w:t>It does not follow that our observed universe has been experimentally shown to be a hologram, that its boundary is the Preserved Tablet, or that God occupies a higher spatial dimension. A dual description is not automatically an external computer running a simulated world. Theological transcendence also concerns God’s relation to the whole created order; it should not be reduced to a location within an enlarged physical geometry.</w:t>
      </w:r>
    </w:p>
    <w:p>
      <w:r>
        <w:t xml:space="preserve">Recent work on replica wormholes and quantum extremal islands reproduces entropy behavior consistent with unitary black-hole evaporation in tractable models. </w:t>
      </w:r>
      <w:r>
        <w:t>[</w:t>
      </w:r>
      <w:hyperlink r:id="rId91">
        <w:r>
          <w:rPr>
            <w:color w:val="000000"/>
            <w:u w:val="single"/>
            <w:sz w:val="20"/>
          </w:rPr>
          <w:t>18</w:t>
        </w:r>
      </w:hyperlink>
      <w:r>
        <w:t>]</w:t>
      </w:r>
      <w:r>
        <w:t xml:space="preserve"> A major review explains how improved gravitational entropy calculations address the discrepancy with Hawking’s earlier semiclassical result. </w:t>
      </w:r>
      <w:r>
        <w:t>[</w:t>
      </w:r>
      <w:hyperlink r:id="rId83">
        <w:r>
          <w:rPr>
            <w:color w:val="000000"/>
            <w:u w:val="single"/>
            <w:sz w:val="20"/>
          </w:rPr>
          <w:t>10</w:t>
        </w:r>
      </w:hyperlink>
      <w:r>
        <w:t>]</w:t>
      </w:r>
      <w:r>
        <w:t xml:space="preserve"> These are substantial theoretical developments, not observations of a complete astrophysical black hole evaporating and returning a decoded account of its contents.</w:t>
      </w:r>
    </w:p>
    <w:p>
      <w:r>
        <w:t>For the Four Books Thesis, their importance lies in keeping open an intellectually serious distinction between destruction of an accessible object and fundamental destruction of information. The further proposition that a person will be restored in justice and mercy depends on theological premises. An information-preserving universe could still be described by a naturalist without accepting divine judgment; the scientific result alone does not choose between those worldviews.</w:t>
      </w:r>
    </w:p>
    <w:p>
      <w:r>
        <w:t xml:space="preserve">Entanglement likewise deserves accurate treatment. Bell experiments, including Hensen and colleagues’ test with electron spins separated by 1.3 kilometers, exclude broad classes of local hidden-variable accounts under the relevant assumptions. </w:t>
      </w:r>
      <w:r>
        <w:t>[</w:t>
      </w:r>
      <w:hyperlink r:id="rId92">
        <w:r>
          <w:rPr>
            <w:color w:val="000000"/>
            <w:u w:val="single"/>
            <w:sz w:val="20"/>
          </w:rPr>
          <w:t>19</w:t>
        </w:r>
      </w:hyperlink>
      <w:r>
        <w:t>]</w:t>
      </w:r>
      <w:r>
        <w:t xml:space="preserve"> They demonstrate correlations that resist a simple classical picture of independent local properties. They do not permit controlled faster-than-light messaging, require a conscious observer to manufacture reality, or identify the correlations with God’s knowledge.</w:t>
      </w:r>
    </w:p>
    <w:p>
      <w:r>
        <w:t>Quantum physics therefore enlarges the range of disciplined conceptions of nature. It does not give a short proof of occasionalism, libertarian agency, or the afterlife. The temptation to extract every desired metaphysical conclusion from “quantum mystery” would repeat the epistemic mistake criticized in 45:24: extending a body of knowledge beyond what it warrants.</w:t>
      </w:r>
    </w:p>
    <w:tbl>
      <w:tblPr>
        <w:tblW w:type="auto" w:w="0"/>
        <w:jc w:val="center"/>
        <w:tblLayout w:type="fixed"/>
        <w:tblLook w:firstColumn="1" w:firstRow="1" w:lastColumn="0" w:lastRow="0" w:noHBand="0" w:noVBand="1" w:val="04A0"/>
      </w:tblPr>
      <w:tblGrid>
        <w:gridCol w:w="2232"/>
        <w:gridCol w:w="3168"/>
        <w:gridCol w:w="4392"/>
      </w:tblGrid>
      <w:tr>
        <w:trPr>
          <w:cantSplit/>
          <w:tblHeader/>
        </w:trPr>
        <w:tc>
          <w:tcPr>
            <w:tcW w:type="dxa" w:w="2232"/>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E6ECF1"/>
          </w:tcPr>
          <w:p>
            <w:pPr>
              <w:keepLines/>
              <w:spacing w:line="252" w:lineRule="auto" w:after="0"/>
            </w:pPr>
            <w:r>
              <w:rPr>
                <w:b/>
                <w:sz w:val="20"/>
              </w:rPr>
              <w:t>Scientific or philosophical connection</w:t>
            </w:r>
          </w:p>
        </w:tc>
        <w:tc>
          <w:tcPr>
            <w:tcW w:type="dxa" w:w="3168"/>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E6ECF1"/>
          </w:tcPr>
          <w:p>
            <w:pPr>
              <w:keepLines/>
              <w:spacing w:line="252" w:lineRule="auto" w:after="0"/>
            </w:pPr>
            <w:r>
              <w:rPr>
                <w:b/>
                <w:sz w:val="20"/>
              </w:rPr>
              <w:t>Evidential status</w:t>
            </w:r>
          </w:p>
        </w:tc>
        <w:tc>
          <w:tcPr>
            <w:tcW w:type="dxa" w:w="4392"/>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E6ECF1"/>
          </w:tcPr>
          <w:p>
            <w:pPr>
              <w:keepLines/>
              <w:spacing w:line="252" w:lineRule="auto" w:after="0"/>
            </w:pPr>
            <w:r>
              <w:rPr>
                <w:b/>
                <w:sz w:val="20"/>
              </w:rPr>
              <w:t>Legitimate contribution to the thesis</w:t>
            </w:r>
          </w:p>
        </w:tc>
      </w:tr>
      <w:tr>
        <w:trPr>
          <w:cantSplit/>
        </w:trPr>
        <w:tc>
          <w:tcPr>
            <w:tcW w:type="dxa" w:w="2232"/>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FFFFFF"/>
          </w:tcPr>
          <w:p>
            <w:pPr>
              <w:keepLines/>
              <w:spacing w:line="252" w:lineRule="auto" w:after="0"/>
            </w:pPr>
            <w:r>
              <w:rPr>
                <w:b w:val="0"/>
                <w:sz w:val="20"/>
              </w:rPr>
              <w:t>Environmental information transfer</w:t>
            </w:r>
          </w:p>
        </w:tc>
        <w:tc>
          <w:tcPr>
            <w:tcW w:type="dxa" w:w="3168"/>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FFFFFF"/>
          </w:tcPr>
          <w:p>
            <w:pPr>
              <w:keepLines/>
              <w:spacing w:line="252" w:lineRule="auto" w:after="0"/>
            </w:pPr>
            <w:r>
              <w:rPr>
                <w:b w:val="0"/>
                <w:sz w:val="20"/>
              </w:rPr>
              <w:t>Experimentally studied</w:t>
            </w:r>
          </w:p>
        </w:tc>
        <w:tc>
          <w:tcPr>
            <w:tcW w:type="dxa" w:w="4392"/>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FFFFFF"/>
          </w:tcPr>
          <w:p>
            <w:pPr>
              <w:keepLines/>
              <w:spacing w:line="252" w:lineRule="auto" w:after="0"/>
            </w:pPr>
            <w:r>
              <w:rPr>
                <w:b w:val="0"/>
                <w:sz w:val="20"/>
              </w:rPr>
              <w:t>Shows how events produce records outside the original system</w:t>
            </w:r>
          </w:p>
        </w:tc>
      </w:tr>
      <w:tr>
        <w:trPr>
          <w:cantSplit/>
        </w:trPr>
        <w:tc>
          <w:tcPr>
            <w:tcW w:type="dxa" w:w="2232"/>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FFFFFF"/>
          </w:tcPr>
          <w:p>
            <w:pPr>
              <w:keepLines/>
              <w:spacing w:line="252" w:lineRule="auto" w:after="0"/>
            </w:pPr>
            <w:r>
              <w:rPr>
                <w:b w:val="0"/>
                <w:sz w:val="20"/>
              </w:rPr>
              <w:t>Unitarity and no-hiding</w:t>
            </w:r>
          </w:p>
        </w:tc>
        <w:tc>
          <w:tcPr>
            <w:tcW w:type="dxa" w:w="3168"/>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FFFFFF"/>
          </w:tcPr>
          <w:p>
            <w:pPr>
              <w:keepLines/>
              <w:spacing w:line="252" w:lineRule="auto" w:after="0"/>
            </w:pPr>
            <w:r>
              <w:rPr>
                <w:b w:val="0"/>
                <w:sz w:val="20"/>
              </w:rPr>
              <w:t>Mathematical results within quantum theory, with controlled tests of specific processes</w:t>
            </w:r>
          </w:p>
        </w:tc>
        <w:tc>
          <w:tcPr>
            <w:tcW w:type="dxa" w:w="4392"/>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FFFFFF"/>
          </w:tcPr>
          <w:p>
            <w:pPr>
              <w:keepLines/>
              <w:spacing w:line="252" w:lineRule="auto" w:after="0"/>
            </w:pPr>
            <w:r>
              <w:rPr>
                <w:b w:val="0"/>
                <w:sz w:val="20"/>
              </w:rPr>
              <w:t>Distinguishes local inaccessibility from global information loss</w:t>
            </w:r>
          </w:p>
        </w:tc>
      </w:tr>
      <w:tr>
        <w:trPr>
          <w:cantSplit/>
        </w:trPr>
        <w:tc>
          <w:tcPr>
            <w:tcW w:type="dxa" w:w="2232"/>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FFFFFF"/>
          </w:tcPr>
          <w:p>
            <w:pPr>
              <w:keepLines/>
              <w:spacing w:line="252" w:lineRule="auto" w:after="0"/>
            </w:pPr>
            <w:r>
              <w:rPr>
                <w:b w:val="0"/>
                <w:sz w:val="20"/>
              </w:rPr>
              <w:t>Landauer erasure</w:t>
            </w:r>
          </w:p>
        </w:tc>
        <w:tc>
          <w:tcPr>
            <w:tcW w:type="dxa" w:w="3168"/>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FFFFFF"/>
          </w:tcPr>
          <w:p>
            <w:pPr>
              <w:keepLines/>
              <w:spacing w:line="252" w:lineRule="auto" w:after="0"/>
            </w:pPr>
            <w:r>
              <w:rPr>
                <w:b w:val="0"/>
                <w:sz w:val="20"/>
              </w:rPr>
              <w:t>Experimentally tested under defined conditions</w:t>
            </w:r>
          </w:p>
        </w:tc>
        <w:tc>
          <w:tcPr>
            <w:tcW w:type="dxa" w:w="4392"/>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FFFFFF"/>
          </w:tcPr>
          <w:p>
            <w:pPr>
              <w:keepLines/>
              <w:spacing w:line="252" w:lineRule="auto" w:after="0"/>
            </w:pPr>
            <w:r>
              <w:rPr>
                <w:b w:val="0"/>
                <w:sz w:val="20"/>
              </w:rPr>
              <w:t>Shows a physical cost of information processing</w:t>
            </w:r>
          </w:p>
        </w:tc>
      </w:tr>
      <w:tr>
        <w:trPr>
          <w:cantSplit/>
        </w:trPr>
        <w:tc>
          <w:tcPr>
            <w:tcW w:type="dxa" w:w="2232"/>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FFFFFF"/>
          </w:tcPr>
          <w:p>
            <w:pPr>
              <w:keepLines/>
              <w:spacing w:line="252" w:lineRule="auto" w:after="0"/>
            </w:pPr>
            <w:r>
              <w:rPr>
                <w:b w:val="0"/>
                <w:sz w:val="20"/>
              </w:rPr>
              <w:t>Holographic duality and island calculations</w:t>
            </w:r>
          </w:p>
        </w:tc>
        <w:tc>
          <w:tcPr>
            <w:tcW w:type="dxa" w:w="3168"/>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FFFFFF"/>
          </w:tcPr>
          <w:p>
            <w:pPr>
              <w:keepLines/>
              <w:spacing w:line="252" w:lineRule="auto" w:after="0"/>
            </w:pPr>
            <w:r>
              <w:rPr>
                <w:b w:val="0"/>
                <w:sz w:val="20"/>
              </w:rPr>
              <w:t>Powerful theoretical frameworks in specified models</w:t>
            </w:r>
          </w:p>
        </w:tc>
        <w:tc>
          <w:tcPr>
            <w:tcW w:type="dxa" w:w="4392"/>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FFFFFF"/>
          </w:tcPr>
          <w:p>
            <w:pPr>
              <w:keepLines/>
              <w:spacing w:line="252" w:lineRule="auto" w:after="0"/>
            </w:pPr>
            <w:r>
              <w:rPr>
                <w:b w:val="0"/>
                <w:sz w:val="20"/>
              </w:rPr>
              <w:t>Provides alternatives to everyday intuitions about encoding and loss</w:t>
            </w:r>
          </w:p>
        </w:tc>
      </w:tr>
      <w:tr>
        <w:trPr>
          <w:cantSplit/>
        </w:trPr>
        <w:tc>
          <w:tcPr>
            <w:tcW w:type="dxa" w:w="2232"/>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FFFFFF"/>
          </w:tcPr>
          <w:p>
            <w:pPr>
              <w:keepLines/>
              <w:spacing w:line="252" w:lineRule="auto" w:after="0"/>
            </w:pPr>
            <w:r>
              <w:rPr>
                <w:b w:val="0"/>
                <w:sz w:val="20"/>
              </w:rPr>
              <w:t>Simulation argument</w:t>
            </w:r>
          </w:p>
        </w:tc>
        <w:tc>
          <w:tcPr>
            <w:tcW w:type="dxa" w:w="3168"/>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FFFFFF"/>
          </w:tcPr>
          <w:p>
            <w:pPr>
              <w:keepLines/>
              <w:spacing w:line="252" w:lineRule="auto" w:after="0"/>
            </w:pPr>
            <w:r>
              <w:rPr>
                <w:b w:val="0"/>
                <w:sz w:val="20"/>
              </w:rPr>
              <w:t>Conditional philosophical reasoning</w:t>
            </w:r>
          </w:p>
        </w:tc>
        <w:tc>
          <w:tcPr>
            <w:tcW w:type="dxa" w:w="4392"/>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FFFFFF"/>
          </w:tcPr>
          <w:p>
            <w:pPr>
              <w:keepLines/>
              <w:spacing w:line="252" w:lineRule="auto" w:after="0"/>
            </w:pPr>
            <w:r>
              <w:rPr>
                <w:b w:val="0"/>
                <w:sz w:val="20"/>
              </w:rPr>
              <w:t>Illustrates dependence of an experienced world on a deeper order</w:t>
            </w:r>
          </w:p>
        </w:tc>
      </w:tr>
      <w:tr>
        <w:trPr>
          <w:cantSplit/>
        </w:trPr>
        <w:tc>
          <w:tcPr>
            <w:tcW w:type="dxa" w:w="2232"/>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FFFFFF"/>
          </w:tcPr>
          <w:p>
            <w:pPr>
              <w:keepLines/>
              <w:spacing w:line="252" w:lineRule="auto" w:after="0"/>
            </w:pPr>
            <w:r>
              <w:rPr>
                <w:b w:val="0"/>
                <w:sz w:val="20"/>
              </w:rPr>
              <w:t>Divine record and resurrection</w:t>
            </w:r>
          </w:p>
        </w:tc>
        <w:tc>
          <w:tcPr>
            <w:tcW w:type="dxa" w:w="3168"/>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FFFFFF"/>
          </w:tcPr>
          <w:p>
            <w:pPr>
              <w:keepLines/>
              <w:spacing w:line="252" w:lineRule="auto" w:after="0"/>
            </w:pPr>
            <w:r>
              <w:rPr>
                <w:b w:val="0"/>
                <w:sz w:val="20"/>
              </w:rPr>
              <w:t>Theological claims</w:t>
            </w:r>
          </w:p>
        </w:tc>
        <w:tc>
          <w:tcPr>
            <w:tcW w:type="dxa" w:w="4392"/>
            <w:vAlign w:val="center"/>
            <w:tcBorders>
              <w:top w:val="single" w:sz="5" w:color="D9D9D9"/>
              <w:left w:val="single" w:sz="5" w:color="D9D9D9"/>
              <w:bottom w:val="single" w:sz="5" w:color="D9D9D9"/>
              <w:right w:val="single" w:sz="5" w:color="D9D9D9"/>
            </w:tcBorders>
            <w:tcMar>
              <w:top w:w="100" w:type="dxa"/>
              <w:left w:w="100" w:type="dxa"/>
              <w:bottom w:w="100" w:type="dxa"/>
              <w:right w:w="100" w:type="dxa"/>
            </w:tcMar>
            <w:shd w:fill="FFFFFF"/>
          </w:tcPr>
          <w:p>
            <w:pPr>
              <w:keepLines/>
              <w:spacing w:line="252" w:lineRule="auto" w:after="0"/>
            </w:pPr>
            <w:r>
              <w:rPr>
                <w:b w:val="0"/>
                <w:sz w:val="20"/>
              </w:rPr>
              <w:t>Affirms complete knowledge, personal accountability, and promised restoration</w:t>
            </w:r>
          </w:p>
        </w:tc>
      </w:tr>
    </w:tbl>
    <w:p>
      <w:pPr>
        <w:spacing w:after="0"/>
      </w:pPr>
    </w:p>
    <w:p>
      <w:r>
        <w:t>The table is a hierarchy of kinds of justification, not a scale on which theology is simply assigned a weaker version of laboratory evidence. Theological reasoning draws on its own premises about revelation, divine attributes, and moral purpose. Its scientific illustrations become useful when their precise limits remain visible.</w:t>
      </w:r>
    </w:p>
    <w:p>
      <w:pPr>
        <w:pStyle w:val="Heading1"/>
      </w:pPr>
      <w:r>
        <w:t>The simulation hypothesis and created dependence</w:t>
      </w:r>
    </w:p>
    <w:p>
      <w:r>
        <w:t>There is no confirmed scientific observation that establishes that our universe is a computer simulation. The best contribution of the simulation hypothesis to this commentary is a serious model of possibility and dependence, supported by developments in computation but extending beyond what those developments demonstrate.</w:t>
      </w:r>
    </w:p>
    <w:p>
      <w:r>
        <w:t xml:space="preserve">Nick Bostrom’s argument is conditional and disjunctive. Given assumptions about the possibility of conscious simulations and how observers should reason about their location, it proposes that at least one of three possibilities holds: civilizations like ours rarely reach the required technological stage; civilizations that do reach it rarely run large numbers of relevant simulations; or simulated observers greatly outnumber nonsimulated observers like us. The argument does not independently establish its third alternative. It relies on unsettled assumptions about consciousness, feasible resources, future choices, and observer selection. </w:t>
      </w:r>
      <w:r>
        <w:t>[</w:t>
      </w:r>
      <w:hyperlink r:id="rId93">
        <w:r>
          <w:rPr>
            <w:color w:val="000000"/>
            <w:u w:val="single"/>
            <w:sz w:val="20"/>
          </w:rPr>
          <w:t>20</w:t>
        </w:r>
      </w:hyperlink>
      <w:r>
        <w:t>]</w:t>
      </w:r>
      <w:r/>
    </w:p>
    <w:p>
      <w:r>
        <w:t>The distinction between simulating a process and instantiating its subjective experience is especially consequential. A simulated storm does not wet the computer. That comparison does not prove that simulated consciousness is impossible, because minds may relate to computation differently from storms. It does show why successful modeling alone cannot settle the issue. If consciousness cannot be instantiated computationally, the familiar observer-counting version of the simulation argument loses a crucial premise.</w:t>
      </w:r>
    </w:p>
    <w:p>
      <w:r>
        <w:t>This matters for a theology that gives consciousness a special status. One may retain the analogy of a created world depending on a deeper order while declining Bostrom’s assumptions about artificial minds. The result is an illustration of divine dependence, rather than evidence that the statistical conclusion of the simulation argument is true.</w:t>
      </w:r>
    </w:p>
    <w:p>
      <w:r>
        <w:t xml:space="preserve">Seth Lloyd’s work places quantitative limits on how much information the observable universe can register and how much computation physical processes could have performed. </w:t>
      </w:r>
      <w:r>
        <w:t>[</w:t>
      </w:r>
      <w:hyperlink r:id="rId94">
        <w:r>
          <w:rPr>
            <w:color w:val="000000"/>
            <w:u w:val="single"/>
            <w:sz w:val="20"/>
          </w:rPr>
          <w:t>21</w:t>
        </w:r>
      </w:hyperlink>
      <w:r>
        <w:t>]</w:t>
      </w:r>
      <w:r>
        <w:t xml:space="preserve"> This supports a physical relationship between information and dynamics. Describing physical evolution computationally, however, does not entail an external programmer. The additional inference from describable computation to purposive authorship is philosophical.</w:t>
      </w:r>
    </w:p>
    <w:p>
      <w:r>
        <w:t xml:space="preserve">More directly testable proposals consider restricted simulation models. Beane, Davoudi, and Savage investigated possible observable consequences of a universe implemented on a particular cubic lattice, including directional effects in extremely energetic cosmic rays. </w:t>
      </w:r>
      <w:r>
        <w:t>[</w:t>
      </w:r>
      <w:hyperlink r:id="rId95">
        <w:r>
          <w:rPr>
            <w:color w:val="000000"/>
            <w:u w:val="single"/>
            <w:sz w:val="20"/>
          </w:rPr>
          <w:t>22</w:t>
        </w:r>
      </w:hyperlink>
      <w:r>
        <w:t>]</w:t>
      </w:r>
      <w:r>
        <w:t xml:space="preserve"> The merit of such work is that it names assumptions from which observable consequences follow. No confirmed result in this work establishes that we inhabit a simulation. A lattice-like signature, if found, would also require comparison with nonsimulation accounts of new physics.</w:t>
      </w:r>
    </w:p>
    <w:p>
      <w:r>
        <w:t>The simulation analogy nevertheless illuminates several theological possibilities. A world’s inhabitants could encounter stable internal laws while the continued existence of that world depends on an order they cannot reach by ordinary travel. A richer outside description might encompass states that internal observers cannot access. A history could be recorded without any inhabitant seeing the recording process. Intervention by the sustaining agency might be inaccessible to an explanation limited to internal mechanisms. These are intelligibility claims: they remove some imaginative obstacles to understanding dependence and record-keeping.</w:t>
      </w:r>
    </w:p>
    <w:p>
      <w:r>
        <w:t>The analogy also has limits that directly matter to the thesis. A program does not automatically retain its complete execution history; recording must actually occur. A simulator might be fallible, morally indifferent, or dependent on another reality. Its existence would not establish the God of Islamic monotheism. A chain of simulators would leave the question of the whole chain’s ultimate ground unanswered. Consequently, “God is a programmer” should remain a limited metaphor, not a definition of God.</w:t>
      </w:r>
    </w:p>
    <w:p>
      <w:r>
        <w:t>The Qur’anic Creator of 45:27 governs the heavens and the earth without becoming one more technological inhabitant of a larger cosmos. The record of 45:29 is guaranteed by divine truthfulness, not by an analogy to a machine whose operator may omit data or misinterpret it. The analogy succeeds when it helps us conceive created dependence; it fails when the limitations of a computer are imposed upon God.</w:t>
      </w:r>
    </w:p>
    <w:p>
      <w:r>
        <w:t xml:space="preserve">The wider argument from cosmic order can add a further philosophical consideration. Research on fine-tuning investigates how changes in physical parameters might affect the possibility of complex structures and life. Barnes’s review surveys relevant physical constraints and disputes. </w:t>
      </w:r>
      <w:r>
        <w:t>[</w:t>
      </w:r>
      <w:hyperlink r:id="rId96">
        <w:r>
          <w:rPr>
            <w:color w:val="000000"/>
            <w:u w:val="single"/>
            <w:sz w:val="20"/>
          </w:rPr>
          <w:t>23</w:t>
        </w:r>
      </w:hyperlink>
      <w:r>
        <w:t>]</w:t>
      </w:r>
      <w:r>
        <w:t xml:space="preserve"> This gives substance to the question of why the universe permits enduring complexity. It does not supply an uncontested probability distribution over all possible universes or establish that the Four Books Thesis is the unique explanation.</w:t>
      </w:r>
    </w:p>
    <w:p>
      <w:r>
        <w:t>Within theism, an intelligible and life-permitting order is consonant with purposeful creation. A critic may appeal to deeper necessity, observer selection, a multiverse, or unexplained brute facts. Evaluating these proposals requires philosophical work in addition to the physics. Their existence need not end the theological inquiry, but it prevents a defensible essay from presenting a contested inference as an experimentally compelled conclusion.</w:t>
      </w:r>
    </w:p>
    <w:p>
      <w:pPr>
        <w:pStyle w:val="Heading1"/>
      </w:pPr>
      <w:r>
        <w:t>Freedom consciousness and personal resurrection</w:t>
      </w:r>
    </w:p>
    <w:p>
      <w:r>
        <w:t>The Four Books Thesis must preserve the distinction between knowing a deed and compelling it. Otherwise the Book of Deeds would seem to judge agents for a performance they could never meaningfully own. The Qur’an places human willing within divine sovereignty while continuing to address human beings as responsible agents.</w:t>
      </w:r>
    </w:p>
    <w:p>
      <w:pPr>
        <w:pStyle w:val="VerseLabel"/>
      </w:pPr>
      <w:hyperlink r:id="rId97">
        <w:r>
          <w:rPr>
            <w:color w:val="000000"/>
            <w:u w:val="single"/>
            <w:sz w:val="20"/>
            <w:b/>
          </w:rPr>
          <w:t>Qur’an 76:29</w:t>
        </w:r>
      </w:hyperlink>
    </w:p>
    <w:p>
      <w:pPr>
        <w:pStyle w:val="ArabicVerse"/>
        <w:jc w:val="left"/>
        <w:bidi w:val="1"/>
      </w:pPr>
      <w:r>
        <w:rPr>
          <w:rFonts w:ascii="Noto Naskh Arabic" w:hAnsi="Noto Naskh Arabic" w:cs="Noto Naskh Arabic" w:eastAsia="Noto Naskh Arabic"/>
          <w:rtl w:val="1"/>
          <w:szCs w:val="30"/>
          <w:lang w:bidi="ar-SA"/>
        </w:rPr>
        <w:t>إِنَّ هَٰذِهِۦ تَذۡكِرَةٞۖ فَمَن شَآءَ ٱتَّخَذَ إِلَىٰ رَبِّهِۦ سَبِيلٗا</w:t>
      </w:r>
    </w:p>
    <w:p>
      <w:pPr>
        <w:pStyle w:val="Translation"/>
      </w:pPr>
      <w:r>
        <w:t>This is a reminder; so whoever wills may take a path to their Lord.</w:t>
      </w:r>
    </w:p>
    <w:p>
      <w:pPr>
        <w:pStyle w:val="VerseLabel"/>
      </w:pPr>
      <w:hyperlink r:id="rId98">
        <w:r>
          <w:rPr>
            <w:color w:val="000000"/>
            <w:u w:val="single"/>
            <w:sz w:val="20"/>
            <w:b/>
          </w:rPr>
          <w:t>Qur’an 76:30</w:t>
        </w:r>
      </w:hyperlink>
    </w:p>
    <w:p>
      <w:pPr>
        <w:pStyle w:val="ArabicVerse"/>
        <w:jc w:val="left"/>
        <w:bidi w:val="1"/>
      </w:pPr>
      <w:r>
        <w:rPr>
          <w:rFonts w:ascii="Noto Naskh Arabic" w:hAnsi="Noto Naskh Arabic" w:cs="Noto Naskh Arabic" w:eastAsia="Noto Naskh Arabic"/>
          <w:rtl w:val="1"/>
          <w:szCs w:val="30"/>
          <w:lang w:bidi="ar-SA"/>
        </w:rPr>
        <w:t>وَمَا تَشَآءُونَ إِلَّآ أَن يَشَآءَ ٱللَّهُۚ إِنَّ ٱللَّهَ كَانَ عَلِيمًا حَكِيمٗا</w:t>
      </w:r>
    </w:p>
    <w:p>
      <w:pPr>
        <w:pStyle w:val="Translation"/>
      </w:pPr>
      <w:r>
        <w:t>Yet you do not will unless God wills. God is knowing and wise.</w:t>
      </w:r>
    </w:p>
    <w:p>
      <w:r>
        <w:t>These verses have been interpreted within more than one theological account of freedom. A libertarian reading can take the first as affirming genuine personal choice and the second as affirming the dependence of the agent and its power to choose upon God. This reading needs a worked account of divine permission and creaturely agency; it is not automatically demonstrated by placing the two verses beside one another.</w:t>
      </w:r>
    </w:p>
    <w:p>
      <w:r>
        <w:t>The familiar foreknowledge problem also requires logical care. If God knows a choice, that knowledge cannot be false. It does not immediately follow that the person makes the choice through coercion. Moving from the necessity that divine knowledge is correct to the necessity that the act is causally forced confuses different kinds of necessity. The larger debate remains difficult, particularly when foreknowledge is combined with an exhaustive account of divine causation.</w:t>
      </w:r>
    </w:p>
    <w:p>
      <w:r>
        <w:t>For a libertarian version of the four-book framework, the Book of Decree should therefore not be defined as a deterministic script that eliminates alternative possibilities at the level of the agent. God may know free actions as free actions. Recording those actions faithfully does not change their character. Quantum indeterminacy by itself does not solve the problem: randomness is not deliberation, and an unpredictable event is not thereby a responsible decision.</w:t>
      </w:r>
    </w:p>
    <w:p>
      <w:pPr>
        <w:pStyle w:val="VerseLabel"/>
      </w:pPr>
      <w:hyperlink r:id="rId99">
        <w:r>
          <w:rPr>
            <w:color w:val="000000"/>
            <w:u w:val="single"/>
            <w:sz w:val="20"/>
            <w:b/>
          </w:rPr>
          <w:t>Qur’an 53:39</w:t>
        </w:r>
      </w:hyperlink>
    </w:p>
    <w:p>
      <w:pPr>
        <w:pStyle w:val="ArabicVerse"/>
        <w:jc w:val="left"/>
        <w:bidi w:val="1"/>
      </w:pPr>
      <w:r>
        <w:rPr>
          <w:rFonts w:ascii="Noto Naskh Arabic" w:hAnsi="Noto Naskh Arabic" w:cs="Noto Naskh Arabic" w:eastAsia="Noto Naskh Arabic"/>
          <w:rtl w:val="1"/>
          <w:szCs w:val="30"/>
          <w:lang w:bidi="ar-SA"/>
        </w:rPr>
        <w:t>وَأَن لَّيۡسَ لِلۡإِنسَٰنِ إِلَّا مَا سَعَىٰ</w:t>
      </w:r>
    </w:p>
    <w:p>
      <w:pPr>
        <w:pStyle w:val="Translation"/>
      </w:pPr>
      <w:r>
        <w:t>A human being has only what they have striven for,</w:t>
      </w:r>
    </w:p>
    <w:p>
      <w:pPr>
        <w:pStyle w:val="VerseLabel"/>
      </w:pPr>
      <w:hyperlink r:id="rId100">
        <w:r>
          <w:rPr>
            <w:color w:val="000000"/>
            <w:u w:val="single"/>
            <w:sz w:val="20"/>
            <w:b/>
          </w:rPr>
          <w:t>Qur’an 53:40</w:t>
        </w:r>
      </w:hyperlink>
    </w:p>
    <w:p>
      <w:pPr>
        <w:pStyle w:val="ArabicVerse"/>
        <w:jc w:val="left"/>
        <w:bidi w:val="1"/>
      </w:pPr>
      <w:r>
        <w:rPr>
          <w:rFonts w:ascii="Noto Naskh Arabic" w:hAnsi="Noto Naskh Arabic" w:cs="Noto Naskh Arabic" w:eastAsia="Noto Naskh Arabic"/>
          <w:rtl w:val="1"/>
          <w:szCs w:val="30"/>
          <w:lang w:bidi="ar-SA"/>
        </w:rPr>
        <w:t>وَأَنَّ سَعۡيَهُۥ سَوۡفَ يُرَىٰ</w:t>
      </w:r>
    </w:p>
    <w:p>
      <w:pPr>
        <w:pStyle w:val="Translation"/>
      </w:pPr>
      <w:r>
        <w:t>and their striving will be seen,</w:t>
      </w:r>
    </w:p>
    <w:p>
      <w:pPr>
        <w:pStyle w:val="VerseLabel"/>
      </w:pPr>
      <w:hyperlink r:id="rId101">
        <w:r>
          <w:rPr>
            <w:color w:val="000000"/>
            <w:u w:val="single"/>
            <w:sz w:val="20"/>
            <w:b/>
          </w:rPr>
          <w:t>Qur’an 53:41</w:t>
        </w:r>
      </w:hyperlink>
    </w:p>
    <w:p>
      <w:pPr>
        <w:pStyle w:val="ArabicVerse"/>
        <w:jc w:val="left"/>
        <w:bidi w:val="1"/>
      </w:pPr>
      <w:r>
        <w:rPr>
          <w:rFonts w:ascii="Noto Naskh Arabic" w:hAnsi="Noto Naskh Arabic" w:cs="Noto Naskh Arabic" w:eastAsia="Noto Naskh Arabic"/>
          <w:rtl w:val="1"/>
          <w:szCs w:val="30"/>
          <w:lang w:bidi="ar-SA"/>
        </w:rPr>
        <w:t>ثُمَّ يُجۡزَىٰهُ ٱلۡجَزَآءَ ٱلۡأَوۡفَىٰ</w:t>
      </w:r>
    </w:p>
    <w:p>
      <w:pPr>
        <w:pStyle w:val="Translation"/>
      </w:pPr>
      <w:r>
        <w:t>then they will be repaid with the fullest repayment,</w:t>
      </w:r>
    </w:p>
    <w:p>
      <w:pPr>
        <w:pStyle w:val="VerseLabel"/>
      </w:pPr>
      <w:hyperlink r:id="rId102">
        <w:r>
          <w:rPr>
            <w:color w:val="000000"/>
            <w:u w:val="single"/>
            <w:sz w:val="20"/>
            <w:b/>
          </w:rPr>
          <w:t>Qur’an 53:42</w:t>
        </w:r>
      </w:hyperlink>
    </w:p>
    <w:p>
      <w:pPr>
        <w:pStyle w:val="ArabicVerse"/>
        <w:jc w:val="left"/>
        <w:bidi w:val="1"/>
      </w:pPr>
      <w:r>
        <w:rPr>
          <w:rFonts w:ascii="Noto Naskh Arabic" w:hAnsi="Noto Naskh Arabic" w:cs="Noto Naskh Arabic" w:eastAsia="Noto Naskh Arabic"/>
          <w:rtl w:val="1"/>
          <w:szCs w:val="30"/>
          <w:lang w:bidi="ar-SA"/>
        </w:rPr>
        <w:t>وَأَنَّ إِلَىٰ رَبِّكَ ٱلۡمُنتَهَىٰ</w:t>
      </w:r>
    </w:p>
    <w:p>
      <w:pPr>
        <w:pStyle w:val="Translation"/>
      </w:pPr>
      <w:r>
        <w:t>and to your Lord is the final return.</w:t>
      </w:r>
    </w:p>
    <w:p>
      <w:r>
        <w:t>This sequence connects agency, disclosure, recompense, and return. It offers a concise ethical counterpart to the information discussion. What becomes visible is the person’s striving. A faithful account of that striving must understand the agent’s circumstances and purposes, not merely the physical outcome.</w:t>
      </w:r>
    </w:p>
    <w:p>
      <w:r>
        <w:t>Consciousness introduces a second limitation on purely computational versions of the thesis. The existence of an accurate description of a person is not self-evidently the continued existence of that person. A perfect biography is not its subject. Even a hypothetical physical duplicate raises the philosophical question of numerical identity: why should the original subject’s first-person life continue as this instance rather than simply be resembled by another?</w:t>
      </w:r>
    </w:p>
    <w:p>
      <w:pPr>
        <w:pStyle w:val="VerseLabel"/>
      </w:pPr>
      <w:hyperlink r:id="rId103">
        <w:r>
          <w:rPr>
            <w:color w:val="000000"/>
            <w:u w:val="single"/>
            <w:sz w:val="20"/>
            <w:b/>
          </w:rPr>
          <w:t>Qur’an 17:85</w:t>
        </w:r>
      </w:hyperlink>
    </w:p>
    <w:p>
      <w:pPr>
        <w:pStyle w:val="ArabicVerse"/>
        <w:jc w:val="left"/>
        <w:bidi w:val="1"/>
      </w:pPr>
      <w:r>
        <w:rPr>
          <w:rFonts w:ascii="Noto Naskh Arabic" w:hAnsi="Noto Naskh Arabic" w:cs="Noto Naskh Arabic" w:eastAsia="Noto Naskh Arabic"/>
          <w:rtl w:val="1"/>
          <w:szCs w:val="30"/>
          <w:lang w:bidi="ar-SA"/>
        </w:rPr>
        <w:t>وَيَسۡـَٔلُونَكَ عَنِ ٱلرُّوحِۖ قُلِ ٱلرُّوحُ مِنۡ أَمۡرِ رَبِّي وَمَآ أُوتِيتُم مِّنَ ٱلۡعِلۡمِ إِلَّا قَلِيلٗا</w:t>
      </w:r>
    </w:p>
    <w:p>
      <w:pPr>
        <w:pStyle w:val="Translation"/>
      </w:pPr>
      <w:r>
        <w:t>They ask you about the spirit. Say, “The spirit belongs to my Lord’s command, and you have been given only a little knowledge.”</w:t>
      </w:r>
    </w:p>
    <w:p>
      <w:r>
        <w:t>The verse has a history of interpretation concerning al-rūḥ and should not be reduced to a technical statement about the modern hard problem of consciousness. It nevertheless supports epistemic humility in reflection on human inward life. The Four Books Thesis is stronger when it acknowledges that a physical account of preserved information does not yet solve the relation between body, experience, and personhood.</w:t>
      </w:r>
    </w:p>
    <w:p>
      <w:pPr>
        <w:pStyle w:val="VerseLabel"/>
      </w:pPr>
      <w:hyperlink r:id="rId104">
        <w:r>
          <w:rPr>
            <w:color w:val="000000"/>
            <w:u w:val="single"/>
            <w:sz w:val="20"/>
            <w:b/>
          </w:rPr>
          <w:t>Qur’an 39:42</w:t>
        </w:r>
      </w:hyperlink>
    </w:p>
    <w:p>
      <w:pPr>
        <w:pStyle w:val="ArabicVerse"/>
        <w:jc w:val="left"/>
        <w:bidi w:val="1"/>
      </w:pPr>
      <w:r>
        <w:rPr>
          <w:rFonts w:ascii="Noto Naskh Arabic" w:hAnsi="Noto Naskh Arabic" w:cs="Noto Naskh Arabic" w:eastAsia="Noto Naskh Arabic"/>
          <w:rtl w:val="1"/>
          <w:szCs w:val="30"/>
          <w:lang w:bidi="ar-SA"/>
        </w:rPr>
        <w:t>ٱللَّهُ يَتَوَفَّى ٱلۡأَنفُسَ حِينَ مَوۡتِهَا وَٱلَّتِي لَمۡ تَمُتۡ فِي مَنَامِهَاۖ فَيُمۡسِكُ ٱلَّتِي قَضَىٰ عَلَيۡهَا ٱلۡمَوۡتَ وَيُرۡسِلُ ٱلۡأُخۡرَىٰٓ إِلَىٰٓ أَجَلٖ مُّسَمًّىۚ إِنَّ فِي ذَٰلِكَ لَأٓيَٰتٖ لِّقَوۡمٖ يَتَفَكَّرُونَ</w:t>
      </w:r>
    </w:p>
    <w:p>
      <w:pPr>
        <w:pStyle w:val="Translation"/>
      </w:pPr>
      <w:r>
        <w:t>God takes souls at the time of their death, and those that have not died during their sleep. He keeps those for which He has decreed death and releases the others until an appointed term. In this there are signs for people who reflect.</w:t>
      </w:r>
    </w:p>
    <w:p>
      <w:r>
        <w:t>Sleep offers a familiar interruption and transformation of experience. Its role in this verse invites reflection on life’s dependence upon God and on the daily limits of conscious control. It should not be read as a statement that ordinary sleep is biologically identical to death.</w:t>
      </w:r>
    </w:p>
    <w:p>
      <w:r>
        <w:t xml:space="preserve">Research by Siclari and colleagues associated dream reports with particular patterns of cortical activity and found dreaming in both REM and non-REM sleep. </w:t>
      </w:r>
      <w:r>
        <w:t>[</w:t>
      </w:r>
      <w:hyperlink r:id="rId105">
        <w:r>
          <w:rPr>
            <w:color w:val="000000"/>
            <w:u w:val="single"/>
            <w:sz w:val="20"/>
          </w:rPr>
          <w:t>24</w:t>
        </w:r>
      </w:hyperlink>
      <w:r>
        <w:t>]</w:t>
      </w:r>
      <w:r>
        <w:t xml:space="preserve"> It shows that vivid experience can occur while ordinary engagement with the external environment is reduced. It does not demonstrate that prophetic revelation is a REM intrusion or that consciousness survives irreversible brain death. Dreams can make alternative conditions of experience conceivable; their scientific study does not authenticate the divine source of a particular experience.</w:t>
      </w:r>
    </w:p>
    <w:p>
      <w:r>
        <w:t>Resurrection is stated more directly in passages joining bodily dissolution to divine knowledge.</w:t>
      </w:r>
    </w:p>
    <w:p>
      <w:pPr>
        <w:pStyle w:val="VerseLabel"/>
      </w:pPr>
      <w:hyperlink r:id="rId106">
        <w:r>
          <w:rPr>
            <w:color w:val="000000"/>
            <w:u w:val="single"/>
            <w:sz w:val="20"/>
            <w:b/>
          </w:rPr>
          <w:t>Qur’an 50:4</w:t>
        </w:r>
      </w:hyperlink>
    </w:p>
    <w:p>
      <w:pPr>
        <w:pStyle w:val="ArabicVerse"/>
        <w:jc w:val="left"/>
        <w:bidi w:val="1"/>
      </w:pPr>
      <w:r>
        <w:rPr>
          <w:rFonts w:ascii="Noto Naskh Arabic" w:hAnsi="Noto Naskh Arabic" w:cs="Noto Naskh Arabic" w:eastAsia="Noto Naskh Arabic"/>
          <w:rtl w:val="1"/>
          <w:szCs w:val="30"/>
          <w:lang w:bidi="ar-SA"/>
        </w:rPr>
        <w:t>قَدۡ عَلِمۡنَا مَا تَنقُصُ ٱلۡأَرۡضُ مِنۡهُمۡۖ وَعِندَنَا كِتَٰبٌ حَفِيظُۢ</w:t>
      </w:r>
    </w:p>
    <w:p>
      <w:pPr>
        <w:pStyle w:val="Translation"/>
      </w:pPr>
      <w:r>
        <w:t>We know what the earth diminishes of them, and with Us is a preserving record.</w:t>
      </w:r>
    </w:p>
    <w:p>
      <w:pPr>
        <w:pStyle w:val="VerseLabel"/>
      </w:pPr>
      <w:hyperlink r:id="rId107">
        <w:r>
          <w:rPr>
            <w:color w:val="000000"/>
            <w:u w:val="single"/>
            <w:sz w:val="20"/>
            <w:b/>
          </w:rPr>
          <w:t>Qur’an 36:78</w:t>
        </w:r>
      </w:hyperlink>
    </w:p>
    <w:p>
      <w:pPr>
        <w:pStyle w:val="ArabicVerse"/>
        <w:jc w:val="left"/>
        <w:bidi w:val="1"/>
      </w:pPr>
      <w:r>
        <w:rPr>
          <w:rFonts w:ascii="Noto Naskh Arabic" w:hAnsi="Noto Naskh Arabic" w:cs="Noto Naskh Arabic" w:eastAsia="Noto Naskh Arabic"/>
          <w:rtl w:val="1"/>
          <w:szCs w:val="30"/>
          <w:lang w:bidi="ar-SA"/>
        </w:rPr>
        <w:t>وَضَرَبَ لَنَا مَثَلٗا وَنَسِيَ خَلۡقَهُۥۖ قَالَ مَن يُحۡيِ ٱلۡعِظَٰمَ وَهِيَ رَمِيمٞ</w:t>
      </w:r>
    </w:p>
    <w:p>
      <w:pPr>
        <w:pStyle w:val="Translation"/>
      </w:pPr>
      <w:r>
        <w:t>He offers Us a comparison and forgets his own creation, saying, “Who will give life to the bones when they have decayed?”</w:t>
      </w:r>
    </w:p>
    <w:p>
      <w:pPr>
        <w:pStyle w:val="VerseLabel"/>
      </w:pPr>
      <w:hyperlink r:id="rId108">
        <w:r>
          <w:rPr>
            <w:color w:val="000000"/>
            <w:u w:val="single"/>
            <w:sz w:val="20"/>
            <w:b/>
          </w:rPr>
          <w:t>Qur’an 36:79</w:t>
        </w:r>
      </w:hyperlink>
    </w:p>
    <w:p>
      <w:pPr>
        <w:pStyle w:val="ArabicVerse"/>
        <w:jc w:val="left"/>
        <w:bidi w:val="1"/>
      </w:pPr>
      <w:r>
        <w:rPr>
          <w:rFonts w:ascii="Noto Naskh Arabic" w:hAnsi="Noto Naskh Arabic" w:cs="Noto Naskh Arabic" w:eastAsia="Noto Naskh Arabic"/>
          <w:rtl w:val="1"/>
          <w:szCs w:val="30"/>
          <w:lang w:bidi="ar-SA"/>
        </w:rPr>
        <w:t>قُلۡ يُحۡيِيهَا ٱلَّذِيٓ أَنشَأَهَآ أَوَّلَ مَرَّةٖۖ وَهُوَ بِكُلِّ خَلۡقٍ عَلِيمٌ</w:t>
      </w:r>
    </w:p>
    <w:p>
      <w:pPr>
        <w:pStyle w:val="Translation"/>
      </w:pPr>
      <w:r>
        <w:t>Say, “The One who brought them into being the first time will give them life; He knows every creation.”</w:t>
      </w:r>
    </w:p>
    <w:p>
      <w:r>
        <w:t>The argument combines capability and knowledge. Decay does not place the person beyond the Creator’s knowledge, and the agency responsible for first creation is not defeated by bodily dispersal. The information analogy can illuminate the knowledge component. The passage itself makes the stronger claim that the Creator can restore living subjects.</w:t>
      </w:r>
    </w:p>
    <w:p>
      <w:pPr>
        <w:pStyle w:val="VerseLabel"/>
      </w:pPr>
      <w:hyperlink r:id="rId109">
        <w:r>
          <w:rPr>
            <w:color w:val="000000"/>
            <w:u w:val="single"/>
            <w:sz w:val="20"/>
            <w:b/>
          </w:rPr>
          <w:t>Qur’an 75:3</w:t>
        </w:r>
      </w:hyperlink>
    </w:p>
    <w:p>
      <w:pPr>
        <w:pStyle w:val="ArabicVerse"/>
        <w:jc w:val="left"/>
        <w:bidi w:val="1"/>
      </w:pPr>
      <w:r>
        <w:rPr>
          <w:rFonts w:ascii="Noto Naskh Arabic" w:hAnsi="Noto Naskh Arabic" w:cs="Noto Naskh Arabic" w:eastAsia="Noto Naskh Arabic"/>
          <w:rtl w:val="1"/>
          <w:szCs w:val="30"/>
          <w:lang w:bidi="ar-SA"/>
        </w:rPr>
        <w:t>أَيَحۡسَبُ ٱلۡإِنسَٰنُ أَلَّن نَّجۡمَعَ عِظَامَهُۥ</w:t>
      </w:r>
    </w:p>
    <w:p>
      <w:pPr>
        <w:pStyle w:val="Translation"/>
      </w:pPr>
      <w:r>
        <w:t>Does the human being suppose that We shall not gather their bones?</w:t>
      </w:r>
    </w:p>
    <w:p>
      <w:pPr>
        <w:pStyle w:val="VerseLabel"/>
      </w:pPr>
      <w:hyperlink r:id="rId110">
        <w:r>
          <w:rPr>
            <w:color w:val="000000"/>
            <w:u w:val="single"/>
            <w:sz w:val="20"/>
            <w:b/>
          </w:rPr>
          <w:t>Qur’an 75:4</w:t>
        </w:r>
      </w:hyperlink>
    </w:p>
    <w:p>
      <w:pPr>
        <w:pStyle w:val="ArabicVerse"/>
        <w:jc w:val="left"/>
        <w:bidi w:val="1"/>
      </w:pPr>
      <w:r>
        <w:rPr>
          <w:rFonts w:ascii="Noto Naskh Arabic" w:hAnsi="Noto Naskh Arabic" w:cs="Noto Naskh Arabic" w:eastAsia="Noto Naskh Arabic"/>
          <w:rtl w:val="1"/>
          <w:szCs w:val="30"/>
          <w:lang w:bidi="ar-SA"/>
        </w:rPr>
        <w:t>بَلَىٰ قَٰدِرِينَ عَلَىٰٓ أَن نُّسَوِّيَ بَنَانَهُۥ</w:t>
      </w:r>
    </w:p>
    <w:p>
      <w:pPr>
        <w:pStyle w:val="Translation"/>
      </w:pPr>
      <w:r>
        <w:t>Yes indeed; We are able to restore even their fingertips.</w:t>
      </w:r>
    </w:p>
    <w:p>
      <w:r>
        <w:t>The fingertips emphasize the reach of restoration into bodily detail. Contemporary readers may reasonably associate them with individual bodily distinctiveness. The Arabic does not mention fingerprint classification, forensic databases, or DNA. The verse’s theological force survives without claiming an explicit prediction of those technologies.</w:t>
      </w:r>
    </w:p>
    <w:p>
      <w:r>
        <w:t>The same caution applies to many-worlds interpretations of quantum mechanics. Such interpretations do not by themselves establish personal survival after death, a transition of awareness into another branch, or a realm of moral recompense. A physically possible continuation somewhere would not yet establish that the same subject is restored and judged. “Quantum immortality” should therefore not carry the theological argument.</w:t>
      </w:r>
    </w:p>
    <w:p>
      <w:r>
        <w:t>Nor is a four-dimensional representation of spacetime already a retrievable archive. Describing events in a spacetime model does not prove that every past event remains accessible to observers, and relativity alone does not settle all metaphysical disputes about the reality of the past. The divine record should not be made dependent on one controversial philosophy of time.</w:t>
      </w:r>
    </w:p>
    <w:p>
      <w:pPr>
        <w:pStyle w:val="VerseLabel"/>
      </w:pPr>
      <w:hyperlink r:id="rId111">
        <w:r>
          <w:rPr>
            <w:color w:val="000000"/>
            <w:u w:val="single"/>
            <w:sz w:val="20"/>
            <w:b/>
          </w:rPr>
          <w:t>Qur’an 6:103</w:t>
        </w:r>
      </w:hyperlink>
    </w:p>
    <w:p>
      <w:pPr>
        <w:pStyle w:val="ArabicVerse"/>
        <w:jc w:val="left"/>
        <w:bidi w:val="1"/>
      </w:pPr>
      <w:r>
        <w:rPr>
          <w:rFonts w:ascii="Noto Naskh Arabic" w:hAnsi="Noto Naskh Arabic" w:cs="Noto Naskh Arabic" w:eastAsia="Noto Naskh Arabic"/>
          <w:rtl w:val="1"/>
          <w:szCs w:val="30"/>
          <w:lang w:bidi="ar-SA"/>
        </w:rPr>
        <w:t>لَّا تُدۡرِكُهُ ٱلۡأَبۡصَٰرُ وَهُوَ يُدۡرِكُ ٱلۡأَبۡصَٰرَۖ وَهُوَ ٱللَّطِيفُ ٱلۡخَبِيرُ</w:t>
      </w:r>
    </w:p>
    <w:p>
      <w:pPr>
        <w:pStyle w:val="Translation"/>
      </w:pPr>
      <w:r>
        <w:t>Vision does not encompass Him, while He encompasses all vision. He is the Subtle, the Fully Aware.</w:t>
      </w:r>
    </w:p>
    <w:p>
      <w:r>
        <w:t>This verse keeps transcendence central. A theory of divine recording must not shrink God to a physical detector that sees what a sufficiently advanced instrument would see. Knowledge of persons and events belongs to an encompassing divine reality. Conversely, appeal to transcendence must not be used to exempt factual claims about physics from scientific scrutiny. The distinction between theological and empirical claims works in both directions.</w:t>
      </w:r>
    </w:p>
    <w:p>
      <w:pPr>
        <w:pStyle w:val="Heading1"/>
      </w:pPr>
      <w:r>
        <w:t>Mercy and the moral meaning of an unforgotten life</w:t>
      </w:r>
    </w:p>
    <w:p>
      <w:r>
        <w:t>One may fear that an unfailing record makes forgiveness impossible. That inference confuses remembering a deed with refusing to forgive its agent. A truthful account may include the wrongdoing, the harm caused, the recognition of guilt, the effort to make restitution, and the transformation of a person’s conduct. Omniscience does not require reducing a life to its worst moment.</w:t>
      </w:r>
    </w:p>
    <w:p>
      <w:pPr>
        <w:pStyle w:val="VerseLabel"/>
      </w:pPr>
      <w:hyperlink r:id="rId112">
        <w:r>
          <w:rPr>
            <w:color w:val="000000"/>
            <w:u w:val="single"/>
            <w:sz w:val="20"/>
            <w:b/>
          </w:rPr>
          <w:t>Qur’an 39:53</w:t>
        </w:r>
      </w:hyperlink>
    </w:p>
    <w:p>
      <w:pPr>
        <w:pStyle w:val="ArabicVerse"/>
        <w:jc w:val="left"/>
        <w:bidi w:val="1"/>
      </w:pPr>
      <w:r>
        <w:rPr>
          <w:rFonts w:ascii="Noto Naskh Arabic" w:hAnsi="Noto Naskh Arabic" w:cs="Noto Naskh Arabic" w:eastAsia="Noto Naskh Arabic"/>
          <w:rtl w:val="1"/>
          <w:szCs w:val="30"/>
          <w:lang w:bidi="ar-SA"/>
        </w:rPr>
        <w:t>۞قُلۡ يَٰعِبَادِيَ ٱلَّذِينَ أَسۡرَفُواْ عَلَىٰٓ أَنفُسِهِمۡ لَا تَقۡنَطُواْ مِن رَّحۡمَةِ ٱللَّهِۚ إِنَّ ٱللَّهَ يَغۡفِرُ ٱلذُّنُوبَ جَمِيعًاۚ إِنَّهُۥ هُوَ ٱلۡغَفُورُ ٱلرَّحِيمُ</w:t>
      </w:r>
    </w:p>
    <w:p>
      <w:pPr>
        <w:pStyle w:val="Translation"/>
      </w:pPr>
      <w:r>
        <w:t>Say, “My servants who have transgressed against themselves, do not despair of God’s mercy. God forgives all sins. He is the Forgiving, the Merciful.”</w:t>
      </w:r>
    </w:p>
    <w:p>
      <w:pPr>
        <w:pStyle w:val="VerseLabel"/>
      </w:pPr>
      <w:hyperlink r:id="rId113">
        <w:r>
          <w:rPr>
            <w:color w:val="000000"/>
            <w:u w:val="single"/>
            <w:sz w:val="20"/>
            <w:b/>
          </w:rPr>
          <w:t>Qur’an 25:70</w:t>
        </w:r>
      </w:hyperlink>
    </w:p>
    <w:p>
      <w:pPr>
        <w:pStyle w:val="ArabicVerse"/>
        <w:jc w:val="left"/>
        <w:bidi w:val="1"/>
      </w:pPr>
      <w:r>
        <w:rPr>
          <w:rFonts w:ascii="Noto Naskh Arabic" w:hAnsi="Noto Naskh Arabic" w:cs="Noto Naskh Arabic" w:eastAsia="Noto Naskh Arabic"/>
          <w:rtl w:val="1"/>
          <w:szCs w:val="30"/>
          <w:lang w:bidi="ar-SA"/>
        </w:rPr>
        <w:t>إِلَّا مَن تَابَ وَءَامَنَ وَعَمِلَ عَمَلٗا صَٰلِحٗا فَأُوْلَـٰٓئِكَ يُبَدِّلُ ٱللَّهُ سَيِّـَٔاتِهِمۡ حَسَنَٰتٖۗ وَكَانَ ٱللَّهُ غَفُورٗا رَّحِيمٗا</w:t>
      </w:r>
    </w:p>
    <w:p>
      <w:pPr>
        <w:pStyle w:val="Translation"/>
      </w:pPr>
      <w:r>
        <w:t>Except those who repent, believe, and do righteous deeds: God will replace their evil deeds with good ones. God is forgiving and merciful.</w:t>
      </w:r>
    </w:p>
    <w:p>
      <w:r>
        <w:t>These verses prevent an information-centered theology from becoming morally mechanical. Repentance changes the person’s relation to the deed; forgiveness changes the judgment of that person. Neither needs to be pictured as a failure of divine memory. The Book of Deeds can include an honest record of becoming better.</w:t>
      </w:r>
    </w:p>
    <w:p>
      <w:r>
        <w:t>Mercy also protects the vulnerable. Complete knowledge includes unnoticed restraint, suffering that was hidden, inadequate opportunity, and good done without recognition. In human courts and reputations, the person with resources often controls the surviving account. The divine record promises that truth is not finally dependent upon who can afford to preserve, publicize, or suppress documents.</w:t>
      </w:r>
    </w:p>
    <w:p>
      <w:r>
        <w:t>The practical consequence is responsibility in the present. A physician’s care, a teacher’s patience, a parent’s attention, and a public official’s decision can matter beyond the moment in which they occur. Scientific reflection on traces can sharpen awareness of consequences. Revelation asks what those consequences mean for persons, and whether our conduct is just. This is where the four books become a discipline of living.</w:t>
      </w:r>
    </w:p>
    <w:p>
      <w:r>
        <w:t>The proposed synthesis can therefore be stated without exaggerating its scientific status. The Qur’an supplies sustained textual grounds for revelation, created signs, divine knowledge and decree, and recorded deeds. Philosophy examines whether these themes form a coherent account of reality and moral agency. Science reveals previously unsuspected ways in which nature supports information, preserves correlations, and distributes records. The combination can strengthen a believer’s understanding, while leaving the ultimate claims of resurrection and divine judgment grounded in the broader theological case.</w:t>
      </w:r>
    </w:p>
    <w:p>
      <w:pPr>
        <w:pStyle w:val="Heading1"/>
      </w:pPr>
      <w:r>
        <w:t>Thematic epilogue</w:t>
      </w:r>
    </w:p>
    <w:p>
      <w:pPr>
        <w:pStyle w:val="VerseLabel"/>
      </w:pPr>
      <w:hyperlink r:id="rId114">
        <w:r>
          <w:rPr>
            <w:color w:val="000000"/>
            <w:u w:val="single"/>
            <w:sz w:val="20"/>
            <w:b/>
          </w:rPr>
          <w:t>Qur’an 50:22</w:t>
        </w:r>
      </w:hyperlink>
    </w:p>
    <w:p>
      <w:pPr>
        <w:pStyle w:val="ArabicVerse"/>
        <w:jc w:val="left"/>
        <w:bidi w:val="1"/>
      </w:pPr>
      <w:r>
        <w:rPr>
          <w:rFonts w:ascii="Noto Naskh Arabic" w:hAnsi="Noto Naskh Arabic" w:cs="Noto Naskh Arabic" w:eastAsia="Noto Naskh Arabic"/>
          <w:rtl w:val="1"/>
          <w:szCs w:val="30"/>
          <w:lang w:bidi="ar-SA"/>
        </w:rPr>
        <w:t>لَّقَدۡ كُنتَ فِي غَفۡلَةٖ مِّنۡ هَٰذَا فَكَشَفۡنَا عَنكَ غِطَآءَكَ فَبَصَرُكَ ٱلۡيَوۡمَ حَدِيدٞ</w:t>
      </w:r>
    </w:p>
    <w:p>
      <w:pPr>
        <w:pStyle w:val="Translation"/>
      </w:pPr>
      <w:r>
        <w:t>You were heedless of this; now We have removed your covering, and today your sight is sharp.</w:t>
      </w:r>
    </w:p>
    <w:p>
      <w:r>
        <w:t>Qur’an 45:24 begins with people who believe that time will have the last word. Its closing movement presents a different horizon: a community faces the truth of its history, a record speaks faithfully, and a merciful Lord receives those who believed and acted well. Between those moments lies the question of whether a human life can finally become meaningless merely because it has become inaccessible to human memory.</w:t>
      </w:r>
    </w:p>
    <w:p>
      <w:r>
        <w:t>The Four Books Thesis gathers the Qur’anic response into a coherent act of reading. We read Revelation to understand what is asked of us. We read Nature to understand the world entrusted to us. We contemplate Decree to recognize the limits of our control and the extent of divine knowledge. We consider the Book of Deeds to remember that the life being examined is our own.</w:t>
      </w:r>
    </w:p>
    <w:p>
      <w:r>
        <w:t>Modern science adds depth to this reading when it is allowed to speak accurately. The environment can carry traces we do not notice. Information can persist in forms we cannot recover. A theoretical description may expose structures beyond ordinary intuition. Such discoveries make premature declarations about the limits of reality less convincing. They also teach restraint: a meaningful analogy is not a measurement of the unseen.</w:t>
      </w:r>
    </w:p>
    <w:p>
      <w:r>
        <w:t>The final theological confidence concerns the One who knows. A forgotten kindness is not therefore worthless. An injury hidden from human witnesses is not therefore outside justice. Repentance need not become impossible because truth is preserved. The record that discloses a life belongs to the Lord who understands it.</w:t>
      </w:r>
    </w:p>
    <w:p>
      <w:r>
        <w:t>The triumph named in 45:30 is entrance into His mercy. That promise gives the inquiry its proper destination. The believer studies the world, seeks truth, and acts responsibly in the hope that what is presently fragmented in human understanding will finally be made clear within a justice that wrongs no one and a mercy greater than our own.</w:t>
      </w:r>
    </w:p>
    <w:p>
      <w:pPr>
        <w:pStyle w:val="Heading1"/>
        <w:pageBreakBefore/>
      </w:pPr>
      <w:r>
        <w:t>Sources</w:t>
      </w:r>
    </w:p>
    <w:p>
      <w:r>
        <w:t>The Qur’anic text is reproduced in Arabic alongside original English working renderings. Verse labels link to the corresponding passage at Quran.com. The Arabic transcription was obtained from the open Quran JSON collection. The discussion distinguishes primary scientific research from the interpretive essays that motivated the commentary.</w:t>
      </w:r>
    </w:p>
    <w:p>
      <w:pPr>
        <w:pStyle w:val="Reference"/>
      </w:pPr>
      <w:r>
        <w:t xml:space="preserve">[1] </w:t>
      </w:r>
      <w:hyperlink r:id="rId9">
        <w:r>
          <w:rPr>
            <w:color w:val="000000"/>
            <w:u w:val="single"/>
            <w:sz w:val="20"/>
          </w:rPr>
          <w:t>The Glorious Quran and Science. The four books of God a Quranic cosmology in the age of quantum physics. April 20, 2026.</w:t>
        </w:r>
      </w:hyperlink>
    </w:p>
    <w:p>
      <w:pPr>
        <w:pStyle w:val="Reference"/>
      </w:pPr>
      <w:r>
        <w:t xml:space="preserve">[2] </w:t>
      </w:r>
      <w:hyperlink r:id="rId10">
        <w:r>
          <w:rPr>
            <w:color w:val="000000"/>
            <w:u w:val="single"/>
            <w:sz w:val="20"/>
          </w:rPr>
          <w:t>The Glorious Quran and Science. Research Report and Source Compilation on Quran 45 verses 27 to 32 and the Four Books Thesis. June 11, 2026.</w:t>
        </w:r>
      </w:hyperlink>
    </w:p>
    <w:p>
      <w:pPr>
        <w:pStyle w:val="Reference"/>
      </w:pPr>
      <w:r>
        <w:t xml:space="preserve">[3] </w:t>
      </w:r>
      <w:hyperlink r:id="rId11">
        <w:r>
          <w:rPr>
            <w:color w:val="000000"/>
            <w:u w:val="single"/>
            <w:sz w:val="20"/>
          </w:rPr>
          <w:t>The Glorious Quran and Science. The Information-Theoretic Eschaton. June 11, 2026.</w:t>
        </w:r>
      </w:hyperlink>
    </w:p>
    <w:p>
      <w:pPr>
        <w:pStyle w:val="Reference"/>
      </w:pPr>
      <w:r>
        <w:t xml:space="preserve">[4] </w:t>
      </w:r>
      <w:hyperlink r:id="rId13">
        <w:r>
          <w:rPr>
            <w:color w:val="000000"/>
            <w:u w:val="single"/>
            <w:sz w:val="20"/>
          </w:rPr>
          <w:t>Abul A‘la Maududi. Towards Understanding the Quran. Commentary on 45:24, note 34.</w:t>
        </w:r>
      </w:hyperlink>
    </w:p>
    <w:p>
      <w:pPr>
        <w:pStyle w:val="Reference"/>
      </w:pPr>
      <w:r>
        <w:t xml:space="preserve">[5] </w:t>
      </w:r>
      <w:hyperlink r:id="rId18">
        <w:r>
          <w:rPr>
            <w:color w:val="000000"/>
            <w:u w:val="single"/>
            <w:sz w:val="20"/>
          </w:rPr>
          <w:t>Ibn Kathir. Tafsir on 45:27–29, English abridgment.</w:t>
        </w:r>
      </w:hyperlink>
    </w:p>
    <w:p>
      <w:pPr>
        <w:pStyle w:val="Reference"/>
      </w:pPr>
      <w:r>
        <w:t xml:space="preserve">[6] </w:t>
      </w:r>
      <w:hyperlink r:id="rId20">
        <w:r>
          <w:rPr>
            <w:color w:val="000000"/>
            <w:u w:val="single"/>
            <w:sz w:val="20"/>
          </w:rPr>
          <w:t>Al-Tabari. Jami‘ al-bayan, commentary on 45:29. Arabic text.</w:t>
        </w:r>
      </w:hyperlink>
    </w:p>
    <w:p>
      <w:pPr>
        <w:pStyle w:val="Reference"/>
      </w:pPr>
      <w:r>
        <w:t xml:space="preserve">[7] </w:t>
      </w:r>
      <w:hyperlink r:id="rId21">
        <w:r>
          <w:rPr>
            <w:color w:val="000000"/>
            <w:u w:val="single"/>
            <w:sz w:val="20"/>
          </w:rPr>
          <w:t>Al-Qurtubi. Al-Jami‘ li-ahkam al-Qur’an, commentary on 45:29. Arabic text.</w:t>
        </w:r>
      </w:hyperlink>
    </w:p>
    <w:p>
      <w:pPr>
        <w:pStyle w:val="Reference"/>
      </w:pPr>
      <w:r>
        <w:t xml:space="preserve">[8] </w:t>
      </w:r>
      <w:hyperlink r:id="rId52">
        <w:r>
          <w:rPr>
            <w:color w:val="000000"/>
            <w:u w:val="single"/>
            <w:sz w:val="20"/>
          </w:rPr>
          <w:t>The Glorious Quran and Science. The Mother of the Book and the Four Books of God. August 15, 2026.</w:t>
        </w:r>
      </w:hyperlink>
    </w:p>
    <w:p>
      <w:pPr>
        <w:pStyle w:val="Reference"/>
      </w:pPr>
      <w:r>
        <w:t xml:space="preserve">[9] </w:t>
      </w:r>
      <w:hyperlink r:id="rId82">
        <w:r>
          <w:rPr>
            <w:color w:val="000000"/>
            <w:u w:val="single"/>
            <w:sz w:val="20"/>
          </w:rPr>
          <w:t>Zurek, W. H. Decoherence and the transition from quantum to classical revisited. 2003 update of the 1991 Physics Today article.</w:t>
        </w:r>
      </w:hyperlink>
    </w:p>
    <w:p>
      <w:pPr>
        <w:pStyle w:val="Reference"/>
      </w:pPr>
      <w:r>
        <w:t xml:space="preserve">[10] </w:t>
      </w:r>
      <w:hyperlink r:id="rId83">
        <w:r>
          <w:rPr>
            <w:color w:val="000000"/>
            <w:u w:val="single"/>
            <w:sz w:val="20"/>
          </w:rPr>
          <w:t>Almheiri, A., Hartman, T., Maldacena, J., Shaghoulian, E., and Tajdini, A. The entropy of Hawking radiation. Reviews of Modern Physics 93, 035002 (2021).</w:t>
        </w:r>
      </w:hyperlink>
    </w:p>
    <w:p>
      <w:pPr>
        <w:pStyle w:val="Reference"/>
      </w:pPr>
      <w:r>
        <w:t xml:space="preserve">[11] </w:t>
      </w:r>
      <w:hyperlink r:id="rId84">
        <w:r>
          <w:rPr>
            <w:color w:val="000000"/>
            <w:u w:val="single"/>
            <w:sz w:val="20"/>
          </w:rPr>
          <w:t>Zurek, W. H. Quantum Darwinism. Nature Physics 5, 181–188 (2009).</w:t>
        </w:r>
      </w:hyperlink>
    </w:p>
    <w:p>
      <w:pPr>
        <w:pStyle w:val="Reference"/>
      </w:pPr>
      <w:r>
        <w:t xml:space="preserve">[12] </w:t>
      </w:r>
      <w:hyperlink r:id="rId85">
        <w:r>
          <w:rPr>
            <w:color w:val="000000"/>
            <w:u w:val="single"/>
            <w:sz w:val="20"/>
          </w:rPr>
          <w:t>Unden, T., Louzon, D., Zwolak, M., Zurek, W. H., and Jelezko, F. Revealing the Emergence of Classicality Using Nitrogen-Vacancy Centers. Physical Review Letters 123, 140402 (2019).</w:t>
        </w:r>
      </w:hyperlink>
    </w:p>
    <w:p>
      <w:pPr>
        <w:pStyle w:val="Reference"/>
      </w:pPr>
      <w:r>
        <w:t xml:space="preserve">[13] </w:t>
      </w:r>
      <w:hyperlink r:id="rId86">
        <w:r>
          <w:rPr>
            <w:color w:val="000000"/>
            <w:u w:val="single"/>
            <w:sz w:val="20"/>
          </w:rPr>
          <w:t>Braunstein, S. L., and Pati, A. K. Quantum information cannot be completely hidden in correlations implications for the black-hole information paradox. Physical Review Letters 98, 080502 (2007).</w:t>
        </w:r>
      </w:hyperlink>
    </w:p>
    <w:p>
      <w:pPr>
        <w:pStyle w:val="Reference"/>
      </w:pPr>
      <w:r>
        <w:t xml:space="preserve">[14] </w:t>
      </w:r>
      <w:hyperlink r:id="rId87">
        <w:r>
          <w:rPr>
            <w:color w:val="000000"/>
            <w:u w:val="single"/>
            <w:sz w:val="20"/>
          </w:rPr>
          <w:t>Samal, J. R., Pati, A. K., and Kumar, A. Experimental test of the quantum no-hiding theorem. Physical Review Letters 106, 080401 (2011).</w:t>
        </w:r>
      </w:hyperlink>
    </w:p>
    <w:p>
      <w:pPr>
        <w:pStyle w:val="Reference"/>
      </w:pPr>
      <w:r>
        <w:t xml:space="preserve">[15] </w:t>
      </w:r>
      <w:hyperlink r:id="rId88">
        <w:r>
          <w:rPr>
            <w:color w:val="000000"/>
            <w:u w:val="single"/>
            <w:sz w:val="20"/>
          </w:rPr>
          <w:t>Wootters, W. K., and Zurek, W. H. A single quantum cannot be cloned. Nature 299, 802–803 (1982).</w:t>
        </w:r>
      </w:hyperlink>
    </w:p>
    <w:p>
      <w:pPr>
        <w:pStyle w:val="Reference"/>
      </w:pPr>
      <w:r>
        <w:t xml:space="preserve">[16] </w:t>
      </w:r>
      <w:hyperlink r:id="rId89">
        <w:r>
          <w:rPr>
            <w:color w:val="000000"/>
            <w:u w:val="single"/>
            <w:sz w:val="20"/>
          </w:rPr>
          <w:t>Bérut, A., Petrosyan, A., and Ciliberto, S. Information and thermodynamics Experimental verification of Landauer’s erasure principle. Journal of Statistical Mechanics P06015 (2015).</w:t>
        </w:r>
      </w:hyperlink>
    </w:p>
    <w:p>
      <w:pPr>
        <w:pStyle w:val="Reference"/>
      </w:pPr>
      <w:r>
        <w:t xml:space="preserve">[17] </w:t>
      </w:r>
      <w:hyperlink r:id="rId90">
        <w:r>
          <w:rPr>
            <w:color w:val="000000"/>
            <w:u w:val="single"/>
            <w:sz w:val="20"/>
          </w:rPr>
          <w:t>Maldacena, J. M. The Large N Limit of Superconformal Field Theories and Supergravity. Advances in Theoretical and Mathematical Physics 2, 231–252 (1998).</w:t>
        </w:r>
      </w:hyperlink>
    </w:p>
    <w:p>
      <w:pPr>
        <w:pStyle w:val="Reference"/>
      </w:pPr>
      <w:r>
        <w:t xml:space="preserve">[18] </w:t>
      </w:r>
      <w:hyperlink r:id="rId91">
        <w:r>
          <w:rPr>
            <w:color w:val="000000"/>
            <w:u w:val="single"/>
            <w:sz w:val="20"/>
          </w:rPr>
          <w:t>Almheiri, A., Hartman, T., Maldacena, J., Shaghoulian, E., and Tajdini, A. Replica Wormholes and the Entropy of Hawking Radiation. Journal of High Energy Physics 2020, 013 (May).</w:t>
        </w:r>
      </w:hyperlink>
    </w:p>
    <w:p>
      <w:pPr>
        <w:pStyle w:val="Reference"/>
      </w:pPr>
      <w:r>
        <w:t xml:space="preserve">[19] </w:t>
      </w:r>
      <w:hyperlink r:id="rId92">
        <w:r>
          <w:rPr>
            <w:color w:val="000000"/>
            <w:u w:val="single"/>
            <w:sz w:val="20"/>
          </w:rPr>
          <w:t>Hensen, B., et al. Loophole-free Bell inequality violation using electron spins separated by 1.3 kilometres. Nature 526, 682–686 (2015).</w:t>
        </w:r>
      </w:hyperlink>
    </w:p>
    <w:p>
      <w:pPr>
        <w:pStyle w:val="Reference"/>
      </w:pPr>
      <w:r>
        <w:t xml:space="preserve">[20] </w:t>
      </w:r>
      <w:hyperlink r:id="rId93">
        <w:r>
          <w:rPr>
            <w:color w:val="000000"/>
            <w:u w:val="single"/>
            <w:sz w:val="20"/>
          </w:rPr>
          <w:t>Bostrom, N. Are You Living in a Computer Simulation? The Philosophical Quarterly 53, 243–255 (2003).</w:t>
        </w:r>
      </w:hyperlink>
    </w:p>
    <w:p>
      <w:pPr>
        <w:pStyle w:val="Reference"/>
      </w:pPr>
      <w:r>
        <w:t xml:space="preserve">[21] </w:t>
      </w:r>
      <w:hyperlink r:id="rId94">
        <w:r>
          <w:rPr>
            <w:color w:val="000000"/>
            <w:u w:val="single"/>
            <w:sz w:val="20"/>
          </w:rPr>
          <w:t>Lloyd, S. Computational capacity of the universe. Physical Review Letters 88, 237901 (2002).</w:t>
        </w:r>
      </w:hyperlink>
    </w:p>
    <w:p>
      <w:pPr>
        <w:pStyle w:val="Reference"/>
      </w:pPr>
      <w:r>
        <w:t xml:space="preserve">[22] </w:t>
      </w:r>
      <w:hyperlink r:id="rId95">
        <w:r>
          <w:rPr>
            <w:color w:val="000000"/>
            <w:u w:val="single"/>
            <w:sz w:val="20"/>
          </w:rPr>
          <w:t>Beane, S. R., Davoudi, Z., and Savage, M. J. Constraints on the Universe as a Numerical Simulation. European Physical Journal A 50, 148 (2014).</w:t>
        </w:r>
      </w:hyperlink>
    </w:p>
    <w:p>
      <w:pPr>
        <w:pStyle w:val="Reference"/>
      </w:pPr>
      <w:r>
        <w:t xml:space="preserve">[23] </w:t>
      </w:r>
      <w:hyperlink r:id="rId96">
        <w:r>
          <w:rPr>
            <w:color w:val="000000"/>
            <w:u w:val="single"/>
            <w:sz w:val="20"/>
          </w:rPr>
          <w:t>Barnes, L. A. The Fine-Tuning of the Universe for Intelligent Life. Publications of the Astronomical Society of Australia 29, 529–564 (2012).</w:t>
        </w:r>
      </w:hyperlink>
    </w:p>
    <w:p>
      <w:pPr>
        <w:pStyle w:val="Reference"/>
      </w:pPr>
      <w:r>
        <w:t xml:space="preserve">[24] </w:t>
      </w:r>
      <w:hyperlink r:id="rId105">
        <w:r>
          <w:rPr>
            <w:color w:val="000000"/>
            <w:u w:val="single"/>
            <w:sz w:val="20"/>
          </w:rPr>
          <w:t>Siclari, F., et al. The neural correlates of dreaming. Nature Neuroscience 20, 872–878 (2017).</w:t>
        </w:r>
      </w:hyperlink>
    </w:p>
    <w:p>
      <w:pPr>
        <w:pStyle w:val="Reference"/>
      </w:pPr>
      <w:r>
        <w:t xml:space="preserve">[25] </w:t>
      </w:r>
      <w:hyperlink r:id="rId115">
        <w:r>
          <w:rPr>
            <w:color w:val="000000"/>
            <w:u w:val="single"/>
            <w:sz w:val="20"/>
          </w:rPr>
          <w:t>The Glorious Quran and Science. Four Books Thesis collection.</w:t>
        </w:r>
      </w:hyperlink>
    </w:p>
    <w:p>
      <w:pPr>
        <w:pStyle w:val="Reference"/>
      </w:pPr>
      <w:r>
        <w:t xml:space="preserve">[26] </w:t>
      </w:r>
      <w:hyperlink r:id="rId116">
        <w:r>
          <w:rPr>
            <w:color w:val="000000"/>
            <w:u w:val="single"/>
            <w:sz w:val="20"/>
          </w:rPr>
          <w:t>Risan. Quran JSON, Arabic text dataset.</w:t>
        </w:r>
      </w:hyperlink>
    </w:p>
    <w:sectPr w:rsidR="00FC693F" w:rsidRPr="0006063C" w:rsidSect="00034616">
      <w:footerReference w:type="default" r:id="rId117"/>
      <w:pgSz w:w="12240" w:h="15840"/>
      <w:pgMar w:top="1152" w:right="1224" w:bottom="1152" w:left="1224" w:header="720"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8"/>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40"/>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320" w:after="160"/>
      <w:outlineLvl w:val="0"/>
    </w:pPr>
    <w:rPr>
      <w:rFonts w:cstheme="majorBidi" w:ascii="Times New Roman" w:hAnsi="Times New Roman"/>
      <w:b/>
      <w:bCs/>
      <w:color w:val="000000"/>
      <w:sz w:val="32"/>
      <w:szCs w:val="28"/>
    </w:rPr>
  </w:style>
  <w:style w:type="paragraph" w:styleId="Heading2">
    <w:name w:val="heading 2"/>
    <w:basedOn w:val="Normal"/>
    <w:next w:val="Normal"/>
    <w:link w:val="Heading2Char"/>
    <w:uiPriority w:val="9"/>
    <w:unhideWhenUsed/>
    <w:qFormat/>
    <w:rsid w:val="00FC693F"/>
    <w:pPr>
      <w:keepNext/>
      <w:keepLines/>
      <w:widowControl/>
      <w:spacing w:before="200" w:after="0"/>
      <w:outlineLvl w:val="1"/>
    </w:pPr>
    <w:rPr>
      <w:rFonts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widowControl/>
      <w:spacing w:after="180" w:line="240" w:lineRule="auto"/>
      <w:contextualSpacing/>
    </w:pPr>
    <w:rPr>
      <w:rFonts w:cstheme="majorBidi" w:ascii="Times New Roman" w:hAnsi="Times New Roman"/>
      <w:b/>
      <w:color w:val="000000"/>
      <w:kern w:val="28"/>
      <w:sz w:val="48"/>
      <w:szCs w:val="52"/>
    </w:rPr>
  </w:style>
  <w:style w:type="character" w:customStyle="1" w:styleId="TitleChar">
    <w:name w:val="Title Char"/>
    <w:basedOn w:val="DefaultParagraphFont"/>
    <w:link w:val="Title"/>
    <w:uiPriority w:val="10"/>
    <w:rsid w:val="00FC693F"/>
    <w:rPr>
      <w:rFonts w:cstheme="majorBidi"/>
      <w:color w:val="17365D" w:themeColor="text2" w:themeShade="BF"/>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after="280"/>
    </w:pPr>
    <w:rPr>
      <w:rFonts w:cstheme="majorBidi" w:ascii="Times New Roman" w:hAnsi="Times New Roman"/>
      <w:i w:val="0"/>
      <w:iCs/>
      <w:color w:val="000000"/>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u w:val="single"/>
    </w:rPr>
  </w:style>
  <w:style w:type="character" w:styleId="BookTitle">
    <w:name w:val="Book Title"/>
    <w:basedOn w:val="DefaultParagraphFont"/>
    <w:uiPriority w:val="33"/>
    <w:qFormat/>
    <w:rsid w:val="00FC693F"/>
    <w:rPr>
      <w:b/>
      <w:bCs/>
      <w:smallCaps/>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abicVerse">
    <w:name w:val="Arabic Verse"/>
    <w:basedOn w:val="Normal"/>
    <w:pPr>
      <w:keepNext/>
      <w:keepLines/>
      <w:spacing w:line="288" w:lineRule="auto" w:after="60"/>
    </w:pPr>
    <w:rPr>
      <w:rFonts w:ascii="Noto Naskh Arabic" w:hAnsi="Noto Naskh Arabic"/>
      <w:sz w:val="30"/>
    </w:rPr>
  </w:style>
  <w:style w:type="paragraph" w:customStyle="1" w:styleId="VerseLabel">
    <w:name w:val="Verse Label"/>
    <w:basedOn w:val="Normal"/>
    <w:pPr>
      <w:keepNext/>
      <w:spacing w:before="160" w:after="40"/>
    </w:pPr>
    <w:rPr>
      <w:b/>
      <w:sz w:val="20"/>
    </w:rPr>
  </w:style>
  <w:style w:type="paragraph" w:customStyle="1" w:styleId="Translation">
    <w:name w:val="Translation"/>
    <w:basedOn w:val="Normal"/>
    <w:pPr>
      <w:keepLines/>
      <w:spacing w:after="180"/>
    </w:pPr>
    <w:rPr>
      <w:sz w:val="22"/>
    </w:rPr>
  </w:style>
  <w:style w:type="paragraph" w:customStyle="1" w:styleId="Reference">
    <w:name w:val="Reference"/>
    <w:basedOn w:val="Normal"/>
    <w:pPr>
      <w:keepLines/>
      <w:spacing w:line="254" w:lineRule="auto" w:after="140"/>
    </w:pPr>
    <w:rPr>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hequran.love/2026/04/20/the-four-books-of-god-a-quranic-cosmology-in-the-age-of-quantum-physics/" TargetMode="External"/><Relationship Id="rId10" Type="http://schemas.openxmlformats.org/officeDocument/2006/relationships/hyperlink" Target="https://thequran.love/2026/06/11/research-report-and-source-compilation-a-scientific-philosophical-and-theological-commentary-on-quran-4527-32-surah-al-jathiyah-integrating-dr-zia-h-shahs-four-books-of-god-thes/" TargetMode="External"/><Relationship Id="rId11" Type="http://schemas.openxmlformats.org/officeDocument/2006/relationships/hyperlink" Target="https://thequran.love/2026/06/11/the-information-theoretic-eschaton-a-scientific-philosophical-and-theological-commentary-on-quran-4527-32-through-the-four-books-paradigm/" TargetMode="External"/><Relationship Id="rId12" Type="http://schemas.openxmlformats.org/officeDocument/2006/relationships/hyperlink" Target="https://quran.com/45:24" TargetMode="External"/><Relationship Id="rId13" Type="http://schemas.openxmlformats.org/officeDocument/2006/relationships/hyperlink" Target="https://www.islamicstudies.info/tafheem.php?sura=45&amp;verse=24" TargetMode="External"/><Relationship Id="rId14" Type="http://schemas.openxmlformats.org/officeDocument/2006/relationships/hyperlink" Target="https://quran.com/45:25" TargetMode="External"/><Relationship Id="rId15" Type="http://schemas.openxmlformats.org/officeDocument/2006/relationships/hyperlink" Target="https://quran.com/45:26" TargetMode="External"/><Relationship Id="rId16" Type="http://schemas.openxmlformats.org/officeDocument/2006/relationships/hyperlink" Target="https://quran.com/45:27" TargetMode="External"/><Relationship Id="rId17" Type="http://schemas.openxmlformats.org/officeDocument/2006/relationships/hyperlink" Target="https://quran.com/45:28" TargetMode="External"/><Relationship Id="rId18" Type="http://schemas.openxmlformats.org/officeDocument/2006/relationships/hyperlink" Target="https://quran.com/al-jathiyah/29/tafsirs/en-tafisr-ibn-kathir" TargetMode="External"/><Relationship Id="rId19" Type="http://schemas.openxmlformats.org/officeDocument/2006/relationships/hyperlink" Target="https://quran.com/45:29" TargetMode="External"/><Relationship Id="rId20" Type="http://schemas.openxmlformats.org/officeDocument/2006/relationships/hyperlink" Target="https://quran.ksu.edu.sa/tafseer/tabary/sura45-aya29.html" TargetMode="External"/><Relationship Id="rId21" Type="http://schemas.openxmlformats.org/officeDocument/2006/relationships/hyperlink" Target="https://quran.ksu.edu.sa/tafseer/qortobi/sura45-aya29.html" TargetMode="External"/><Relationship Id="rId22" Type="http://schemas.openxmlformats.org/officeDocument/2006/relationships/hyperlink" Target="https://quran.com/45:30" TargetMode="External"/><Relationship Id="rId23" Type="http://schemas.openxmlformats.org/officeDocument/2006/relationships/hyperlink" Target="https://quran.com/45:31" TargetMode="External"/><Relationship Id="rId24" Type="http://schemas.openxmlformats.org/officeDocument/2006/relationships/hyperlink" Target="https://quran.com/45:32" TargetMode="External"/><Relationship Id="rId25" Type="http://schemas.openxmlformats.org/officeDocument/2006/relationships/hyperlink" Target="https://quran.com/45:2" TargetMode="External"/><Relationship Id="rId26" Type="http://schemas.openxmlformats.org/officeDocument/2006/relationships/hyperlink" Target="https://quran.com/45:3" TargetMode="External"/><Relationship Id="rId27" Type="http://schemas.openxmlformats.org/officeDocument/2006/relationships/hyperlink" Target="https://quran.com/45:4" TargetMode="External"/><Relationship Id="rId28" Type="http://schemas.openxmlformats.org/officeDocument/2006/relationships/hyperlink" Target="https://quran.com/45:5" TargetMode="External"/><Relationship Id="rId29" Type="http://schemas.openxmlformats.org/officeDocument/2006/relationships/hyperlink" Target="https://quran.com/45:6" TargetMode="External"/><Relationship Id="rId30" Type="http://schemas.openxmlformats.org/officeDocument/2006/relationships/hyperlink" Target="https://quran.com/45:21" TargetMode="External"/><Relationship Id="rId31" Type="http://schemas.openxmlformats.org/officeDocument/2006/relationships/hyperlink" Target="https://quran.com/45:22" TargetMode="External"/><Relationship Id="rId32" Type="http://schemas.openxmlformats.org/officeDocument/2006/relationships/hyperlink" Target="https://quran.com/4:82" TargetMode="External"/><Relationship Id="rId33" Type="http://schemas.openxmlformats.org/officeDocument/2006/relationships/hyperlink" Target="https://quran.com/3:189" TargetMode="External"/><Relationship Id="rId34" Type="http://schemas.openxmlformats.org/officeDocument/2006/relationships/hyperlink" Target="https://quran.com/3:190" TargetMode="External"/><Relationship Id="rId35" Type="http://schemas.openxmlformats.org/officeDocument/2006/relationships/hyperlink" Target="https://quran.com/3:191" TargetMode="External"/><Relationship Id="rId36" Type="http://schemas.openxmlformats.org/officeDocument/2006/relationships/hyperlink" Target="https://quran.com/3:192" TargetMode="External"/><Relationship Id="rId37" Type="http://schemas.openxmlformats.org/officeDocument/2006/relationships/hyperlink" Target="https://quran.com/3:193" TargetMode="External"/><Relationship Id="rId38" Type="http://schemas.openxmlformats.org/officeDocument/2006/relationships/hyperlink" Target="https://quran.com/3:194" TargetMode="External"/><Relationship Id="rId39" Type="http://schemas.openxmlformats.org/officeDocument/2006/relationships/hyperlink" Target="https://quran.com/41:53" TargetMode="External"/><Relationship Id="rId40" Type="http://schemas.openxmlformats.org/officeDocument/2006/relationships/hyperlink" Target="https://quran.com/54:49" TargetMode="External"/><Relationship Id="rId41" Type="http://schemas.openxmlformats.org/officeDocument/2006/relationships/hyperlink" Target="https://quran.com/6:59" TargetMode="External"/><Relationship Id="rId42" Type="http://schemas.openxmlformats.org/officeDocument/2006/relationships/hyperlink" Target="https://quran.com/10:61" TargetMode="External"/><Relationship Id="rId43" Type="http://schemas.openxmlformats.org/officeDocument/2006/relationships/hyperlink" Target="https://quran.com/22:70" TargetMode="External"/><Relationship Id="rId44" Type="http://schemas.openxmlformats.org/officeDocument/2006/relationships/hyperlink" Target="https://quran.com/57:22" TargetMode="External"/><Relationship Id="rId45" Type="http://schemas.openxmlformats.org/officeDocument/2006/relationships/hyperlink" Target="https://quran.com/57:23" TargetMode="External"/><Relationship Id="rId46" Type="http://schemas.openxmlformats.org/officeDocument/2006/relationships/hyperlink" Target="https://quran.com/85:21" TargetMode="External"/><Relationship Id="rId47" Type="http://schemas.openxmlformats.org/officeDocument/2006/relationships/hyperlink" Target="https://quran.com/85:22" TargetMode="External"/><Relationship Id="rId48" Type="http://schemas.openxmlformats.org/officeDocument/2006/relationships/hyperlink" Target="https://quran.com/43:2" TargetMode="External"/><Relationship Id="rId49" Type="http://schemas.openxmlformats.org/officeDocument/2006/relationships/hyperlink" Target="https://quran.com/43:3" TargetMode="External"/><Relationship Id="rId50" Type="http://schemas.openxmlformats.org/officeDocument/2006/relationships/hyperlink" Target="https://quran.com/43:4" TargetMode="External"/><Relationship Id="rId51" Type="http://schemas.openxmlformats.org/officeDocument/2006/relationships/hyperlink" Target="https://quran.com/13:39" TargetMode="External"/><Relationship Id="rId52" Type="http://schemas.openxmlformats.org/officeDocument/2006/relationships/hyperlink" Target="https://thequran.love/2026/08/15/the-mother-of-the-book-and-the-four-books-of-god-how-umm-al-kitab-rhymes-with-the-quranic-cosmology-of-zia-h-shah-md/" TargetMode="External"/><Relationship Id="rId53" Type="http://schemas.openxmlformats.org/officeDocument/2006/relationships/hyperlink" Target="https://quran.com/35:41" TargetMode="External"/><Relationship Id="rId54" Type="http://schemas.openxmlformats.org/officeDocument/2006/relationships/hyperlink" Target="https://quran.com/55:29" TargetMode="External"/><Relationship Id="rId55" Type="http://schemas.openxmlformats.org/officeDocument/2006/relationships/hyperlink" Target="https://quran.com/36:12" TargetMode="External"/><Relationship Id="rId56" Type="http://schemas.openxmlformats.org/officeDocument/2006/relationships/hyperlink" Target="https://quran.com/50:16" TargetMode="External"/><Relationship Id="rId57" Type="http://schemas.openxmlformats.org/officeDocument/2006/relationships/hyperlink" Target="https://quran.com/50:17" TargetMode="External"/><Relationship Id="rId58" Type="http://schemas.openxmlformats.org/officeDocument/2006/relationships/hyperlink" Target="https://quran.com/50:18" TargetMode="External"/><Relationship Id="rId59" Type="http://schemas.openxmlformats.org/officeDocument/2006/relationships/hyperlink" Target="https://quran.com/82:10" TargetMode="External"/><Relationship Id="rId60" Type="http://schemas.openxmlformats.org/officeDocument/2006/relationships/hyperlink" Target="https://quran.com/82:11" TargetMode="External"/><Relationship Id="rId61" Type="http://schemas.openxmlformats.org/officeDocument/2006/relationships/hyperlink" Target="https://quran.com/82:12" TargetMode="External"/><Relationship Id="rId62" Type="http://schemas.openxmlformats.org/officeDocument/2006/relationships/hyperlink" Target="https://quran.com/54:52" TargetMode="External"/><Relationship Id="rId63" Type="http://schemas.openxmlformats.org/officeDocument/2006/relationships/hyperlink" Target="https://quran.com/54:53" TargetMode="External"/><Relationship Id="rId64" Type="http://schemas.openxmlformats.org/officeDocument/2006/relationships/hyperlink" Target="https://quran.com/78:29" TargetMode="External"/><Relationship Id="rId65" Type="http://schemas.openxmlformats.org/officeDocument/2006/relationships/hyperlink" Target="https://quran.com/58:6" TargetMode="External"/><Relationship Id="rId66" Type="http://schemas.openxmlformats.org/officeDocument/2006/relationships/hyperlink" Target="https://quran.com/17:13" TargetMode="External"/><Relationship Id="rId67" Type="http://schemas.openxmlformats.org/officeDocument/2006/relationships/hyperlink" Target="https://quran.com/17:14" TargetMode="External"/><Relationship Id="rId68" Type="http://schemas.openxmlformats.org/officeDocument/2006/relationships/hyperlink" Target="https://quran.com/18:49" TargetMode="External"/><Relationship Id="rId69" Type="http://schemas.openxmlformats.org/officeDocument/2006/relationships/hyperlink" Target="https://quran.com/23:62" TargetMode="External"/><Relationship Id="rId70" Type="http://schemas.openxmlformats.org/officeDocument/2006/relationships/hyperlink" Target="https://quran.com/21:47" TargetMode="External"/><Relationship Id="rId71" Type="http://schemas.openxmlformats.org/officeDocument/2006/relationships/hyperlink" Target="https://quran.com/36:65" TargetMode="External"/><Relationship Id="rId72" Type="http://schemas.openxmlformats.org/officeDocument/2006/relationships/hyperlink" Target="https://quran.com/41:20" TargetMode="External"/><Relationship Id="rId73" Type="http://schemas.openxmlformats.org/officeDocument/2006/relationships/hyperlink" Target="https://quran.com/41:21" TargetMode="External"/><Relationship Id="rId74" Type="http://schemas.openxmlformats.org/officeDocument/2006/relationships/hyperlink" Target="https://quran.com/99:4" TargetMode="External"/><Relationship Id="rId75" Type="http://schemas.openxmlformats.org/officeDocument/2006/relationships/hyperlink" Target="https://quran.com/99:5" TargetMode="External"/><Relationship Id="rId76" Type="http://schemas.openxmlformats.org/officeDocument/2006/relationships/hyperlink" Target="https://quran.com/99:6" TargetMode="External"/><Relationship Id="rId77" Type="http://schemas.openxmlformats.org/officeDocument/2006/relationships/hyperlink" Target="https://quran.com/99:7" TargetMode="External"/><Relationship Id="rId78" Type="http://schemas.openxmlformats.org/officeDocument/2006/relationships/hyperlink" Target="https://quran.com/99:8" TargetMode="External"/><Relationship Id="rId79" Type="http://schemas.openxmlformats.org/officeDocument/2006/relationships/hyperlink" Target="https://quran.com/81:10" TargetMode="External"/><Relationship Id="rId80" Type="http://schemas.openxmlformats.org/officeDocument/2006/relationships/hyperlink" Target="https://quran.com/69:19" TargetMode="External"/><Relationship Id="rId81" Type="http://schemas.openxmlformats.org/officeDocument/2006/relationships/hyperlink" Target="https://quran.com/69:25" TargetMode="External"/><Relationship Id="rId82" Type="http://schemas.openxmlformats.org/officeDocument/2006/relationships/hyperlink" Target="https://arxiv.org/abs/quant-ph/0306072" TargetMode="External"/><Relationship Id="rId83" Type="http://schemas.openxmlformats.org/officeDocument/2006/relationships/hyperlink" Target="https://arxiv.org/abs/2006.06872" TargetMode="External"/><Relationship Id="rId84" Type="http://schemas.openxmlformats.org/officeDocument/2006/relationships/hyperlink" Target="https://arxiv.org/abs/0903.5082" TargetMode="External"/><Relationship Id="rId85" Type="http://schemas.openxmlformats.org/officeDocument/2006/relationships/hyperlink" Target="https://arxiv.org/abs/1809.10456" TargetMode="External"/><Relationship Id="rId86" Type="http://schemas.openxmlformats.org/officeDocument/2006/relationships/hyperlink" Target="https://arxiv.org/abs/gr-qc/0603046" TargetMode="External"/><Relationship Id="rId87" Type="http://schemas.openxmlformats.org/officeDocument/2006/relationships/hyperlink" Target="https://arxiv.org/abs/1004.5073" TargetMode="External"/><Relationship Id="rId88" Type="http://schemas.openxmlformats.org/officeDocument/2006/relationships/hyperlink" Target="https://www.nature.com/articles/299802a0" TargetMode="External"/><Relationship Id="rId89" Type="http://schemas.openxmlformats.org/officeDocument/2006/relationships/hyperlink" Target="https://arxiv.org/abs/1503.06537" TargetMode="External"/><Relationship Id="rId90" Type="http://schemas.openxmlformats.org/officeDocument/2006/relationships/hyperlink" Target="https://arxiv.org/abs/hep-th/9711200" TargetMode="External"/><Relationship Id="rId91" Type="http://schemas.openxmlformats.org/officeDocument/2006/relationships/hyperlink" Target="https://arxiv.org/abs/1911.12333" TargetMode="External"/><Relationship Id="rId92" Type="http://schemas.openxmlformats.org/officeDocument/2006/relationships/hyperlink" Target="https://arxiv.org/abs/1508.05949" TargetMode="External"/><Relationship Id="rId93" Type="http://schemas.openxmlformats.org/officeDocument/2006/relationships/hyperlink" Target="https://simulation-argument.com/simulation.pdf" TargetMode="External"/><Relationship Id="rId94" Type="http://schemas.openxmlformats.org/officeDocument/2006/relationships/hyperlink" Target="https://arxiv.org/abs/quant-ph/0110141" TargetMode="External"/><Relationship Id="rId95" Type="http://schemas.openxmlformats.org/officeDocument/2006/relationships/hyperlink" Target="https://arxiv.org/abs/1210.1847" TargetMode="External"/><Relationship Id="rId96" Type="http://schemas.openxmlformats.org/officeDocument/2006/relationships/hyperlink" Target="https://arxiv.org/abs/1112.4647" TargetMode="External"/><Relationship Id="rId97" Type="http://schemas.openxmlformats.org/officeDocument/2006/relationships/hyperlink" Target="https://quran.com/76:29" TargetMode="External"/><Relationship Id="rId98" Type="http://schemas.openxmlformats.org/officeDocument/2006/relationships/hyperlink" Target="https://quran.com/76:30" TargetMode="External"/><Relationship Id="rId99" Type="http://schemas.openxmlformats.org/officeDocument/2006/relationships/hyperlink" Target="https://quran.com/53:39" TargetMode="External"/><Relationship Id="rId100" Type="http://schemas.openxmlformats.org/officeDocument/2006/relationships/hyperlink" Target="https://quran.com/53:40" TargetMode="External"/><Relationship Id="rId101" Type="http://schemas.openxmlformats.org/officeDocument/2006/relationships/hyperlink" Target="https://quran.com/53:41" TargetMode="External"/><Relationship Id="rId102" Type="http://schemas.openxmlformats.org/officeDocument/2006/relationships/hyperlink" Target="https://quran.com/53:42" TargetMode="External"/><Relationship Id="rId103" Type="http://schemas.openxmlformats.org/officeDocument/2006/relationships/hyperlink" Target="https://quran.com/17:85" TargetMode="External"/><Relationship Id="rId104" Type="http://schemas.openxmlformats.org/officeDocument/2006/relationships/hyperlink" Target="https://quran.com/39:42" TargetMode="External"/><Relationship Id="rId105" Type="http://schemas.openxmlformats.org/officeDocument/2006/relationships/hyperlink" Target="https://pubmed.ncbi.nlm.nih.gov/28394322/" TargetMode="External"/><Relationship Id="rId106" Type="http://schemas.openxmlformats.org/officeDocument/2006/relationships/hyperlink" Target="https://quran.com/50:4" TargetMode="External"/><Relationship Id="rId107" Type="http://schemas.openxmlformats.org/officeDocument/2006/relationships/hyperlink" Target="https://quran.com/36:78" TargetMode="External"/><Relationship Id="rId108" Type="http://schemas.openxmlformats.org/officeDocument/2006/relationships/hyperlink" Target="https://quran.com/36:79" TargetMode="External"/><Relationship Id="rId109" Type="http://schemas.openxmlformats.org/officeDocument/2006/relationships/hyperlink" Target="https://quran.com/75:3" TargetMode="External"/><Relationship Id="rId110" Type="http://schemas.openxmlformats.org/officeDocument/2006/relationships/hyperlink" Target="https://quran.com/75:4" TargetMode="External"/><Relationship Id="rId111" Type="http://schemas.openxmlformats.org/officeDocument/2006/relationships/hyperlink" Target="https://quran.com/6:103" TargetMode="External"/><Relationship Id="rId112" Type="http://schemas.openxmlformats.org/officeDocument/2006/relationships/hyperlink" Target="https://quran.com/39:53" TargetMode="External"/><Relationship Id="rId113" Type="http://schemas.openxmlformats.org/officeDocument/2006/relationships/hyperlink" Target="https://quran.com/25:70" TargetMode="External"/><Relationship Id="rId114" Type="http://schemas.openxmlformats.org/officeDocument/2006/relationships/hyperlink" Target="https://quran.com/50:22" TargetMode="External"/><Relationship Id="rId115" Type="http://schemas.openxmlformats.org/officeDocument/2006/relationships/hyperlink" Target="https://thequran.love/category/four-books-thesis/" TargetMode="External"/><Relationship Id="rId116" Type="http://schemas.openxmlformats.org/officeDocument/2006/relationships/hyperlink" Target="https://github.com/risan/quran-json" TargetMode="External"/><Relationship Id="rId11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Quran 45 verses 24 to 30 and the Four Books of God</dc:title>
  <dc:subject>Scientific philosophical and theological commentary</dc:subject>
  <dc:creator/>
  <cp:keywords>Quran; Four Books Thesis; Zia H Shah; information; resurrection</cp:keywords>
  <dc:description>generated by python-docx</dc:description>
  <cp:lastModifiedBy/>
  <cp:revision>1</cp:revision>
  <dcterms:created xsi:type="dcterms:W3CDTF">2013-12-23T23:15:00Z</dcterms:created>
  <dcterms:modified xsi:type="dcterms:W3CDTF">2013-12-23T23:15:00Z</dcterms:modified>
  <cp:category/>
</cp:coreProperties>
</file>