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520"/>
        <w:pBdr>
          <w:bottom w:val="single" w:sz="18" w:space="8" w:color="2E74B5"/>
        </w:pBdr>
      </w:pPr>
      <w:r>
        <w:rPr>
          <w:rFonts w:ascii="Calibri" w:hAnsi="Calibri" w:eastAsia="Calibri" w:cs="Calibri"/>
          <w:b/>
          <w:color w:val="2E74B5"/>
          <w:sz w:val="20"/>
        </w:rPr>
        <w:t>DEEP RESEARCH MONOGRAPH</w:t>
      </w:r>
    </w:p>
    <w:p>
      <w:pPr>
        <w:spacing w:after="160" w:line="247" w:lineRule="auto"/>
        <w:jc w:val="left"/>
      </w:pPr>
      <w:r>
        <w:rPr>
          <w:rFonts w:ascii="Calibri" w:hAnsi="Calibri" w:eastAsia="Calibri" w:cs="Calibri"/>
          <w:b/>
          <w:color w:val="1F4D78"/>
          <w:sz w:val="60"/>
        </w:rPr>
        <w:t>By the Sun,</w:t>
        <w:br/>
        <w:t>the Dawn, and the Day</w:t>
      </w:r>
    </w:p>
    <w:p>
      <w:pPr>
        <w:spacing w:after="400" w:line="283" w:lineRule="auto"/>
        <w:jc w:val="left"/>
      </w:pPr>
      <w:r>
        <w:rPr>
          <w:rFonts w:ascii="Calibri" w:hAnsi="Calibri" w:eastAsia="Calibri" w:cs="Calibri"/>
          <w:color w:val="5B6873"/>
          <w:sz w:val="30"/>
        </w:rPr>
        <w:t>A scientific, philosophical, and theological commentary on the Qur’anic solar oaths—from seventh-century horizons to fusion, heliophysics, stellar evolution, and cosmic destiny</w:t>
      </w:r>
    </w:p>
    <w:p>
      <w:pPr>
        <w:spacing w:before="80" w:after="200" w:line="288" w:lineRule="auto"/>
        <w:ind w:left="115" w:right="115"/>
        <w:jc w:val="left"/>
        <w:shd w:fill="EDF4F9"/>
        <w:pBdr>
          <w:top w:val="single" w:sz="6" w:space="5" w:color="D8E5F0"/>
          <w:left w:val="single" w:sz="6" w:space="5" w:color="D8E5F0"/>
          <w:bottom w:val="single" w:sz="6" w:space="5" w:color="D8E5F0"/>
          <w:right w:val="single" w:sz="6" w:space="5" w:color="D8E5F0"/>
        </w:pBdr>
      </w:pPr>
      <w:r>
        <w:rPr>
          <w:rFonts w:ascii="Calibri" w:hAnsi="Calibri" w:eastAsia="Calibri" w:cs="Calibri"/>
          <w:b/>
          <w:color w:val="1F4D78"/>
          <w:sz w:val="21"/>
        </w:rPr>
        <w:t>CENTRAL THESIS</w:t>
      </w:r>
      <w:r>
        <w:br/>
      </w:r>
      <w:r>
        <w:rPr>
          <w:rFonts w:ascii="Calibri" w:hAnsi="Calibri" w:eastAsia="Calibri" w:cs="Calibri"/>
          <w:color w:val="1E2933"/>
          <w:sz w:val="20"/>
        </w:rPr>
        <w:t>The Arabic text has not changed. What has grown is the human horizon of the things it names: the visible Sun has become a gravitationally bound plasma star, a quantum-fusion engine, the architect of a planetary system, a source of both life and hazard, and a mortal member of a vast stellar population. That enlargement makes the oaths epistemically denser without turning the Qur’an into a physics manual.</w:t>
      </w:r>
    </w:p>
    <w:p>
      <w:pPr>
        <w:spacing w:before="520"/>
      </w:pPr>
      <w:r>
        <w:rPr>
          <w:rFonts w:ascii="Calibri" w:hAnsi="Calibri" w:eastAsia="Calibri" w:cs="Calibri"/>
          <w:b/>
          <w:color w:val="1E2933"/>
          <w:sz w:val="24"/>
        </w:rPr>
        <w:t>Prepared for Zia H. Shah, MD</w:t>
      </w:r>
    </w:p>
    <w:p>
      <w:pPr>
        <w:spacing w:after="0"/>
      </w:pPr>
      <w:r>
        <w:rPr>
          <w:rFonts w:ascii="Calibri" w:hAnsi="Calibri" w:eastAsia="Calibri" w:cs="Calibri"/>
          <w:color w:val="5B6873"/>
          <w:sz w:val="20"/>
        </w:rPr>
        <w:t>Research current to 2 September 2026  •  Arabic text with six translation witnesses  •  Source-audited edition</w:t>
      </w:r>
    </w:p>
    <w:p>
      <w:r>
        <w:br w:type="page"/>
      </w:r>
    </w:p>
    <w:p>
      <w:pPr>
        <w:pStyle w:val="Heading1"/>
        <w:keepNext/>
      </w:pPr>
      <w:r>
        <w:t>Abstract</w:t>
      </w:r>
    </w:p>
    <w:p>
      <w:r>
        <w:rPr>
          <w:i w:val="0"/>
        </w:rPr>
        <w:t>The Qur’an repeatedly arrests attention by swearing by the Sun, daylight, dawn, morning radiance, declining time, twilight, and the many horizons of sunrise and sunset. This monograph establishes a complete and transparent corpus: seven direct solar/daybreak oaths (Q 91:1, 91:3, 92:2, 93:1, 89:1, 81:18, and 74:34), three closely related solar-boundary oaths (Q 103:1, 84:16, and 70:40), and two eschatological uses of “Day” in oaths (Q 75:1 and 85:2). Each is presented in Arabic and six widely read English translations. The oath is then read as a structured argument: an oath-particle summons a witness, and the witness illuminates the claim that follows—moral purification, divergent striving, prophetic reassurance, revelation’s integrity, warning, resurrection, or judgment.</w:t>
      </w:r>
    </w:p>
    <w:p>
      <w:r>
        <w:rPr>
          <w:i w:val="0"/>
        </w:rPr>
        <w:t>The historical comparison distinguishes the distributed high-water mark of seventh-century astronomy from ordinary Arabian experience. Specialists inherited powerful geometrical and calendrical traditions: Ptolemaic prediction, Indian work on Earth’s rotation and eclipses, Sasanian tables, Chinese eclipse and sunspot records, and Mesoamerican calendrics. Yet no one knew the Sun’s true scale and distance with modern accuracy, its plasma state, elemental spectrum, nuclear fusion, neutrinos, magnetic dynamo, solar wind, galactic orbit, age, or life cycle. Modern heliophysics therefore makes the referent of the Qur’anic oath vastly richer.</w:t>
      </w:r>
    </w:p>
    <w:p>
      <w:r>
        <w:rPr>
          <w:i w:val="0"/>
        </w:rPr>
        <w:t>Scientifically, the report follows the Sun from cosmic nucleosynthesis and nebular collapse through hydrostatic equilibrium, proton–proton fusion, radiation and convection, magnetic activity, the solar wind, and the architecture of the solar system. It explains Earth’s 1-AU energy balance, the habitable-zone concept, the atmosphere, ozone, magnetosphere, radiation belts, and heliosphere, while stressing that habitability is systemic rather than a matter of distance alone. It places the G2V Sun on the main sequence, surveys stellar classes and endpoints, and traces the Sun toward red giant, planetary-nebula, and white-dwarf stages. The eventual engulfment of Earth is explicitly marked as model-dependent, although Earth’s biosphere ends much earlier as solar luminosity rises.</w:t>
      </w:r>
    </w:p>
    <w:p>
      <w:r>
        <w:rPr>
          <w:i w:val="0"/>
        </w:rPr>
        <w:t>Philosophically and theologically, the report adopts the strongest insight running through Zia H. Shah MD’s oath corpus: creation is summoned as testimony, not installed as deity. The scientific revolution has not rewritten the verses; it has enlarged the hearer’s evidence. This is a defensible “growth” in reception—provided modern science is used as disciplined resonance rather than reverse-engineered prediction, and theological meaning remains distinguishable from empirical result.</w:t>
      </w:r>
    </w:p>
    <w:p>
      <w:pPr>
        <w:pStyle w:val="Heading1"/>
        <w:keepNext/>
      </w:pPr>
      <w:r>
        <w:t>Contents and reading map</w:t>
      </w:r>
    </w:p>
    <w:p>
      <w:pPr>
        <w:pStyle w:val="ListBullet"/>
        <w:spacing w:after="80" w:line="290" w:lineRule="auto"/>
        <w:ind w:left="540" w:hanging="279"/>
      </w:pPr>
      <w:r>
        <w:t>1. Corpus, definitions, and completeness</w:t>
      </w:r>
    </w:p>
    <w:p>
      <w:pPr>
        <w:pStyle w:val="ListBullet"/>
        <w:spacing w:after="80" w:line="290" w:lineRule="auto"/>
        <w:ind w:left="540" w:hanging="279"/>
      </w:pPr>
      <w:r>
        <w:t>2. Arabic text and six-translation dossier</w:t>
      </w:r>
    </w:p>
    <w:p>
      <w:pPr>
        <w:pStyle w:val="ListBullet"/>
        <w:spacing w:after="80" w:line="290" w:lineRule="auto"/>
        <w:ind w:left="540" w:hanging="279"/>
      </w:pPr>
      <w:r>
        <w:t>3. How Qur’anic oaths reason</w:t>
      </w:r>
    </w:p>
    <w:p>
      <w:pPr>
        <w:pStyle w:val="ListBullet"/>
        <w:spacing w:after="80" w:line="290" w:lineRule="auto"/>
        <w:ind w:left="540" w:hanging="279"/>
      </w:pPr>
      <w:r>
        <w:t>4. Verse-by-verse scientific, philosophical, and theological commentary</w:t>
      </w:r>
    </w:p>
    <w:p>
      <w:pPr>
        <w:pStyle w:val="ListBullet"/>
        <w:spacing w:after="80" w:line="290" w:lineRule="auto"/>
        <w:ind w:left="540" w:hanging="279"/>
      </w:pPr>
      <w:r>
        <w:t>5. What humanity could know in the seventh century</w:t>
      </w:r>
    </w:p>
    <w:p>
      <w:pPr>
        <w:pStyle w:val="ListBullet"/>
        <w:spacing w:after="80" w:line="290" w:lineRule="auto"/>
        <w:ind w:left="540" w:hanging="279"/>
      </w:pPr>
      <w:r>
        <w:t>6. The scientific revolution and the enlargement of the oath</w:t>
      </w:r>
    </w:p>
    <w:p>
      <w:pPr>
        <w:pStyle w:val="ListBullet"/>
        <w:spacing w:after="80" w:line="290" w:lineRule="auto"/>
        <w:ind w:left="540" w:hanging="279"/>
      </w:pPr>
      <w:r>
        <w:t>7. The modern Sun: scale, anatomy, fusion, light, neutrinos, and magnetism</w:t>
      </w:r>
    </w:p>
    <w:p>
      <w:pPr>
        <w:pStyle w:val="ListBullet"/>
        <w:spacing w:after="80" w:line="290" w:lineRule="auto"/>
        <w:ind w:left="540" w:hanging="279"/>
      </w:pPr>
      <w:r>
        <w:t>8. The solar system, Earth’s suitable distance, and layered protection</w:t>
      </w:r>
    </w:p>
    <w:p>
      <w:pPr>
        <w:pStyle w:val="ListBullet"/>
        <w:spacing w:after="80" w:line="290" w:lineRule="auto"/>
        <w:ind w:left="540" w:hanging="279"/>
      </w:pPr>
      <w:r>
        <w:t>9. Cosmology, star types, and the Sun’s place among them</w:t>
      </w:r>
    </w:p>
    <w:p>
      <w:pPr>
        <w:pStyle w:val="ListBullet"/>
        <w:spacing w:after="80" w:line="290" w:lineRule="auto"/>
        <w:ind w:left="540" w:hanging="279"/>
      </w:pPr>
      <w:r>
        <w:t>10. The Sun’s future and the eventual fate of Earth</w:t>
      </w:r>
    </w:p>
    <w:p>
      <w:pPr>
        <w:pStyle w:val="ListBullet"/>
        <w:spacing w:after="80" w:line="290" w:lineRule="auto"/>
        <w:ind w:left="540" w:hanging="279"/>
      </w:pPr>
      <w:r>
        <w:t>11. Philosophical and theological synthesis</w:t>
      </w:r>
    </w:p>
    <w:p>
      <w:pPr>
        <w:pStyle w:val="ListBullet"/>
        <w:spacing w:after="80" w:line="290" w:lineRule="auto"/>
        <w:ind w:left="540" w:hanging="279"/>
      </w:pPr>
      <w:r>
        <w:t>12. Zia H. Shah MD’s Qur’anic-oath project: complete category synthesis</w:t>
      </w:r>
    </w:p>
    <w:p>
      <w:pPr>
        <w:pStyle w:val="ListBullet"/>
        <w:spacing w:after="80" w:line="290" w:lineRule="auto"/>
        <w:ind w:left="540" w:hanging="279"/>
      </w:pPr>
      <w:r>
        <w:t>Thematic epilogue; appendices; source notes</w:t>
      </w:r>
    </w:p>
    <w:p>
      <w:pPr>
        <w:spacing w:before="80" w:after="200" w:line="288" w:lineRule="auto"/>
        <w:ind w:left="115" w:right="115"/>
        <w:jc w:val="left"/>
        <w:shd w:fill="EAF2F8"/>
        <w:pBdr>
          <w:top w:val="single" w:sz="6" w:space="5" w:color="D8E5F0"/>
          <w:left w:val="single" w:sz="6" w:space="5" w:color="D8E5F0"/>
          <w:bottom w:val="single" w:sz="6" w:space="5" w:color="D8E5F0"/>
          <w:right w:val="single" w:sz="6" w:space="5" w:color="D8E5F0"/>
        </w:pBdr>
      </w:pPr>
      <w:r>
        <w:rPr>
          <w:rFonts w:ascii="Calibri" w:hAnsi="Calibri" w:eastAsia="Calibri" w:cs="Calibri"/>
          <w:b/>
          <w:color w:val="1F4D78"/>
          <w:sz w:val="21"/>
        </w:rPr>
        <w:t>SCOPE NOTE</w:t>
      </w:r>
      <w:r>
        <w:br/>
      </w:r>
      <w:r>
        <w:rPr>
          <w:rFonts w:ascii="Calibri" w:hAnsi="Calibri" w:eastAsia="Calibri" w:cs="Calibri"/>
          <w:color w:val="1E2933"/>
          <w:sz w:val="20"/>
        </w:rPr>
        <w:t>“The whole nine yards” is interpreted as a comprehensive, source-audited synthesis—not as a catalogue of every solar measurement, every known minor body, or every paper in astrophysics. Dynamic counts (moons, asteroids, comets) are therefore reported in rounded form and tied to NASA’s current summaries. Historical knowledge is treated as distributed across civilizations, not falsely attributed to every seventh-century person.</w:t>
      </w:r>
    </w:p>
    <w:p>
      <w:pPr>
        <w:pStyle w:val="Heading1"/>
        <w:keepNext/>
      </w:pPr>
      <w:r>
        <w:t>1. Corpus, definitions, and completeness</w:t>
      </w:r>
    </w:p>
    <w:p>
      <w:pPr>
        <w:pStyle w:val="Heading2"/>
        <w:keepNext/>
      </w:pPr>
      <w:r>
        <w:t>1.1 What counts as an oath?</w:t>
      </w:r>
    </w:p>
    <w:p>
      <w:r>
        <w:rPr>
          <w:i w:val="0"/>
        </w:rPr>
        <w:t>The basic Arabic term is qasam (plural aqsām). In its most visible form, a short Meccan passage begins with the jurative particle wa—“by”—followed by a noun in the genitive. Classical analysis distinguishes the oath marker (adāt al-qasam), the thing summoned as witness (muqsam bihi), and the claim affirmed by the oath (muqsam ʿalayhi or jawāb al-qasam). The claim may be explicit, delayed, or understood from the passage. Farahi’s distinctive contribution was to insist that the sworn object is not ornamental: it supplies evidence, analogy, or a fitting witness for the proposition that follows. [2]</w:t>
      </w:r>
    </w:p>
    <w:p>
      <w:r>
        <w:rPr>
          <w:i w:val="0"/>
        </w:rPr>
        <w:t>This report searches the oath corpus by Arabic semantic field, not merely by the English word “day.” It includes al-shams (Sun), al-nahār (daylight/day), al-ḍuḥā (morning brightness/forenoon), al-fajr and al-ṣubḥ (dawn/morning), al-ʿaṣr (time/declining day), al-shafaq (twilight afterglow), and the plural horizons al-mashāriq wa’l-maghārib. It then separates yawm as an eschatological “Day” from physical daylight. [1,4]</w:t>
      </w:r>
    </w:p>
    <w:p>
      <w:pPr>
        <w:pStyle w:val="Heading2"/>
        <w:keepNext/>
      </w:pPr>
      <w:r>
        <w:t>1.2 The complete corpus</w:t>
      </w:r>
    </w:p>
    <w:tbl>
      <w:tblPr>
        <w:tblW w:type="auto" w:w="0"/>
        <w:jc w:val="center"/>
        <w:tblLayout w:type="fixed"/>
        <w:tblLook w:firstColumn="1" w:firstRow="1" w:lastColumn="0" w:lastRow="0" w:noHBand="0" w:noVBand="1" w:val="04A0"/>
        <w:tblBorders>
          <w:top w:val="single" w:sz="4" w:space="0" w:color="D9E1E8"/>
          <w:left w:val="single" w:sz="4" w:space="0" w:color="D9E1E8"/>
          <w:bottom w:val="single" w:sz="4" w:space="0" w:color="D9E1E8"/>
          <w:right w:val="single" w:sz="4" w:space="0" w:color="D9E1E8"/>
          <w:insideH w:val="single" w:sz="4" w:space="0" w:color="D9E1E8"/>
          <w:insideV w:val="single" w:sz="4" w:space="0" w:color="D9E1E8"/>
        </w:tblBorders>
      </w:tblPr>
      <w:tblGrid>
        <w:gridCol w:w="3120"/>
        <w:gridCol w:w="3120"/>
        <w:gridCol w:w="3120"/>
      </w:tblGrid>
      <w:tr>
        <w:trPr>
          <w:tblHeader w:val="true"/>
        </w:trPr>
        <w:tc>
          <w:tcPr>
            <w:tcW w:type="dxa" w:w="1152"/>
            <w:shd w:fill="F4F6F9"/>
            <w:tcMar>
              <w:top w:w="80" w:type="dxa"/>
              <w:start w:w="120" w:type="dxa"/>
              <w:bottom w:w="80" w:type="dxa"/>
              <w:end w:w="120" w:type="dxa"/>
            </w:tcMar>
            <w:vAlign w:val="center"/>
          </w:tcPr>
          <w:p>
            <w:r>
              <w:rPr>
                <w:rFonts w:ascii="Calibri" w:hAnsi="Calibri" w:eastAsia="Calibri" w:cs="Calibri"/>
                <w:b/>
                <w:color w:val="1F4D78"/>
                <w:sz w:val="18"/>
              </w:rPr>
              <w:t>Verse</w:t>
            </w:r>
          </w:p>
        </w:tc>
        <w:tc>
          <w:tcPr>
            <w:tcW w:type="dxa" w:w="2592"/>
            <w:shd w:fill="F4F6F9"/>
            <w:tcMar>
              <w:top w:w="80" w:type="dxa"/>
              <w:start w:w="120" w:type="dxa"/>
              <w:bottom w:w="80" w:type="dxa"/>
              <w:end w:w="120" w:type="dxa"/>
            </w:tcMar>
            <w:vAlign w:val="center"/>
          </w:tcPr>
          <w:p>
            <w:r>
              <w:rPr>
                <w:rFonts w:ascii="Calibri" w:hAnsi="Calibri" w:eastAsia="Calibri" w:cs="Calibri"/>
                <w:b/>
                <w:color w:val="1F4D78"/>
                <w:sz w:val="18"/>
              </w:rPr>
              <w:t>Classification</w:t>
            </w:r>
          </w:p>
        </w:tc>
        <w:tc>
          <w:tcPr>
            <w:tcW w:type="dxa" w:w="5616"/>
            <w:shd w:fill="F4F6F9"/>
            <w:tcMar>
              <w:top w:w="80" w:type="dxa"/>
              <w:start w:w="120" w:type="dxa"/>
              <w:bottom w:w="80" w:type="dxa"/>
              <w:end w:w="120" w:type="dxa"/>
            </w:tcMar>
            <w:vAlign w:val="center"/>
          </w:tcPr>
          <w:p>
            <w:r>
              <w:rPr>
                <w:rFonts w:ascii="Calibri" w:hAnsi="Calibri" w:eastAsia="Calibri" w:cs="Calibri"/>
                <w:b/>
                <w:color w:val="1F4D78"/>
                <w:sz w:val="18"/>
              </w:rPr>
              <w:t>Primary object</w:t>
            </w:r>
          </w:p>
        </w:tc>
      </w:tr>
      <w:tr>
        <w:tc>
          <w:tcPr>
            <w:tcW w:type="dxa" w:w="1152"/>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91:1</w:t>
            </w:r>
          </w:p>
        </w:tc>
        <w:tc>
          <w:tcPr>
            <w:tcW w:type="dxa" w:w="2592"/>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Direct solar oath</w:t>
            </w:r>
          </w:p>
        </w:tc>
        <w:tc>
          <w:tcPr>
            <w:tcW w:type="dxa" w:w="5616"/>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The Sun and its morning radiance</w:t>
            </w:r>
          </w:p>
        </w:tc>
      </w:tr>
      <w:tr>
        <w:tc>
          <w:tcPr>
            <w:tcW w:type="dxa" w:w="1152"/>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91:3</w:t>
            </w:r>
          </w:p>
        </w:tc>
        <w:tc>
          <w:tcPr>
            <w:tcW w:type="dxa" w:w="2592"/>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Direct daylight oath</w:t>
            </w:r>
          </w:p>
        </w:tc>
        <w:tc>
          <w:tcPr>
            <w:tcW w:type="dxa" w:w="5616"/>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The day as disclosure</w:t>
            </w:r>
          </w:p>
        </w:tc>
      </w:tr>
      <w:tr>
        <w:tc>
          <w:tcPr>
            <w:tcW w:type="dxa" w:w="1152"/>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92:2</w:t>
            </w:r>
          </w:p>
        </w:tc>
        <w:tc>
          <w:tcPr>
            <w:tcW w:type="dxa" w:w="2592"/>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Direct daylight oath</w:t>
            </w:r>
          </w:p>
        </w:tc>
        <w:tc>
          <w:tcPr>
            <w:tcW w:type="dxa" w:w="5616"/>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The radiant day and divergent striving</w:t>
            </w:r>
          </w:p>
        </w:tc>
      </w:tr>
      <w:tr>
        <w:tc>
          <w:tcPr>
            <w:tcW w:type="dxa" w:w="1152"/>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93:1</w:t>
            </w:r>
          </w:p>
        </w:tc>
        <w:tc>
          <w:tcPr>
            <w:tcW w:type="dxa" w:w="2592"/>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Direct morning oath</w:t>
            </w:r>
          </w:p>
        </w:tc>
        <w:tc>
          <w:tcPr>
            <w:tcW w:type="dxa" w:w="5616"/>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Morning brightness and prophetic reassurance</w:t>
            </w:r>
          </w:p>
        </w:tc>
      </w:tr>
      <w:tr>
        <w:tc>
          <w:tcPr>
            <w:tcW w:type="dxa" w:w="1152"/>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89:1</w:t>
            </w:r>
          </w:p>
        </w:tc>
        <w:tc>
          <w:tcPr>
            <w:tcW w:type="dxa" w:w="2592"/>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Direct dawn oath</w:t>
            </w:r>
          </w:p>
        </w:tc>
        <w:tc>
          <w:tcPr>
            <w:tcW w:type="dxa" w:w="5616"/>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Dawn, moral memory, and judgment</w:t>
            </w:r>
          </w:p>
        </w:tc>
      </w:tr>
      <w:tr>
        <w:tc>
          <w:tcPr>
            <w:tcW w:type="dxa" w:w="1152"/>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81:18</w:t>
            </w:r>
          </w:p>
        </w:tc>
        <w:tc>
          <w:tcPr>
            <w:tcW w:type="dxa" w:w="2592"/>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Direct dawn oath</w:t>
            </w:r>
          </w:p>
        </w:tc>
        <w:tc>
          <w:tcPr>
            <w:tcW w:type="dxa" w:w="5616"/>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The dawn that breathes</w:t>
            </w:r>
          </w:p>
        </w:tc>
      </w:tr>
      <w:tr>
        <w:tc>
          <w:tcPr>
            <w:tcW w:type="dxa" w:w="1152"/>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74:34</w:t>
            </w:r>
          </w:p>
        </w:tc>
        <w:tc>
          <w:tcPr>
            <w:tcW w:type="dxa" w:w="2592"/>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Direct dawn oath</w:t>
            </w:r>
          </w:p>
        </w:tc>
        <w:tc>
          <w:tcPr>
            <w:tcW w:type="dxa" w:w="5616"/>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The morning that shines forth</w:t>
            </w:r>
          </w:p>
        </w:tc>
      </w:tr>
      <w:tr>
        <w:tc>
          <w:tcPr>
            <w:tcW w:type="dxa" w:w="1152"/>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103:1</w:t>
            </w:r>
          </w:p>
        </w:tc>
        <w:tc>
          <w:tcPr>
            <w:tcW w:type="dxa" w:w="2592"/>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Solar-temporal boundary</w:t>
            </w:r>
          </w:p>
        </w:tc>
        <w:tc>
          <w:tcPr>
            <w:tcW w:type="dxa" w:w="5616"/>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Declining day / time</w:t>
            </w:r>
          </w:p>
        </w:tc>
      </w:tr>
      <w:tr>
        <w:tc>
          <w:tcPr>
            <w:tcW w:type="dxa" w:w="1152"/>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84:16</w:t>
            </w:r>
          </w:p>
        </w:tc>
        <w:tc>
          <w:tcPr>
            <w:tcW w:type="dxa" w:w="2592"/>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Solar boundary</w:t>
            </w:r>
          </w:p>
        </w:tc>
        <w:tc>
          <w:tcPr>
            <w:tcW w:type="dxa" w:w="5616"/>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Twilight afterglow</w:t>
            </w:r>
          </w:p>
        </w:tc>
      </w:tr>
      <w:tr>
        <w:tc>
          <w:tcPr>
            <w:tcW w:type="dxa" w:w="1152"/>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70:40</w:t>
            </w:r>
          </w:p>
        </w:tc>
        <w:tc>
          <w:tcPr>
            <w:tcW w:type="dxa" w:w="2592"/>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Related divine self-oath</w:t>
            </w:r>
          </w:p>
        </w:tc>
        <w:tc>
          <w:tcPr>
            <w:tcW w:type="dxa" w:w="5616"/>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The Lord of many sunrises and sunsets</w:t>
            </w:r>
          </w:p>
        </w:tc>
      </w:tr>
      <w:tr>
        <w:tc>
          <w:tcPr>
            <w:tcW w:type="dxa" w:w="1152"/>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75:1</w:t>
            </w:r>
          </w:p>
        </w:tc>
        <w:tc>
          <w:tcPr>
            <w:tcW w:type="dxa" w:w="2592"/>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Eschatological Day</w:t>
            </w:r>
          </w:p>
        </w:tc>
        <w:tc>
          <w:tcPr>
            <w:tcW w:type="dxa" w:w="5616"/>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The Day of Resurrection</w:t>
            </w:r>
          </w:p>
        </w:tc>
      </w:tr>
      <w:tr>
        <w:tc>
          <w:tcPr>
            <w:tcW w:type="dxa" w:w="1152"/>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85:2</w:t>
            </w:r>
          </w:p>
        </w:tc>
        <w:tc>
          <w:tcPr>
            <w:tcW w:type="dxa" w:w="2592"/>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Eschatological Day</w:t>
            </w:r>
          </w:p>
        </w:tc>
        <w:tc>
          <w:tcPr>
            <w:tcW w:type="dxa" w:w="5616"/>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The Promised Day</w:t>
            </w:r>
          </w:p>
        </w:tc>
      </w:tr>
    </w:tbl>
    <w:p>
      <w:pPr>
        <w:spacing w:after="20"/>
      </w:pPr>
    </w:p>
    <w:p>
      <w:r>
        <w:rPr>
          <w:i w:val="0"/>
        </w:rPr>
        <w:t>The seven direct oaths are the irreducible answer to “the Sun, the morning, or day.” Q 103:1 and Q 84:16 belong to the solar-day boundary and are included to avoid a falsely narrow result. Q 70:40 is a divine self-oath “by the Lord” of multiple risings and settings, not an oath by the Sun itself; its solar geometry nonetheless makes it indispensable. Q 75:1 and Q 85:2 are lexical “Day” oaths but not daylight oaths, so they are presented in their own category. Night oaths are not duplicated, although their pairing is discussed whenever it controls the meaning of a day oath.</w:t>
      </w:r>
    </w:p>
    <w:p>
      <w:pPr>
        <w:pStyle w:val="Heading1"/>
        <w:keepNext/>
      </w:pPr>
      <w:r>
        <w:t>2. Arabic text and six-translation dossier</w:t>
      </w:r>
    </w:p>
    <w:p>
      <w:r>
        <w:rPr>
          <w:i w:val="0"/>
        </w:rPr>
        <w:t>Arabic is the interpretive anchor. Six translations are displayed as witnesses to semantic range, not as six independent originals. Their differences are often instructive: ḍuḥā can be “brightness,” “morning light,” or “morning hours”; ʿaṣr can be “declining day” or “time”; shafaq can be “twilight” or “afterglow”; and tanaffasa lets dawn “breathe.”</w:t>
      </w:r>
    </w:p>
    <w:p>
      <w:pPr>
        <w:pStyle w:val="Heading2"/>
        <w:keepNext/>
      </w:pPr>
      <w:r>
        <w:t>Q 91:1 — The Sun and its morning radiance</w:t>
      </w:r>
    </w:p>
    <w:p>
      <w:pPr>
        <w:keepNext/>
        <w:spacing w:after="40"/>
        <w:jc w:val="left"/>
      </w:pPr>
      <w:r>
        <w:rPr>
          <w:rFonts w:ascii="Calibri" w:hAnsi="Calibri" w:eastAsia="Calibri" w:cs="Calibri"/>
          <w:b/>
          <w:color w:val="B88A2A"/>
          <w:sz w:val="17"/>
        </w:rPr>
        <w:t>DIRECT SOLAR OATH</w:t>
      </w:r>
    </w:p>
    <w:p>
      <w:pPr>
        <w:pStyle w:val="ArabicVerse"/>
        <w:keepNext/>
        <w:bidi/>
      </w:pPr>
      <w:r>
        <w:rPr>
          <w:rFonts w:ascii="DejaVu Sans" w:hAnsi="DejaVu Sans" w:eastAsia="DejaVu Sans" w:cs="DejaVu Sans"/>
          <w:color w:val="1F4D78"/>
          <w:sz w:val="36"/>
        </w:rPr>
        <w:t>وَالشَّمْسِ وَضُحَاهَا</w:t>
      </w:r>
    </w:p>
    <w:p>
      <w:pPr>
        <w:keepNext/>
        <w:spacing w:after="80" w:line="276" w:lineRule="auto"/>
        <w:ind w:left="202" w:right="202"/>
        <w:shd w:fill="FBFCFD"/>
      </w:pPr>
      <w:r>
        <w:rPr>
          <w:rFonts w:ascii="Calibri" w:hAnsi="Calibri" w:eastAsia="Calibri" w:cs="Calibri"/>
          <w:b/>
          <w:color w:val="1F4D78"/>
          <w:sz w:val="18"/>
        </w:rPr>
        <w:t xml:space="preserve">M. A. S. Abdel Haleem: </w:t>
      </w:r>
      <w:r>
        <w:rPr>
          <w:rFonts w:ascii="Calibri" w:hAnsi="Calibri" w:eastAsia="Calibri" w:cs="Calibri"/>
          <w:color w:val="1E2933"/>
          <w:sz w:val="18"/>
        </w:rPr>
        <w:t>By the sun in its morning brightness</w:t>
      </w:r>
    </w:p>
    <w:p>
      <w:pPr>
        <w:keepNext/>
        <w:spacing w:after="80" w:line="276" w:lineRule="auto"/>
        <w:ind w:left="202" w:right="202"/>
        <w:shd w:fill="FBFCFD"/>
      </w:pPr>
      <w:r>
        <w:rPr>
          <w:rFonts w:ascii="Calibri" w:hAnsi="Calibri" w:eastAsia="Calibri" w:cs="Calibri"/>
          <w:b/>
          <w:color w:val="1F4D78"/>
          <w:sz w:val="18"/>
        </w:rPr>
        <w:t xml:space="preserve">Mustafa Khattab, The Clear Quran: </w:t>
      </w:r>
      <w:r>
        <w:rPr>
          <w:rFonts w:ascii="Calibri" w:hAnsi="Calibri" w:eastAsia="Calibri" w:cs="Calibri"/>
          <w:color w:val="1E2933"/>
          <w:sz w:val="18"/>
        </w:rPr>
        <w:t>By the sun and its brightness</w:t>
      </w:r>
    </w:p>
    <w:p>
      <w:pPr>
        <w:keepNext/>
        <w:spacing w:after="80" w:line="276" w:lineRule="auto"/>
        <w:ind w:left="202" w:right="202"/>
        <w:shd w:fill="FBFCFD"/>
      </w:pPr>
      <w:r>
        <w:rPr>
          <w:rFonts w:ascii="Calibri" w:hAnsi="Calibri" w:eastAsia="Calibri" w:cs="Calibri"/>
          <w:b/>
          <w:color w:val="1F4D78"/>
          <w:sz w:val="18"/>
        </w:rPr>
        <w:t xml:space="preserve">Sahih International: </w:t>
      </w:r>
      <w:r>
        <w:rPr>
          <w:rFonts w:ascii="Calibri" w:hAnsi="Calibri" w:eastAsia="Calibri" w:cs="Calibri"/>
          <w:color w:val="1E2933"/>
          <w:sz w:val="18"/>
        </w:rPr>
        <w:t>By the sun and its brightness</w:t>
      </w:r>
    </w:p>
    <w:p>
      <w:pPr>
        <w:keepNext/>
        <w:spacing w:after="80" w:line="276" w:lineRule="auto"/>
        <w:ind w:left="202" w:right="202"/>
        <w:shd w:fill="FBFCFD"/>
      </w:pPr>
      <w:r>
        <w:rPr>
          <w:rFonts w:ascii="Calibri" w:hAnsi="Calibri" w:eastAsia="Calibri" w:cs="Calibri"/>
          <w:b/>
          <w:color w:val="1F4D78"/>
          <w:sz w:val="18"/>
        </w:rPr>
        <w:t xml:space="preserve">Marmaduke Pickthall: </w:t>
      </w:r>
      <w:r>
        <w:rPr>
          <w:rFonts w:ascii="Calibri" w:hAnsi="Calibri" w:eastAsia="Calibri" w:cs="Calibri"/>
          <w:color w:val="1E2933"/>
          <w:sz w:val="18"/>
        </w:rPr>
        <w:t>By the sun and his brightness</w:t>
      </w:r>
    </w:p>
    <w:p>
      <w:pPr>
        <w:keepNext/>
        <w:spacing w:after="80" w:line="276" w:lineRule="auto"/>
        <w:ind w:left="202" w:right="202"/>
        <w:shd w:fill="FBFCFD"/>
      </w:pPr>
      <w:r>
        <w:rPr>
          <w:rFonts w:ascii="Calibri" w:hAnsi="Calibri" w:eastAsia="Calibri" w:cs="Calibri"/>
          <w:b/>
          <w:color w:val="1F4D78"/>
          <w:sz w:val="18"/>
        </w:rPr>
        <w:t xml:space="preserve">Abdullah Yusuf Ali: </w:t>
      </w:r>
      <w:r>
        <w:rPr>
          <w:rFonts w:ascii="Calibri" w:hAnsi="Calibri" w:eastAsia="Calibri" w:cs="Calibri"/>
          <w:color w:val="1E2933"/>
          <w:sz w:val="18"/>
        </w:rPr>
        <w:t>By the Sun and his (glorious) splendour</w:t>
      </w:r>
    </w:p>
    <w:p>
      <w:pPr>
        <w:keepNext w:val="0"/>
        <w:spacing w:after="0" w:line="276" w:lineRule="auto"/>
        <w:ind w:left="202" w:right="202"/>
        <w:shd w:fill="FBFCFD"/>
      </w:pPr>
      <w:r>
        <w:rPr>
          <w:rFonts w:ascii="Calibri" w:hAnsi="Calibri" w:eastAsia="Calibri" w:cs="Calibri"/>
          <w:b/>
          <w:color w:val="1F4D78"/>
          <w:sz w:val="18"/>
        </w:rPr>
        <w:t xml:space="preserve">Muhammad Asad: </w:t>
      </w:r>
      <w:r>
        <w:rPr>
          <w:rFonts w:ascii="Calibri" w:hAnsi="Calibri" w:eastAsia="Calibri" w:cs="Calibri"/>
          <w:color w:val="1E2933"/>
          <w:sz w:val="18"/>
        </w:rPr>
        <w:t>CONSIDER the sun and its radiant brightness</w:t>
      </w:r>
    </w:p>
    <w:p>
      <w:pPr>
        <w:spacing w:after="0"/>
      </w:pPr>
    </w:p>
    <w:p>
      <w:pPr>
        <w:pStyle w:val="Heading2"/>
        <w:keepNext/>
      </w:pPr>
      <w:r>
        <w:t>Q 91:3 — The day as disclosure</w:t>
      </w:r>
    </w:p>
    <w:p>
      <w:pPr>
        <w:keepNext/>
        <w:spacing w:after="40"/>
        <w:jc w:val="left"/>
      </w:pPr>
      <w:r>
        <w:rPr>
          <w:rFonts w:ascii="Calibri" w:hAnsi="Calibri" w:eastAsia="Calibri" w:cs="Calibri"/>
          <w:b/>
          <w:color w:val="B88A2A"/>
          <w:sz w:val="17"/>
        </w:rPr>
        <w:t>DIRECT DAYLIGHT OATH</w:t>
      </w:r>
    </w:p>
    <w:p>
      <w:pPr>
        <w:pStyle w:val="ArabicVerse"/>
        <w:keepNext/>
        <w:bidi/>
      </w:pPr>
      <w:r>
        <w:rPr>
          <w:rFonts w:ascii="DejaVu Sans" w:hAnsi="DejaVu Sans" w:eastAsia="DejaVu Sans" w:cs="DejaVu Sans"/>
          <w:color w:val="1F4D78"/>
          <w:sz w:val="36"/>
        </w:rPr>
        <w:t>وَالنَّهَارِ إِذَا جَلَّاهَا</w:t>
      </w:r>
    </w:p>
    <w:p>
      <w:pPr>
        <w:keepNext/>
        <w:spacing w:after="80" w:line="276" w:lineRule="auto"/>
        <w:ind w:left="202" w:right="202"/>
        <w:shd w:fill="FBFCFD"/>
      </w:pPr>
      <w:r>
        <w:rPr>
          <w:rFonts w:ascii="Calibri" w:hAnsi="Calibri" w:eastAsia="Calibri" w:cs="Calibri"/>
          <w:b/>
          <w:color w:val="1F4D78"/>
          <w:sz w:val="18"/>
        </w:rPr>
        <w:t xml:space="preserve">M. A. S. Abdel Haleem: </w:t>
      </w:r>
      <w:r>
        <w:rPr>
          <w:rFonts w:ascii="Calibri" w:hAnsi="Calibri" w:eastAsia="Calibri" w:cs="Calibri"/>
          <w:color w:val="1E2933"/>
          <w:sz w:val="18"/>
        </w:rPr>
        <w:t>by the day as it displays the sun’s glory</w:t>
      </w:r>
    </w:p>
    <w:p>
      <w:pPr>
        <w:keepNext/>
        <w:spacing w:after="80" w:line="276" w:lineRule="auto"/>
        <w:ind w:left="202" w:right="202"/>
        <w:shd w:fill="FBFCFD"/>
      </w:pPr>
      <w:r>
        <w:rPr>
          <w:rFonts w:ascii="Calibri" w:hAnsi="Calibri" w:eastAsia="Calibri" w:cs="Calibri"/>
          <w:b/>
          <w:color w:val="1F4D78"/>
          <w:sz w:val="18"/>
        </w:rPr>
        <w:t xml:space="preserve">Mustafa Khattab, The Clear Quran: </w:t>
      </w:r>
      <w:r>
        <w:rPr>
          <w:rFonts w:ascii="Calibri" w:hAnsi="Calibri" w:eastAsia="Calibri" w:cs="Calibri"/>
          <w:color w:val="1E2933"/>
          <w:sz w:val="18"/>
        </w:rPr>
        <w:t>and the day as it unveils it</w:t>
      </w:r>
    </w:p>
    <w:p>
      <w:pPr>
        <w:keepNext/>
        <w:spacing w:after="80" w:line="276" w:lineRule="auto"/>
        <w:ind w:left="202" w:right="202"/>
        <w:shd w:fill="FBFCFD"/>
      </w:pPr>
      <w:r>
        <w:rPr>
          <w:rFonts w:ascii="Calibri" w:hAnsi="Calibri" w:eastAsia="Calibri" w:cs="Calibri"/>
          <w:b/>
          <w:color w:val="1F4D78"/>
          <w:sz w:val="18"/>
        </w:rPr>
        <w:t xml:space="preserve">Sahih International: </w:t>
      </w:r>
      <w:r>
        <w:rPr>
          <w:rFonts w:ascii="Calibri" w:hAnsi="Calibri" w:eastAsia="Calibri" w:cs="Calibri"/>
          <w:color w:val="1E2933"/>
          <w:sz w:val="18"/>
        </w:rPr>
        <w:t>And [by] the day when it displays it</w:t>
      </w:r>
    </w:p>
    <w:p>
      <w:pPr>
        <w:keepNext/>
        <w:spacing w:after="80" w:line="276" w:lineRule="auto"/>
        <w:ind w:left="202" w:right="202"/>
        <w:shd w:fill="FBFCFD"/>
      </w:pPr>
      <w:r>
        <w:rPr>
          <w:rFonts w:ascii="Calibri" w:hAnsi="Calibri" w:eastAsia="Calibri" w:cs="Calibri"/>
          <w:b/>
          <w:color w:val="1F4D78"/>
          <w:sz w:val="18"/>
        </w:rPr>
        <w:t xml:space="preserve">Marmaduke Pickthall: </w:t>
      </w:r>
      <w:r>
        <w:rPr>
          <w:rFonts w:ascii="Calibri" w:hAnsi="Calibri" w:eastAsia="Calibri" w:cs="Calibri"/>
          <w:color w:val="1E2933"/>
          <w:sz w:val="18"/>
        </w:rPr>
        <w:t>And the day when it revealeth him</w:t>
      </w:r>
    </w:p>
    <w:p>
      <w:pPr>
        <w:keepNext/>
        <w:spacing w:after="80" w:line="276" w:lineRule="auto"/>
        <w:ind w:left="202" w:right="202"/>
        <w:shd w:fill="FBFCFD"/>
      </w:pPr>
      <w:r>
        <w:rPr>
          <w:rFonts w:ascii="Calibri" w:hAnsi="Calibri" w:eastAsia="Calibri" w:cs="Calibri"/>
          <w:b/>
          <w:color w:val="1F4D78"/>
          <w:sz w:val="18"/>
        </w:rPr>
        <w:t xml:space="preserve">Abdullah Yusuf Ali: </w:t>
      </w:r>
      <w:r>
        <w:rPr>
          <w:rFonts w:ascii="Calibri" w:hAnsi="Calibri" w:eastAsia="Calibri" w:cs="Calibri"/>
          <w:color w:val="1E2933"/>
          <w:sz w:val="18"/>
        </w:rPr>
        <w:t>By the Day as it shows up (the Sun's) glory</w:t>
      </w:r>
    </w:p>
    <w:p>
      <w:pPr>
        <w:keepNext w:val="0"/>
        <w:spacing w:after="0" w:line="276" w:lineRule="auto"/>
        <w:ind w:left="202" w:right="202"/>
        <w:shd w:fill="FBFCFD"/>
      </w:pPr>
      <w:r>
        <w:rPr>
          <w:rFonts w:ascii="Calibri" w:hAnsi="Calibri" w:eastAsia="Calibri" w:cs="Calibri"/>
          <w:b/>
          <w:color w:val="1F4D78"/>
          <w:sz w:val="18"/>
        </w:rPr>
        <w:t xml:space="preserve">Muhammad Asad: </w:t>
      </w:r>
      <w:r>
        <w:rPr>
          <w:rFonts w:ascii="Calibri" w:hAnsi="Calibri" w:eastAsia="Calibri" w:cs="Calibri"/>
          <w:color w:val="1E2933"/>
          <w:sz w:val="18"/>
        </w:rPr>
        <w:t>Consider the day as it reveals the world</w:t>
      </w:r>
    </w:p>
    <w:p>
      <w:pPr>
        <w:spacing w:after="0"/>
      </w:pPr>
    </w:p>
    <w:p>
      <w:pPr>
        <w:pStyle w:val="Heading2"/>
        <w:keepNext/>
      </w:pPr>
      <w:r>
        <w:t>Q 92:2 — The radiant day and divergent striving</w:t>
      </w:r>
    </w:p>
    <w:p>
      <w:pPr>
        <w:keepNext/>
        <w:spacing w:after="40"/>
        <w:jc w:val="left"/>
      </w:pPr>
      <w:r>
        <w:rPr>
          <w:rFonts w:ascii="Calibri" w:hAnsi="Calibri" w:eastAsia="Calibri" w:cs="Calibri"/>
          <w:b/>
          <w:color w:val="B88A2A"/>
          <w:sz w:val="17"/>
        </w:rPr>
        <w:t>DIRECT DAYLIGHT OATH</w:t>
      </w:r>
    </w:p>
    <w:p>
      <w:pPr>
        <w:pStyle w:val="ArabicVerse"/>
        <w:keepNext/>
        <w:bidi/>
      </w:pPr>
      <w:r>
        <w:rPr>
          <w:rFonts w:ascii="DejaVu Sans" w:hAnsi="DejaVu Sans" w:eastAsia="DejaVu Sans" w:cs="DejaVu Sans"/>
          <w:color w:val="1F4D78"/>
          <w:sz w:val="36"/>
        </w:rPr>
        <w:t>وَالنَّهَارِ إِذَا تَجَلَّىٰ</w:t>
      </w:r>
    </w:p>
    <w:p>
      <w:pPr>
        <w:keepNext/>
        <w:spacing w:after="80" w:line="276" w:lineRule="auto"/>
        <w:ind w:left="202" w:right="202"/>
        <w:shd w:fill="FBFCFD"/>
      </w:pPr>
      <w:r>
        <w:rPr>
          <w:rFonts w:ascii="Calibri" w:hAnsi="Calibri" w:eastAsia="Calibri" w:cs="Calibri"/>
          <w:b/>
          <w:color w:val="1F4D78"/>
          <w:sz w:val="18"/>
        </w:rPr>
        <w:t xml:space="preserve">M. A. S. Abdel Haleem: </w:t>
      </w:r>
      <w:r>
        <w:rPr>
          <w:rFonts w:ascii="Calibri" w:hAnsi="Calibri" w:eastAsia="Calibri" w:cs="Calibri"/>
          <w:color w:val="1E2933"/>
          <w:sz w:val="18"/>
        </w:rPr>
        <w:t>by the radiant day</w:t>
      </w:r>
    </w:p>
    <w:p>
      <w:pPr>
        <w:keepNext/>
        <w:spacing w:after="80" w:line="276" w:lineRule="auto"/>
        <w:ind w:left="202" w:right="202"/>
        <w:shd w:fill="FBFCFD"/>
      </w:pPr>
      <w:r>
        <w:rPr>
          <w:rFonts w:ascii="Calibri" w:hAnsi="Calibri" w:eastAsia="Calibri" w:cs="Calibri"/>
          <w:b/>
          <w:color w:val="1F4D78"/>
          <w:sz w:val="18"/>
        </w:rPr>
        <w:t xml:space="preserve">Mustafa Khattab, The Clear Quran: </w:t>
      </w:r>
      <w:r>
        <w:rPr>
          <w:rFonts w:ascii="Calibri" w:hAnsi="Calibri" w:eastAsia="Calibri" w:cs="Calibri"/>
          <w:color w:val="1E2933"/>
          <w:sz w:val="18"/>
        </w:rPr>
        <w:t>and the day when it shines</w:t>
      </w:r>
    </w:p>
    <w:p>
      <w:pPr>
        <w:keepNext/>
        <w:spacing w:after="80" w:line="276" w:lineRule="auto"/>
        <w:ind w:left="202" w:right="202"/>
        <w:shd w:fill="FBFCFD"/>
      </w:pPr>
      <w:r>
        <w:rPr>
          <w:rFonts w:ascii="Calibri" w:hAnsi="Calibri" w:eastAsia="Calibri" w:cs="Calibri"/>
          <w:b/>
          <w:color w:val="1F4D78"/>
          <w:sz w:val="18"/>
        </w:rPr>
        <w:t xml:space="preserve">Sahih International: </w:t>
      </w:r>
      <w:r>
        <w:rPr>
          <w:rFonts w:ascii="Calibri" w:hAnsi="Calibri" w:eastAsia="Calibri" w:cs="Calibri"/>
          <w:color w:val="1E2933"/>
          <w:sz w:val="18"/>
        </w:rPr>
        <w:t>And [by] the day when it appears</w:t>
      </w:r>
    </w:p>
    <w:p>
      <w:pPr>
        <w:keepNext/>
        <w:spacing w:after="80" w:line="276" w:lineRule="auto"/>
        <w:ind w:left="202" w:right="202"/>
        <w:shd w:fill="FBFCFD"/>
      </w:pPr>
      <w:r>
        <w:rPr>
          <w:rFonts w:ascii="Calibri" w:hAnsi="Calibri" w:eastAsia="Calibri" w:cs="Calibri"/>
          <w:b/>
          <w:color w:val="1F4D78"/>
          <w:sz w:val="18"/>
        </w:rPr>
        <w:t xml:space="preserve">Marmaduke Pickthall: </w:t>
      </w:r>
      <w:r>
        <w:rPr>
          <w:rFonts w:ascii="Calibri" w:hAnsi="Calibri" w:eastAsia="Calibri" w:cs="Calibri"/>
          <w:color w:val="1E2933"/>
          <w:sz w:val="18"/>
        </w:rPr>
        <w:t>And the day resplendent</w:t>
      </w:r>
    </w:p>
    <w:p>
      <w:pPr>
        <w:keepNext/>
        <w:spacing w:after="80" w:line="276" w:lineRule="auto"/>
        <w:ind w:left="202" w:right="202"/>
        <w:shd w:fill="FBFCFD"/>
      </w:pPr>
      <w:r>
        <w:rPr>
          <w:rFonts w:ascii="Calibri" w:hAnsi="Calibri" w:eastAsia="Calibri" w:cs="Calibri"/>
          <w:b/>
          <w:color w:val="1F4D78"/>
          <w:sz w:val="18"/>
        </w:rPr>
        <w:t xml:space="preserve">Abdullah Yusuf Ali: </w:t>
      </w:r>
      <w:r>
        <w:rPr>
          <w:rFonts w:ascii="Calibri" w:hAnsi="Calibri" w:eastAsia="Calibri" w:cs="Calibri"/>
          <w:color w:val="1E2933"/>
          <w:sz w:val="18"/>
        </w:rPr>
        <w:t>By the Day as it appears in glory</w:t>
      </w:r>
    </w:p>
    <w:p>
      <w:pPr>
        <w:keepNext w:val="0"/>
        <w:spacing w:after="0" w:line="276" w:lineRule="auto"/>
        <w:ind w:left="202" w:right="202"/>
        <w:shd w:fill="FBFCFD"/>
      </w:pPr>
      <w:r>
        <w:rPr>
          <w:rFonts w:ascii="Calibri" w:hAnsi="Calibri" w:eastAsia="Calibri" w:cs="Calibri"/>
          <w:b/>
          <w:color w:val="1F4D78"/>
          <w:sz w:val="18"/>
        </w:rPr>
        <w:t xml:space="preserve">Muhammad Asad: </w:t>
      </w:r>
      <w:r>
        <w:rPr>
          <w:rFonts w:ascii="Calibri" w:hAnsi="Calibri" w:eastAsia="Calibri" w:cs="Calibri"/>
          <w:color w:val="1E2933"/>
          <w:sz w:val="18"/>
        </w:rPr>
        <w:t>and the day as it rises bright</w:t>
      </w:r>
    </w:p>
    <w:p>
      <w:pPr>
        <w:spacing w:after="0"/>
      </w:pPr>
    </w:p>
    <w:p>
      <w:pPr>
        <w:pStyle w:val="Heading2"/>
        <w:keepNext/>
      </w:pPr>
      <w:r>
        <w:t>Q 93:1 — Morning brightness and prophetic reassurance</w:t>
      </w:r>
    </w:p>
    <w:p>
      <w:pPr>
        <w:keepNext/>
        <w:spacing w:after="40"/>
        <w:jc w:val="left"/>
      </w:pPr>
      <w:r>
        <w:rPr>
          <w:rFonts w:ascii="Calibri" w:hAnsi="Calibri" w:eastAsia="Calibri" w:cs="Calibri"/>
          <w:b/>
          <w:color w:val="B88A2A"/>
          <w:sz w:val="17"/>
        </w:rPr>
        <w:t>DIRECT MORNING OATH</w:t>
      </w:r>
    </w:p>
    <w:p>
      <w:pPr>
        <w:pStyle w:val="ArabicVerse"/>
        <w:keepNext/>
        <w:bidi/>
      </w:pPr>
      <w:r>
        <w:rPr>
          <w:rFonts w:ascii="DejaVu Sans" w:hAnsi="DejaVu Sans" w:eastAsia="DejaVu Sans" w:cs="DejaVu Sans"/>
          <w:color w:val="1F4D78"/>
          <w:sz w:val="36"/>
        </w:rPr>
        <w:t>وَالضُّحَىٰ</w:t>
      </w:r>
    </w:p>
    <w:p>
      <w:pPr>
        <w:keepNext/>
        <w:spacing w:after="80" w:line="276" w:lineRule="auto"/>
        <w:ind w:left="202" w:right="202"/>
        <w:shd w:fill="FBFCFD"/>
      </w:pPr>
      <w:r>
        <w:rPr>
          <w:rFonts w:ascii="Calibri" w:hAnsi="Calibri" w:eastAsia="Calibri" w:cs="Calibri"/>
          <w:b/>
          <w:color w:val="1F4D78"/>
          <w:sz w:val="18"/>
        </w:rPr>
        <w:t xml:space="preserve">M. A. S. Abdel Haleem: </w:t>
      </w:r>
      <w:r>
        <w:rPr>
          <w:rFonts w:ascii="Calibri" w:hAnsi="Calibri" w:eastAsia="Calibri" w:cs="Calibri"/>
          <w:color w:val="1E2933"/>
          <w:sz w:val="18"/>
        </w:rPr>
        <w:t>By the morning brightness</w:t>
      </w:r>
    </w:p>
    <w:p>
      <w:pPr>
        <w:keepNext/>
        <w:spacing w:after="80" w:line="276" w:lineRule="auto"/>
        <w:ind w:left="202" w:right="202"/>
        <w:shd w:fill="FBFCFD"/>
      </w:pPr>
      <w:r>
        <w:rPr>
          <w:rFonts w:ascii="Calibri" w:hAnsi="Calibri" w:eastAsia="Calibri" w:cs="Calibri"/>
          <w:b/>
          <w:color w:val="1F4D78"/>
          <w:sz w:val="18"/>
        </w:rPr>
        <w:t xml:space="preserve">Mustafa Khattab, The Clear Quran: </w:t>
      </w:r>
      <w:r>
        <w:rPr>
          <w:rFonts w:ascii="Calibri" w:hAnsi="Calibri" w:eastAsia="Calibri" w:cs="Calibri"/>
          <w:color w:val="1E2933"/>
          <w:sz w:val="18"/>
        </w:rPr>
        <w:t>By the morning sunlight</w:t>
      </w:r>
    </w:p>
    <w:p>
      <w:pPr>
        <w:keepNext/>
        <w:spacing w:after="80" w:line="276" w:lineRule="auto"/>
        <w:ind w:left="202" w:right="202"/>
        <w:shd w:fill="FBFCFD"/>
      </w:pPr>
      <w:r>
        <w:rPr>
          <w:rFonts w:ascii="Calibri" w:hAnsi="Calibri" w:eastAsia="Calibri" w:cs="Calibri"/>
          <w:b/>
          <w:color w:val="1F4D78"/>
          <w:sz w:val="18"/>
        </w:rPr>
        <w:t xml:space="preserve">Sahih International: </w:t>
      </w:r>
      <w:r>
        <w:rPr>
          <w:rFonts w:ascii="Calibri" w:hAnsi="Calibri" w:eastAsia="Calibri" w:cs="Calibri"/>
          <w:color w:val="1E2933"/>
          <w:sz w:val="18"/>
        </w:rPr>
        <w:t>By the morning brightness</w:t>
      </w:r>
    </w:p>
    <w:p>
      <w:pPr>
        <w:keepNext/>
        <w:spacing w:after="80" w:line="276" w:lineRule="auto"/>
        <w:ind w:left="202" w:right="202"/>
        <w:shd w:fill="FBFCFD"/>
      </w:pPr>
      <w:r>
        <w:rPr>
          <w:rFonts w:ascii="Calibri" w:hAnsi="Calibri" w:eastAsia="Calibri" w:cs="Calibri"/>
          <w:b/>
          <w:color w:val="1F4D78"/>
          <w:sz w:val="18"/>
        </w:rPr>
        <w:t xml:space="preserve">Marmaduke Pickthall: </w:t>
      </w:r>
      <w:r>
        <w:rPr>
          <w:rFonts w:ascii="Calibri" w:hAnsi="Calibri" w:eastAsia="Calibri" w:cs="Calibri"/>
          <w:color w:val="1E2933"/>
          <w:sz w:val="18"/>
        </w:rPr>
        <w:t>By the morning hours</w:t>
      </w:r>
    </w:p>
    <w:p>
      <w:pPr>
        <w:keepNext/>
        <w:spacing w:after="80" w:line="276" w:lineRule="auto"/>
        <w:ind w:left="202" w:right="202"/>
        <w:shd w:fill="FBFCFD"/>
      </w:pPr>
      <w:r>
        <w:rPr>
          <w:rFonts w:ascii="Calibri" w:hAnsi="Calibri" w:eastAsia="Calibri" w:cs="Calibri"/>
          <w:b/>
          <w:color w:val="1F4D78"/>
          <w:sz w:val="18"/>
        </w:rPr>
        <w:t xml:space="preserve">Abdullah Yusuf Ali: </w:t>
      </w:r>
      <w:r>
        <w:rPr>
          <w:rFonts w:ascii="Calibri" w:hAnsi="Calibri" w:eastAsia="Calibri" w:cs="Calibri"/>
          <w:color w:val="1E2933"/>
          <w:sz w:val="18"/>
        </w:rPr>
        <w:t>By the Glorious Morning Light</w:t>
      </w:r>
    </w:p>
    <w:p>
      <w:pPr>
        <w:keepNext w:val="0"/>
        <w:spacing w:after="0" w:line="276" w:lineRule="auto"/>
        <w:ind w:left="202" w:right="202"/>
        <w:shd w:fill="FBFCFD"/>
      </w:pPr>
      <w:r>
        <w:rPr>
          <w:rFonts w:ascii="Calibri" w:hAnsi="Calibri" w:eastAsia="Calibri" w:cs="Calibri"/>
          <w:b/>
          <w:color w:val="1F4D78"/>
          <w:sz w:val="18"/>
        </w:rPr>
        <w:t xml:space="preserve">Muhammad Asad: </w:t>
      </w:r>
      <w:r>
        <w:rPr>
          <w:rFonts w:ascii="Calibri" w:hAnsi="Calibri" w:eastAsia="Calibri" w:cs="Calibri"/>
          <w:color w:val="1E2933"/>
          <w:sz w:val="18"/>
        </w:rPr>
        <w:t>CONSIDER the bright morning hours</w:t>
      </w:r>
    </w:p>
    <w:p>
      <w:pPr>
        <w:spacing w:after="0"/>
      </w:pPr>
    </w:p>
    <w:p>
      <w:pPr>
        <w:pStyle w:val="Heading2"/>
        <w:keepNext/>
      </w:pPr>
      <w:r>
        <w:t>Q 89:1 — Dawn, moral memory, and judgment</w:t>
      </w:r>
    </w:p>
    <w:p>
      <w:pPr>
        <w:keepNext/>
        <w:spacing w:after="40"/>
        <w:jc w:val="left"/>
      </w:pPr>
      <w:r>
        <w:rPr>
          <w:rFonts w:ascii="Calibri" w:hAnsi="Calibri" w:eastAsia="Calibri" w:cs="Calibri"/>
          <w:b/>
          <w:color w:val="B88A2A"/>
          <w:sz w:val="17"/>
        </w:rPr>
        <w:t>DIRECT DAWN OATH</w:t>
      </w:r>
    </w:p>
    <w:p>
      <w:pPr>
        <w:pStyle w:val="ArabicVerse"/>
        <w:keepNext/>
        <w:bidi/>
      </w:pPr>
      <w:r>
        <w:rPr>
          <w:rFonts w:ascii="DejaVu Sans" w:hAnsi="DejaVu Sans" w:eastAsia="DejaVu Sans" w:cs="DejaVu Sans"/>
          <w:color w:val="1F4D78"/>
          <w:sz w:val="36"/>
        </w:rPr>
        <w:t>وَالْفَجْرِ</w:t>
      </w:r>
    </w:p>
    <w:p>
      <w:pPr>
        <w:keepNext/>
        <w:spacing w:after="80" w:line="276" w:lineRule="auto"/>
        <w:ind w:left="202" w:right="202"/>
        <w:shd w:fill="FBFCFD"/>
      </w:pPr>
      <w:r>
        <w:rPr>
          <w:rFonts w:ascii="Calibri" w:hAnsi="Calibri" w:eastAsia="Calibri" w:cs="Calibri"/>
          <w:b/>
          <w:color w:val="1F4D78"/>
          <w:sz w:val="18"/>
        </w:rPr>
        <w:t xml:space="preserve">M. A. S. Abdel Haleem: </w:t>
      </w:r>
      <w:r>
        <w:rPr>
          <w:rFonts w:ascii="Calibri" w:hAnsi="Calibri" w:eastAsia="Calibri" w:cs="Calibri"/>
          <w:color w:val="1E2933"/>
          <w:sz w:val="18"/>
        </w:rPr>
        <w:t>By the Daybreak</w:t>
      </w:r>
    </w:p>
    <w:p>
      <w:pPr>
        <w:keepNext/>
        <w:spacing w:after="80" w:line="276" w:lineRule="auto"/>
        <w:ind w:left="202" w:right="202"/>
        <w:shd w:fill="FBFCFD"/>
      </w:pPr>
      <w:r>
        <w:rPr>
          <w:rFonts w:ascii="Calibri" w:hAnsi="Calibri" w:eastAsia="Calibri" w:cs="Calibri"/>
          <w:b/>
          <w:color w:val="1F4D78"/>
          <w:sz w:val="18"/>
        </w:rPr>
        <w:t xml:space="preserve">Mustafa Khattab, The Clear Quran: </w:t>
      </w:r>
      <w:r>
        <w:rPr>
          <w:rFonts w:ascii="Calibri" w:hAnsi="Calibri" w:eastAsia="Calibri" w:cs="Calibri"/>
          <w:color w:val="1E2933"/>
          <w:sz w:val="18"/>
        </w:rPr>
        <w:t>By the dawn</w:t>
      </w:r>
    </w:p>
    <w:p>
      <w:pPr>
        <w:keepNext/>
        <w:spacing w:after="80" w:line="276" w:lineRule="auto"/>
        <w:ind w:left="202" w:right="202"/>
        <w:shd w:fill="FBFCFD"/>
      </w:pPr>
      <w:r>
        <w:rPr>
          <w:rFonts w:ascii="Calibri" w:hAnsi="Calibri" w:eastAsia="Calibri" w:cs="Calibri"/>
          <w:b/>
          <w:color w:val="1F4D78"/>
          <w:sz w:val="18"/>
        </w:rPr>
        <w:t xml:space="preserve">Sahih International: </w:t>
      </w:r>
      <w:r>
        <w:rPr>
          <w:rFonts w:ascii="Calibri" w:hAnsi="Calibri" w:eastAsia="Calibri" w:cs="Calibri"/>
          <w:color w:val="1E2933"/>
          <w:sz w:val="18"/>
        </w:rPr>
        <w:t>By the dawn</w:t>
      </w:r>
    </w:p>
    <w:p>
      <w:pPr>
        <w:keepNext/>
        <w:spacing w:after="80" w:line="276" w:lineRule="auto"/>
        <w:ind w:left="202" w:right="202"/>
        <w:shd w:fill="FBFCFD"/>
      </w:pPr>
      <w:r>
        <w:rPr>
          <w:rFonts w:ascii="Calibri" w:hAnsi="Calibri" w:eastAsia="Calibri" w:cs="Calibri"/>
          <w:b/>
          <w:color w:val="1F4D78"/>
          <w:sz w:val="18"/>
        </w:rPr>
        <w:t xml:space="preserve">Marmaduke Pickthall: </w:t>
      </w:r>
      <w:r>
        <w:rPr>
          <w:rFonts w:ascii="Calibri" w:hAnsi="Calibri" w:eastAsia="Calibri" w:cs="Calibri"/>
          <w:color w:val="1E2933"/>
          <w:sz w:val="18"/>
        </w:rPr>
        <w:t>By the Dawn</w:t>
      </w:r>
    </w:p>
    <w:p>
      <w:pPr>
        <w:keepNext/>
        <w:spacing w:after="80" w:line="276" w:lineRule="auto"/>
        <w:ind w:left="202" w:right="202"/>
        <w:shd w:fill="FBFCFD"/>
      </w:pPr>
      <w:r>
        <w:rPr>
          <w:rFonts w:ascii="Calibri" w:hAnsi="Calibri" w:eastAsia="Calibri" w:cs="Calibri"/>
          <w:b/>
          <w:color w:val="1F4D78"/>
          <w:sz w:val="18"/>
        </w:rPr>
        <w:t xml:space="preserve">Abdullah Yusuf Ali: </w:t>
      </w:r>
      <w:r>
        <w:rPr>
          <w:rFonts w:ascii="Calibri" w:hAnsi="Calibri" w:eastAsia="Calibri" w:cs="Calibri"/>
          <w:color w:val="1E2933"/>
          <w:sz w:val="18"/>
        </w:rPr>
        <w:t>By the break of Day</w:t>
      </w:r>
    </w:p>
    <w:p>
      <w:pPr>
        <w:keepNext w:val="0"/>
        <w:spacing w:after="0" w:line="276" w:lineRule="auto"/>
        <w:ind w:left="202" w:right="202"/>
        <w:shd w:fill="FBFCFD"/>
      </w:pPr>
      <w:r>
        <w:rPr>
          <w:rFonts w:ascii="Calibri" w:hAnsi="Calibri" w:eastAsia="Calibri" w:cs="Calibri"/>
          <w:b/>
          <w:color w:val="1F4D78"/>
          <w:sz w:val="18"/>
        </w:rPr>
        <w:t xml:space="preserve">Muhammad Asad: </w:t>
      </w:r>
      <w:r>
        <w:rPr>
          <w:rFonts w:ascii="Calibri" w:hAnsi="Calibri" w:eastAsia="Calibri" w:cs="Calibri"/>
          <w:color w:val="1E2933"/>
          <w:sz w:val="18"/>
        </w:rPr>
        <w:t>CONSIDER the daybreak</w:t>
      </w:r>
    </w:p>
    <w:p>
      <w:pPr>
        <w:spacing w:after="0"/>
      </w:pPr>
    </w:p>
    <w:p>
      <w:pPr>
        <w:pStyle w:val="Heading2"/>
        <w:keepNext/>
      </w:pPr>
      <w:r>
        <w:t>Q 81:18 — The dawn that breathes</w:t>
      </w:r>
    </w:p>
    <w:p>
      <w:pPr>
        <w:keepNext/>
        <w:spacing w:after="40"/>
        <w:jc w:val="left"/>
      </w:pPr>
      <w:r>
        <w:rPr>
          <w:rFonts w:ascii="Calibri" w:hAnsi="Calibri" w:eastAsia="Calibri" w:cs="Calibri"/>
          <w:b/>
          <w:color w:val="B88A2A"/>
          <w:sz w:val="17"/>
        </w:rPr>
        <w:t>DIRECT DAWN OATH</w:t>
      </w:r>
    </w:p>
    <w:p>
      <w:pPr>
        <w:pStyle w:val="ArabicVerse"/>
        <w:keepNext/>
        <w:bidi/>
      </w:pPr>
      <w:r>
        <w:rPr>
          <w:rFonts w:ascii="DejaVu Sans" w:hAnsi="DejaVu Sans" w:eastAsia="DejaVu Sans" w:cs="DejaVu Sans"/>
          <w:color w:val="1F4D78"/>
          <w:sz w:val="36"/>
        </w:rPr>
        <w:t>وَالصُّبْحِ إِذَا تَنَفَّسَ</w:t>
      </w:r>
    </w:p>
    <w:p>
      <w:pPr>
        <w:keepNext/>
        <w:spacing w:after="80" w:line="276" w:lineRule="auto"/>
        <w:ind w:left="202" w:right="202"/>
        <w:shd w:fill="FBFCFD"/>
      </w:pPr>
      <w:r>
        <w:rPr>
          <w:rFonts w:ascii="Calibri" w:hAnsi="Calibri" w:eastAsia="Calibri" w:cs="Calibri"/>
          <w:b/>
          <w:color w:val="1F4D78"/>
          <w:sz w:val="18"/>
        </w:rPr>
        <w:t xml:space="preserve">M. A. S. Abdel Haleem: </w:t>
      </w:r>
      <w:r>
        <w:rPr>
          <w:rFonts w:ascii="Calibri" w:hAnsi="Calibri" w:eastAsia="Calibri" w:cs="Calibri"/>
          <w:color w:val="1E2933"/>
          <w:sz w:val="18"/>
        </w:rPr>
        <w:t>by the dawn that softly breathes</w:t>
      </w:r>
    </w:p>
    <w:p>
      <w:pPr>
        <w:keepNext/>
        <w:spacing w:after="80" w:line="276" w:lineRule="auto"/>
        <w:ind w:left="202" w:right="202"/>
        <w:shd w:fill="FBFCFD"/>
      </w:pPr>
      <w:r>
        <w:rPr>
          <w:rFonts w:ascii="Calibri" w:hAnsi="Calibri" w:eastAsia="Calibri" w:cs="Calibri"/>
          <w:b/>
          <w:color w:val="1F4D78"/>
          <w:sz w:val="18"/>
        </w:rPr>
        <w:t xml:space="preserve">Mustafa Khattab, The Clear Quran: </w:t>
      </w:r>
      <w:r>
        <w:rPr>
          <w:rFonts w:ascii="Calibri" w:hAnsi="Calibri" w:eastAsia="Calibri" w:cs="Calibri"/>
          <w:color w:val="1E2933"/>
          <w:sz w:val="18"/>
        </w:rPr>
        <w:t>and the day as it breaks</w:t>
      </w:r>
    </w:p>
    <w:p>
      <w:pPr>
        <w:keepNext/>
        <w:spacing w:after="80" w:line="276" w:lineRule="auto"/>
        <w:ind w:left="202" w:right="202"/>
        <w:shd w:fill="FBFCFD"/>
      </w:pPr>
      <w:r>
        <w:rPr>
          <w:rFonts w:ascii="Calibri" w:hAnsi="Calibri" w:eastAsia="Calibri" w:cs="Calibri"/>
          <w:b/>
          <w:color w:val="1F4D78"/>
          <w:sz w:val="18"/>
        </w:rPr>
        <w:t xml:space="preserve">Sahih International: </w:t>
      </w:r>
      <w:r>
        <w:rPr>
          <w:rFonts w:ascii="Calibri" w:hAnsi="Calibri" w:eastAsia="Calibri" w:cs="Calibri"/>
          <w:color w:val="1E2933"/>
          <w:sz w:val="18"/>
        </w:rPr>
        <w:t>And by the dawn when it breathes</w:t>
      </w:r>
    </w:p>
    <w:p>
      <w:pPr>
        <w:keepNext/>
        <w:spacing w:after="80" w:line="276" w:lineRule="auto"/>
        <w:ind w:left="202" w:right="202"/>
        <w:shd w:fill="FBFCFD"/>
      </w:pPr>
      <w:r>
        <w:rPr>
          <w:rFonts w:ascii="Calibri" w:hAnsi="Calibri" w:eastAsia="Calibri" w:cs="Calibri"/>
          <w:b/>
          <w:color w:val="1F4D78"/>
          <w:sz w:val="18"/>
        </w:rPr>
        <w:t xml:space="preserve">Marmaduke Pickthall: </w:t>
      </w:r>
      <w:r>
        <w:rPr>
          <w:rFonts w:ascii="Calibri" w:hAnsi="Calibri" w:eastAsia="Calibri" w:cs="Calibri"/>
          <w:color w:val="1E2933"/>
          <w:sz w:val="18"/>
        </w:rPr>
        <w:t>And the breath of morning</w:t>
      </w:r>
    </w:p>
    <w:p>
      <w:pPr>
        <w:keepNext/>
        <w:spacing w:after="80" w:line="276" w:lineRule="auto"/>
        <w:ind w:left="202" w:right="202"/>
        <w:shd w:fill="FBFCFD"/>
      </w:pPr>
      <w:r>
        <w:rPr>
          <w:rFonts w:ascii="Calibri" w:hAnsi="Calibri" w:eastAsia="Calibri" w:cs="Calibri"/>
          <w:b/>
          <w:color w:val="1F4D78"/>
          <w:sz w:val="18"/>
        </w:rPr>
        <w:t xml:space="preserve">Abdullah Yusuf Ali: </w:t>
      </w:r>
      <w:r>
        <w:rPr>
          <w:rFonts w:ascii="Calibri" w:hAnsi="Calibri" w:eastAsia="Calibri" w:cs="Calibri"/>
          <w:color w:val="1E2933"/>
          <w:sz w:val="18"/>
        </w:rPr>
        <w:t>And the Dawn as it breathes away the darkness</w:t>
      </w:r>
    </w:p>
    <w:p>
      <w:pPr>
        <w:keepNext w:val="0"/>
        <w:spacing w:after="0" w:line="276" w:lineRule="auto"/>
        <w:ind w:left="202" w:right="202"/>
        <w:shd w:fill="FBFCFD"/>
      </w:pPr>
      <w:r>
        <w:rPr>
          <w:rFonts w:ascii="Calibri" w:hAnsi="Calibri" w:eastAsia="Calibri" w:cs="Calibri"/>
          <w:b/>
          <w:color w:val="1F4D78"/>
          <w:sz w:val="18"/>
        </w:rPr>
        <w:t xml:space="preserve">Muhammad Asad: </w:t>
      </w:r>
      <w:r>
        <w:rPr>
          <w:rFonts w:ascii="Calibri" w:hAnsi="Calibri" w:eastAsia="Calibri" w:cs="Calibri"/>
          <w:color w:val="1E2933"/>
          <w:sz w:val="18"/>
        </w:rPr>
        <w:t>and the morn as it softly breathes</w:t>
      </w:r>
    </w:p>
    <w:p>
      <w:pPr>
        <w:spacing w:after="0"/>
      </w:pPr>
    </w:p>
    <w:p>
      <w:pPr>
        <w:pStyle w:val="Heading2"/>
        <w:keepNext/>
      </w:pPr>
      <w:r>
        <w:t>Q 74:34 — The morning that shines forth</w:t>
      </w:r>
    </w:p>
    <w:p>
      <w:pPr>
        <w:keepNext/>
        <w:spacing w:after="40"/>
        <w:jc w:val="left"/>
      </w:pPr>
      <w:r>
        <w:rPr>
          <w:rFonts w:ascii="Calibri" w:hAnsi="Calibri" w:eastAsia="Calibri" w:cs="Calibri"/>
          <w:b/>
          <w:color w:val="B88A2A"/>
          <w:sz w:val="17"/>
        </w:rPr>
        <w:t>DIRECT DAWN OATH</w:t>
      </w:r>
    </w:p>
    <w:p>
      <w:pPr>
        <w:pStyle w:val="ArabicVerse"/>
        <w:keepNext/>
        <w:bidi/>
      </w:pPr>
      <w:r>
        <w:rPr>
          <w:rFonts w:ascii="DejaVu Sans" w:hAnsi="DejaVu Sans" w:eastAsia="DejaVu Sans" w:cs="DejaVu Sans"/>
          <w:color w:val="1F4D78"/>
          <w:sz w:val="36"/>
        </w:rPr>
        <w:t>وَالصُّبْحِ إِذَا أَسْفَرَ</w:t>
      </w:r>
    </w:p>
    <w:p>
      <w:pPr>
        <w:keepNext/>
        <w:spacing w:after="80" w:line="276" w:lineRule="auto"/>
        <w:ind w:left="202" w:right="202"/>
        <w:shd w:fill="FBFCFD"/>
      </w:pPr>
      <w:r>
        <w:rPr>
          <w:rFonts w:ascii="Calibri" w:hAnsi="Calibri" w:eastAsia="Calibri" w:cs="Calibri"/>
          <w:b/>
          <w:color w:val="1F4D78"/>
          <w:sz w:val="18"/>
        </w:rPr>
        <w:t xml:space="preserve">M. A. S. Abdel Haleem: </w:t>
      </w:r>
      <w:r>
        <w:rPr>
          <w:rFonts w:ascii="Calibri" w:hAnsi="Calibri" w:eastAsia="Calibri" w:cs="Calibri"/>
          <w:color w:val="1E2933"/>
          <w:sz w:val="18"/>
        </w:rPr>
        <w:t>By the shining dawn</w:t>
      </w:r>
    </w:p>
    <w:p>
      <w:pPr>
        <w:keepNext/>
        <w:spacing w:after="80" w:line="276" w:lineRule="auto"/>
        <w:ind w:left="202" w:right="202"/>
        <w:shd w:fill="FBFCFD"/>
      </w:pPr>
      <w:r>
        <w:rPr>
          <w:rFonts w:ascii="Calibri" w:hAnsi="Calibri" w:eastAsia="Calibri" w:cs="Calibri"/>
          <w:b/>
          <w:color w:val="1F4D78"/>
          <w:sz w:val="18"/>
        </w:rPr>
        <w:t xml:space="preserve">Mustafa Khattab, The Clear Quran: </w:t>
      </w:r>
      <w:r>
        <w:rPr>
          <w:rFonts w:ascii="Calibri" w:hAnsi="Calibri" w:eastAsia="Calibri" w:cs="Calibri"/>
          <w:color w:val="1E2933"/>
          <w:sz w:val="18"/>
        </w:rPr>
        <w:t>and the day as it breaks</w:t>
      </w:r>
    </w:p>
    <w:p>
      <w:pPr>
        <w:keepNext/>
        <w:spacing w:after="80" w:line="276" w:lineRule="auto"/>
        <w:ind w:left="202" w:right="202"/>
        <w:shd w:fill="FBFCFD"/>
      </w:pPr>
      <w:r>
        <w:rPr>
          <w:rFonts w:ascii="Calibri" w:hAnsi="Calibri" w:eastAsia="Calibri" w:cs="Calibri"/>
          <w:b/>
          <w:color w:val="1F4D78"/>
          <w:sz w:val="18"/>
        </w:rPr>
        <w:t xml:space="preserve">Sahih International: </w:t>
      </w:r>
      <w:r>
        <w:rPr>
          <w:rFonts w:ascii="Calibri" w:hAnsi="Calibri" w:eastAsia="Calibri" w:cs="Calibri"/>
          <w:color w:val="1E2933"/>
          <w:sz w:val="18"/>
        </w:rPr>
        <w:t>And [by] the morning when it brightens,</w:t>
      </w:r>
    </w:p>
    <w:p>
      <w:pPr>
        <w:keepNext/>
        <w:spacing w:after="80" w:line="276" w:lineRule="auto"/>
        <w:ind w:left="202" w:right="202"/>
        <w:shd w:fill="FBFCFD"/>
      </w:pPr>
      <w:r>
        <w:rPr>
          <w:rFonts w:ascii="Calibri" w:hAnsi="Calibri" w:eastAsia="Calibri" w:cs="Calibri"/>
          <w:b/>
          <w:color w:val="1F4D78"/>
          <w:sz w:val="18"/>
        </w:rPr>
        <w:t xml:space="preserve">Marmaduke Pickthall: </w:t>
      </w:r>
      <w:r>
        <w:rPr>
          <w:rFonts w:ascii="Calibri" w:hAnsi="Calibri" w:eastAsia="Calibri" w:cs="Calibri"/>
          <w:color w:val="1E2933"/>
          <w:sz w:val="18"/>
        </w:rPr>
        <w:t>And the dawn when it shineth forth</w:t>
      </w:r>
    </w:p>
    <w:p>
      <w:pPr>
        <w:keepNext/>
        <w:spacing w:after="80" w:line="276" w:lineRule="auto"/>
        <w:ind w:left="202" w:right="202"/>
        <w:shd w:fill="FBFCFD"/>
      </w:pPr>
      <w:r>
        <w:rPr>
          <w:rFonts w:ascii="Calibri" w:hAnsi="Calibri" w:eastAsia="Calibri" w:cs="Calibri"/>
          <w:b/>
          <w:color w:val="1F4D78"/>
          <w:sz w:val="18"/>
        </w:rPr>
        <w:t xml:space="preserve">Abdullah Yusuf Ali: </w:t>
      </w:r>
      <w:r>
        <w:rPr>
          <w:rFonts w:ascii="Calibri" w:hAnsi="Calibri" w:eastAsia="Calibri" w:cs="Calibri"/>
          <w:color w:val="1E2933"/>
          <w:sz w:val="18"/>
        </w:rPr>
        <w:t>And by the Dawn as it shineth forth</w:t>
      </w:r>
    </w:p>
    <w:p>
      <w:pPr>
        <w:keepNext w:val="0"/>
        <w:spacing w:after="0" w:line="276" w:lineRule="auto"/>
        <w:ind w:left="202" w:right="202"/>
        <w:shd w:fill="FBFCFD"/>
      </w:pPr>
      <w:r>
        <w:rPr>
          <w:rFonts w:ascii="Calibri" w:hAnsi="Calibri" w:eastAsia="Calibri" w:cs="Calibri"/>
          <w:b/>
          <w:color w:val="1F4D78"/>
          <w:sz w:val="18"/>
        </w:rPr>
        <w:t xml:space="preserve">Muhammad Asad: </w:t>
      </w:r>
      <w:r>
        <w:rPr>
          <w:rFonts w:ascii="Calibri" w:hAnsi="Calibri" w:eastAsia="Calibri" w:cs="Calibri"/>
          <w:color w:val="1E2933"/>
          <w:sz w:val="18"/>
        </w:rPr>
        <w:t>and the morn when it dawns</w:t>
      </w:r>
    </w:p>
    <w:p>
      <w:pPr>
        <w:spacing w:after="0"/>
      </w:pPr>
    </w:p>
    <w:p>
      <w:pPr>
        <w:pStyle w:val="Heading2"/>
        <w:keepNext/>
      </w:pPr>
      <w:r>
        <w:t>Q 103:1 — Declining day / time</w:t>
      </w:r>
    </w:p>
    <w:p>
      <w:pPr>
        <w:keepNext/>
        <w:spacing w:after="40"/>
        <w:jc w:val="left"/>
      </w:pPr>
      <w:r>
        <w:rPr>
          <w:rFonts w:ascii="Calibri" w:hAnsi="Calibri" w:eastAsia="Calibri" w:cs="Calibri"/>
          <w:b/>
          <w:color w:val="B88A2A"/>
          <w:sz w:val="17"/>
        </w:rPr>
        <w:t>SOLAR-TEMPORAL BOUNDARY</w:t>
      </w:r>
    </w:p>
    <w:p>
      <w:pPr>
        <w:pStyle w:val="ArabicVerse"/>
        <w:keepNext/>
        <w:bidi/>
      </w:pPr>
      <w:r>
        <w:rPr>
          <w:rFonts w:ascii="DejaVu Sans" w:hAnsi="DejaVu Sans" w:eastAsia="DejaVu Sans" w:cs="DejaVu Sans"/>
          <w:color w:val="1F4D78"/>
          <w:sz w:val="36"/>
        </w:rPr>
        <w:t>وَالْعَصْرِ</w:t>
      </w:r>
    </w:p>
    <w:p>
      <w:pPr>
        <w:keepNext/>
        <w:spacing w:after="80" w:line="276" w:lineRule="auto"/>
        <w:ind w:left="202" w:right="202"/>
        <w:shd w:fill="FBFCFD"/>
      </w:pPr>
      <w:r>
        <w:rPr>
          <w:rFonts w:ascii="Calibri" w:hAnsi="Calibri" w:eastAsia="Calibri" w:cs="Calibri"/>
          <w:b/>
          <w:color w:val="1F4D78"/>
          <w:sz w:val="18"/>
        </w:rPr>
        <w:t xml:space="preserve">M. A. S. Abdel Haleem: </w:t>
      </w:r>
      <w:r>
        <w:rPr>
          <w:rFonts w:ascii="Calibri" w:hAnsi="Calibri" w:eastAsia="Calibri" w:cs="Calibri"/>
          <w:color w:val="1E2933"/>
          <w:sz w:val="18"/>
        </w:rPr>
        <w:t>By the declining day</w:t>
      </w:r>
    </w:p>
    <w:p>
      <w:pPr>
        <w:keepNext/>
        <w:spacing w:after="80" w:line="276" w:lineRule="auto"/>
        <w:ind w:left="202" w:right="202"/>
        <w:shd w:fill="FBFCFD"/>
      </w:pPr>
      <w:r>
        <w:rPr>
          <w:rFonts w:ascii="Calibri" w:hAnsi="Calibri" w:eastAsia="Calibri" w:cs="Calibri"/>
          <w:b/>
          <w:color w:val="1F4D78"/>
          <w:sz w:val="18"/>
        </w:rPr>
        <w:t xml:space="preserve">Mustafa Khattab, The Clear Quran: </w:t>
      </w:r>
      <w:r>
        <w:rPr>
          <w:rFonts w:ascii="Calibri" w:hAnsi="Calibri" w:eastAsia="Calibri" w:cs="Calibri"/>
          <w:color w:val="1E2933"/>
          <w:sz w:val="18"/>
        </w:rPr>
        <w:t>By the ˹passage of˺ time</w:t>
      </w:r>
    </w:p>
    <w:p>
      <w:pPr>
        <w:keepNext/>
        <w:spacing w:after="80" w:line="276" w:lineRule="auto"/>
        <w:ind w:left="202" w:right="202"/>
        <w:shd w:fill="FBFCFD"/>
      </w:pPr>
      <w:r>
        <w:rPr>
          <w:rFonts w:ascii="Calibri" w:hAnsi="Calibri" w:eastAsia="Calibri" w:cs="Calibri"/>
          <w:b/>
          <w:color w:val="1F4D78"/>
          <w:sz w:val="18"/>
        </w:rPr>
        <w:t xml:space="preserve">Sahih International: </w:t>
      </w:r>
      <w:r>
        <w:rPr>
          <w:rFonts w:ascii="Calibri" w:hAnsi="Calibri" w:eastAsia="Calibri" w:cs="Calibri"/>
          <w:color w:val="1E2933"/>
          <w:sz w:val="18"/>
        </w:rPr>
        <w:t>By time,</w:t>
      </w:r>
    </w:p>
    <w:p>
      <w:pPr>
        <w:keepNext/>
        <w:spacing w:after="80" w:line="276" w:lineRule="auto"/>
        <w:ind w:left="202" w:right="202"/>
        <w:shd w:fill="FBFCFD"/>
      </w:pPr>
      <w:r>
        <w:rPr>
          <w:rFonts w:ascii="Calibri" w:hAnsi="Calibri" w:eastAsia="Calibri" w:cs="Calibri"/>
          <w:b/>
          <w:color w:val="1F4D78"/>
          <w:sz w:val="18"/>
        </w:rPr>
        <w:t xml:space="preserve">Marmaduke Pickthall: </w:t>
      </w:r>
      <w:r>
        <w:rPr>
          <w:rFonts w:ascii="Calibri" w:hAnsi="Calibri" w:eastAsia="Calibri" w:cs="Calibri"/>
          <w:color w:val="1E2933"/>
          <w:sz w:val="18"/>
        </w:rPr>
        <w:t>By the declining day</w:t>
      </w:r>
    </w:p>
    <w:p>
      <w:pPr>
        <w:keepNext/>
        <w:spacing w:after="80" w:line="276" w:lineRule="auto"/>
        <w:ind w:left="202" w:right="202"/>
        <w:shd w:fill="FBFCFD"/>
      </w:pPr>
      <w:r>
        <w:rPr>
          <w:rFonts w:ascii="Calibri" w:hAnsi="Calibri" w:eastAsia="Calibri" w:cs="Calibri"/>
          <w:b/>
          <w:color w:val="1F4D78"/>
          <w:sz w:val="18"/>
        </w:rPr>
        <w:t xml:space="preserve">Abdullah Yusuf Ali: </w:t>
      </w:r>
      <w:r>
        <w:rPr>
          <w:rFonts w:ascii="Calibri" w:hAnsi="Calibri" w:eastAsia="Calibri" w:cs="Calibri"/>
          <w:color w:val="1E2933"/>
          <w:sz w:val="18"/>
        </w:rPr>
        <w:t>By (the Token of) Time (through the ages)</w:t>
      </w:r>
    </w:p>
    <w:p>
      <w:pPr>
        <w:keepNext w:val="0"/>
        <w:spacing w:after="0" w:line="276" w:lineRule="auto"/>
        <w:ind w:left="202" w:right="202"/>
        <w:shd w:fill="FBFCFD"/>
      </w:pPr>
      <w:r>
        <w:rPr>
          <w:rFonts w:ascii="Calibri" w:hAnsi="Calibri" w:eastAsia="Calibri" w:cs="Calibri"/>
          <w:b/>
          <w:color w:val="1F4D78"/>
          <w:sz w:val="18"/>
        </w:rPr>
        <w:t xml:space="preserve">Muhammad Asad: </w:t>
      </w:r>
      <w:r>
        <w:rPr>
          <w:rFonts w:ascii="Calibri" w:hAnsi="Calibri" w:eastAsia="Calibri" w:cs="Calibri"/>
          <w:color w:val="1E2933"/>
          <w:sz w:val="18"/>
        </w:rPr>
        <w:t>CONSIDER the flight of time</w:t>
      </w:r>
    </w:p>
    <w:p>
      <w:pPr>
        <w:spacing w:after="0"/>
      </w:pPr>
    </w:p>
    <w:p>
      <w:pPr>
        <w:pStyle w:val="Heading2"/>
        <w:keepNext/>
      </w:pPr>
      <w:r>
        <w:t>Q 84:16 — Twilight afterglow</w:t>
      </w:r>
    </w:p>
    <w:p>
      <w:pPr>
        <w:keepNext/>
        <w:spacing w:after="40"/>
        <w:jc w:val="left"/>
      </w:pPr>
      <w:r>
        <w:rPr>
          <w:rFonts w:ascii="Calibri" w:hAnsi="Calibri" w:eastAsia="Calibri" w:cs="Calibri"/>
          <w:b/>
          <w:color w:val="B88A2A"/>
          <w:sz w:val="17"/>
        </w:rPr>
        <w:t>SOLAR BOUNDARY</w:t>
      </w:r>
    </w:p>
    <w:p>
      <w:pPr>
        <w:pStyle w:val="ArabicVerse"/>
        <w:keepNext/>
        <w:bidi/>
      </w:pPr>
      <w:r>
        <w:rPr>
          <w:rFonts w:ascii="DejaVu Sans" w:hAnsi="DejaVu Sans" w:eastAsia="DejaVu Sans" w:cs="DejaVu Sans"/>
          <w:color w:val="1F4D78"/>
          <w:sz w:val="36"/>
        </w:rPr>
        <w:t>فَلَا أُقْسِمُ بِالشَّفَقِ</w:t>
      </w:r>
    </w:p>
    <w:p>
      <w:pPr>
        <w:keepNext/>
        <w:spacing w:after="80" w:line="276" w:lineRule="auto"/>
        <w:ind w:left="202" w:right="202"/>
        <w:shd w:fill="FBFCFD"/>
      </w:pPr>
      <w:r>
        <w:rPr>
          <w:rFonts w:ascii="Calibri" w:hAnsi="Calibri" w:eastAsia="Calibri" w:cs="Calibri"/>
          <w:b/>
          <w:color w:val="1F4D78"/>
          <w:sz w:val="18"/>
        </w:rPr>
        <w:t xml:space="preserve">M. A. S. Abdel Haleem: </w:t>
      </w:r>
      <w:r>
        <w:rPr>
          <w:rFonts w:ascii="Calibri" w:hAnsi="Calibri" w:eastAsia="Calibri" w:cs="Calibri"/>
          <w:color w:val="1E2933"/>
          <w:sz w:val="18"/>
        </w:rPr>
        <w:t>I swear by the glow of sunset</w:t>
      </w:r>
    </w:p>
    <w:p>
      <w:pPr>
        <w:keepNext/>
        <w:spacing w:after="80" w:line="276" w:lineRule="auto"/>
        <w:ind w:left="202" w:right="202"/>
        <w:shd w:fill="FBFCFD"/>
      </w:pPr>
      <w:r>
        <w:rPr>
          <w:rFonts w:ascii="Calibri" w:hAnsi="Calibri" w:eastAsia="Calibri" w:cs="Calibri"/>
          <w:b/>
          <w:color w:val="1F4D78"/>
          <w:sz w:val="18"/>
        </w:rPr>
        <w:t xml:space="preserve">Mustafa Khattab, The Clear Quran: </w:t>
      </w:r>
      <w:r>
        <w:rPr>
          <w:rFonts w:ascii="Calibri" w:hAnsi="Calibri" w:eastAsia="Calibri" w:cs="Calibri"/>
          <w:color w:val="1E2933"/>
          <w:sz w:val="18"/>
        </w:rPr>
        <w:t>So, I do swear by the twilight</w:t>
      </w:r>
    </w:p>
    <w:p>
      <w:pPr>
        <w:keepNext/>
        <w:spacing w:after="80" w:line="276" w:lineRule="auto"/>
        <w:ind w:left="202" w:right="202"/>
        <w:shd w:fill="FBFCFD"/>
      </w:pPr>
      <w:r>
        <w:rPr>
          <w:rFonts w:ascii="Calibri" w:hAnsi="Calibri" w:eastAsia="Calibri" w:cs="Calibri"/>
          <w:b/>
          <w:color w:val="1F4D78"/>
          <w:sz w:val="18"/>
        </w:rPr>
        <w:t xml:space="preserve">Sahih International: </w:t>
      </w:r>
      <w:r>
        <w:rPr>
          <w:rFonts w:ascii="Calibri" w:hAnsi="Calibri" w:eastAsia="Calibri" w:cs="Calibri"/>
          <w:color w:val="1E2933"/>
          <w:sz w:val="18"/>
        </w:rPr>
        <w:t>So I swear by the twilight glow</w:t>
      </w:r>
    </w:p>
    <w:p>
      <w:pPr>
        <w:keepNext/>
        <w:spacing w:after="80" w:line="276" w:lineRule="auto"/>
        <w:ind w:left="202" w:right="202"/>
        <w:shd w:fill="FBFCFD"/>
      </w:pPr>
      <w:r>
        <w:rPr>
          <w:rFonts w:ascii="Calibri" w:hAnsi="Calibri" w:eastAsia="Calibri" w:cs="Calibri"/>
          <w:b/>
          <w:color w:val="1F4D78"/>
          <w:sz w:val="18"/>
        </w:rPr>
        <w:t xml:space="preserve">Marmaduke Pickthall: </w:t>
      </w:r>
      <w:r>
        <w:rPr>
          <w:rFonts w:ascii="Calibri" w:hAnsi="Calibri" w:eastAsia="Calibri" w:cs="Calibri"/>
          <w:color w:val="1E2933"/>
          <w:sz w:val="18"/>
        </w:rPr>
        <w:t>Oh, I swear by the afterglow of sunset</w:t>
      </w:r>
    </w:p>
    <w:p>
      <w:pPr>
        <w:keepNext/>
        <w:spacing w:after="80" w:line="276" w:lineRule="auto"/>
        <w:ind w:left="202" w:right="202"/>
        <w:shd w:fill="FBFCFD"/>
      </w:pPr>
      <w:r>
        <w:rPr>
          <w:rFonts w:ascii="Calibri" w:hAnsi="Calibri" w:eastAsia="Calibri" w:cs="Calibri"/>
          <w:b/>
          <w:color w:val="1F4D78"/>
          <w:sz w:val="18"/>
        </w:rPr>
        <w:t xml:space="preserve">Abdullah Yusuf Ali: </w:t>
      </w:r>
      <w:r>
        <w:rPr>
          <w:rFonts w:ascii="Calibri" w:hAnsi="Calibri" w:eastAsia="Calibri" w:cs="Calibri"/>
          <w:color w:val="1E2933"/>
          <w:sz w:val="18"/>
        </w:rPr>
        <w:t>So I do call to witness the ruddy glow of Sunset</w:t>
      </w:r>
    </w:p>
    <w:p>
      <w:pPr>
        <w:keepNext w:val="0"/>
        <w:spacing w:after="0" w:line="276" w:lineRule="auto"/>
        <w:ind w:left="202" w:right="202"/>
        <w:shd w:fill="FBFCFD"/>
      </w:pPr>
      <w:r>
        <w:rPr>
          <w:rFonts w:ascii="Calibri" w:hAnsi="Calibri" w:eastAsia="Calibri" w:cs="Calibri"/>
          <w:b/>
          <w:color w:val="1F4D78"/>
          <w:sz w:val="18"/>
        </w:rPr>
        <w:t xml:space="preserve">Muhammad Asad: </w:t>
      </w:r>
      <w:r>
        <w:rPr>
          <w:rFonts w:ascii="Calibri" w:hAnsi="Calibri" w:eastAsia="Calibri" w:cs="Calibri"/>
          <w:color w:val="1E2933"/>
          <w:sz w:val="18"/>
        </w:rPr>
        <w:t>BUT NAY! I call to witness the sunset's [fleeting] afterglow</w:t>
      </w:r>
    </w:p>
    <w:p>
      <w:pPr>
        <w:spacing w:after="0"/>
      </w:pPr>
    </w:p>
    <w:p>
      <w:pPr>
        <w:pStyle w:val="Heading2"/>
        <w:keepNext/>
      </w:pPr>
      <w:r>
        <w:t>Q 70:40 — The Lord of many sunrises and sunsets</w:t>
      </w:r>
    </w:p>
    <w:p>
      <w:pPr>
        <w:keepNext/>
        <w:spacing w:after="40"/>
        <w:jc w:val="left"/>
      </w:pPr>
      <w:r>
        <w:rPr>
          <w:rFonts w:ascii="Calibri" w:hAnsi="Calibri" w:eastAsia="Calibri" w:cs="Calibri"/>
          <w:b/>
          <w:color w:val="B88A2A"/>
          <w:sz w:val="17"/>
        </w:rPr>
        <w:t>RELATED DIVINE SELF-OATH</w:t>
      </w:r>
    </w:p>
    <w:p>
      <w:pPr>
        <w:pStyle w:val="ArabicVerse"/>
        <w:keepNext/>
        <w:bidi/>
      </w:pPr>
      <w:r>
        <w:rPr>
          <w:rFonts w:ascii="DejaVu Sans" w:hAnsi="DejaVu Sans" w:eastAsia="DejaVu Sans" w:cs="DejaVu Sans"/>
          <w:color w:val="1F4D78"/>
          <w:sz w:val="36"/>
        </w:rPr>
        <w:t>فَلَا أُقْسِمُ بِرَبِّ الْمَشَارِقِ وَالْمَغَارِبِ إِنَّا لَقَادِرُونَ</w:t>
      </w:r>
    </w:p>
    <w:p>
      <w:pPr>
        <w:keepNext/>
        <w:spacing w:after="80" w:line="276" w:lineRule="auto"/>
        <w:ind w:left="202" w:right="202"/>
        <w:shd w:fill="FBFCFD"/>
      </w:pPr>
      <w:r>
        <w:rPr>
          <w:rFonts w:ascii="Calibri" w:hAnsi="Calibri" w:eastAsia="Calibri" w:cs="Calibri"/>
          <w:b/>
          <w:color w:val="1F4D78"/>
          <w:sz w:val="18"/>
        </w:rPr>
        <w:t xml:space="preserve">M. A. S. Abdel Haleem: </w:t>
      </w:r>
      <w:r>
        <w:rPr>
          <w:rFonts w:ascii="Calibri" w:hAnsi="Calibri" w:eastAsia="Calibri" w:cs="Calibri"/>
          <w:color w:val="1E2933"/>
          <w:sz w:val="18"/>
        </w:rPr>
        <w:t>and, by the Lord of every sunrise and sunset, We have the power</w:t>
      </w:r>
    </w:p>
    <w:p>
      <w:pPr>
        <w:keepNext/>
        <w:spacing w:after="80" w:line="276" w:lineRule="auto"/>
        <w:ind w:left="202" w:right="202"/>
        <w:shd w:fill="FBFCFD"/>
      </w:pPr>
      <w:r>
        <w:rPr>
          <w:rFonts w:ascii="Calibri" w:hAnsi="Calibri" w:eastAsia="Calibri" w:cs="Calibri"/>
          <w:b/>
          <w:color w:val="1F4D78"/>
          <w:sz w:val="18"/>
        </w:rPr>
        <w:t xml:space="preserve">Mustafa Khattab, The Clear Quran: </w:t>
      </w:r>
      <w:r>
        <w:rPr>
          <w:rFonts w:ascii="Calibri" w:hAnsi="Calibri" w:eastAsia="Calibri" w:cs="Calibri"/>
          <w:color w:val="1E2933"/>
          <w:sz w:val="18"/>
        </w:rPr>
        <w:t>So, I do swear by the Lord of ˹all˺ the points of sunrise and sunset that We are truly capable</w:t>
      </w:r>
    </w:p>
    <w:p>
      <w:pPr>
        <w:keepNext/>
        <w:spacing w:after="80" w:line="276" w:lineRule="auto"/>
        <w:ind w:left="202" w:right="202"/>
        <w:shd w:fill="FBFCFD"/>
      </w:pPr>
      <w:r>
        <w:rPr>
          <w:rFonts w:ascii="Calibri" w:hAnsi="Calibri" w:eastAsia="Calibri" w:cs="Calibri"/>
          <w:b/>
          <w:color w:val="1F4D78"/>
          <w:sz w:val="18"/>
        </w:rPr>
        <w:t xml:space="preserve">Sahih International: </w:t>
      </w:r>
      <w:r>
        <w:rPr>
          <w:rFonts w:ascii="Calibri" w:hAnsi="Calibri" w:eastAsia="Calibri" w:cs="Calibri"/>
          <w:color w:val="1E2933"/>
          <w:sz w:val="18"/>
        </w:rPr>
        <w:t>So I swear by the Lord of [all] risings and settings that indeed We are able</w:t>
      </w:r>
    </w:p>
    <w:p>
      <w:pPr>
        <w:keepNext/>
        <w:spacing w:after="80" w:line="276" w:lineRule="auto"/>
        <w:ind w:left="202" w:right="202"/>
        <w:shd w:fill="FBFCFD"/>
      </w:pPr>
      <w:r>
        <w:rPr>
          <w:rFonts w:ascii="Calibri" w:hAnsi="Calibri" w:eastAsia="Calibri" w:cs="Calibri"/>
          <w:b/>
          <w:color w:val="1F4D78"/>
          <w:sz w:val="18"/>
        </w:rPr>
        <w:t xml:space="preserve">Marmaduke Pickthall: </w:t>
      </w:r>
      <w:r>
        <w:rPr>
          <w:rFonts w:ascii="Calibri" w:hAnsi="Calibri" w:eastAsia="Calibri" w:cs="Calibri"/>
          <w:color w:val="1E2933"/>
          <w:sz w:val="18"/>
        </w:rPr>
        <w:t>But nay! I swear by the Lord of the rising-places and the setting-places of the planets that We verily are Able</w:t>
      </w:r>
    </w:p>
    <w:p>
      <w:pPr>
        <w:keepNext/>
        <w:spacing w:after="80" w:line="276" w:lineRule="auto"/>
        <w:ind w:left="202" w:right="202"/>
        <w:shd w:fill="FBFCFD"/>
      </w:pPr>
      <w:r>
        <w:rPr>
          <w:rFonts w:ascii="Calibri" w:hAnsi="Calibri" w:eastAsia="Calibri" w:cs="Calibri"/>
          <w:b/>
          <w:color w:val="1F4D78"/>
          <w:sz w:val="18"/>
        </w:rPr>
        <w:t xml:space="preserve">Abdullah Yusuf Ali: </w:t>
      </w:r>
      <w:r>
        <w:rPr>
          <w:rFonts w:ascii="Calibri" w:hAnsi="Calibri" w:eastAsia="Calibri" w:cs="Calibri"/>
          <w:color w:val="1E2933"/>
          <w:sz w:val="18"/>
        </w:rPr>
        <w:t>Now I do call to witness the Lord of all points in the East and the West that We can certainly</w:t>
      </w:r>
    </w:p>
    <w:p>
      <w:pPr>
        <w:keepNext w:val="0"/>
        <w:spacing w:after="0" w:line="276" w:lineRule="auto"/>
        <w:ind w:left="202" w:right="202"/>
        <w:shd w:fill="FBFCFD"/>
      </w:pPr>
      <w:r>
        <w:rPr>
          <w:rFonts w:ascii="Calibri" w:hAnsi="Calibri" w:eastAsia="Calibri" w:cs="Calibri"/>
          <w:b/>
          <w:color w:val="1F4D78"/>
          <w:sz w:val="18"/>
        </w:rPr>
        <w:t xml:space="preserve">Muhammad Asad: </w:t>
      </w:r>
      <w:r>
        <w:rPr>
          <w:rFonts w:ascii="Calibri" w:hAnsi="Calibri" w:eastAsia="Calibri" w:cs="Calibri"/>
          <w:color w:val="1E2933"/>
          <w:sz w:val="18"/>
        </w:rPr>
        <w:t>But nay! I call to witness [Our being] the Sustainer of all the points of sunrise and sunset: verily, well able are We</w:t>
      </w:r>
    </w:p>
    <w:p>
      <w:pPr>
        <w:spacing w:after="0"/>
      </w:pPr>
    </w:p>
    <w:p>
      <w:pPr>
        <w:pStyle w:val="Heading2"/>
        <w:keepNext/>
      </w:pPr>
      <w:r>
        <w:t>Q 75:1 — The Day of Resurrection</w:t>
      </w:r>
    </w:p>
    <w:p>
      <w:pPr>
        <w:keepNext/>
        <w:spacing w:after="40"/>
        <w:jc w:val="left"/>
      </w:pPr>
      <w:r>
        <w:rPr>
          <w:rFonts w:ascii="Calibri" w:hAnsi="Calibri" w:eastAsia="Calibri" w:cs="Calibri"/>
          <w:b/>
          <w:color w:val="B88A2A"/>
          <w:sz w:val="17"/>
        </w:rPr>
        <w:t>ESCHATOLOGICAL DAY</w:t>
      </w:r>
    </w:p>
    <w:p>
      <w:pPr>
        <w:pStyle w:val="ArabicVerse"/>
        <w:keepNext/>
        <w:bidi/>
      </w:pPr>
      <w:r>
        <w:rPr>
          <w:rFonts w:ascii="DejaVu Sans" w:hAnsi="DejaVu Sans" w:eastAsia="DejaVu Sans" w:cs="DejaVu Sans"/>
          <w:color w:val="1F4D78"/>
          <w:sz w:val="36"/>
        </w:rPr>
        <w:t>لَا أُقْسِمُ بِيَوْمِ الْقِيَامَةِ</w:t>
      </w:r>
    </w:p>
    <w:p>
      <w:pPr>
        <w:keepNext/>
        <w:spacing w:after="80" w:line="276" w:lineRule="auto"/>
        <w:ind w:left="202" w:right="202"/>
        <w:shd w:fill="FBFCFD"/>
      </w:pPr>
      <w:r>
        <w:rPr>
          <w:rFonts w:ascii="Calibri" w:hAnsi="Calibri" w:eastAsia="Calibri" w:cs="Calibri"/>
          <w:b/>
          <w:color w:val="1F4D78"/>
          <w:sz w:val="18"/>
        </w:rPr>
        <w:t xml:space="preserve">M. A. S. Abdel Haleem: </w:t>
      </w:r>
      <w:r>
        <w:rPr>
          <w:rFonts w:ascii="Calibri" w:hAnsi="Calibri" w:eastAsia="Calibri" w:cs="Calibri"/>
          <w:color w:val="1E2933"/>
          <w:sz w:val="18"/>
        </w:rPr>
        <w:t>By the Day of Resurrection</w:t>
      </w:r>
    </w:p>
    <w:p>
      <w:pPr>
        <w:keepNext/>
        <w:spacing w:after="80" w:line="276" w:lineRule="auto"/>
        <w:ind w:left="202" w:right="202"/>
        <w:shd w:fill="FBFCFD"/>
      </w:pPr>
      <w:r>
        <w:rPr>
          <w:rFonts w:ascii="Calibri" w:hAnsi="Calibri" w:eastAsia="Calibri" w:cs="Calibri"/>
          <w:b/>
          <w:color w:val="1F4D78"/>
          <w:sz w:val="18"/>
        </w:rPr>
        <w:t xml:space="preserve">Mustafa Khattab, The Clear Quran: </w:t>
      </w:r>
      <w:r>
        <w:rPr>
          <w:rFonts w:ascii="Calibri" w:hAnsi="Calibri" w:eastAsia="Calibri" w:cs="Calibri"/>
          <w:color w:val="1E2933"/>
          <w:sz w:val="18"/>
        </w:rPr>
        <w:t>I do swear by the Day of Judgment</w:t>
      </w:r>
    </w:p>
    <w:p>
      <w:pPr>
        <w:keepNext/>
        <w:spacing w:after="80" w:line="276" w:lineRule="auto"/>
        <w:ind w:left="202" w:right="202"/>
        <w:shd w:fill="FBFCFD"/>
      </w:pPr>
      <w:r>
        <w:rPr>
          <w:rFonts w:ascii="Calibri" w:hAnsi="Calibri" w:eastAsia="Calibri" w:cs="Calibri"/>
          <w:b/>
          <w:color w:val="1F4D78"/>
          <w:sz w:val="18"/>
        </w:rPr>
        <w:t xml:space="preserve">Sahih International: </w:t>
      </w:r>
      <w:r>
        <w:rPr>
          <w:rFonts w:ascii="Calibri" w:hAnsi="Calibri" w:eastAsia="Calibri" w:cs="Calibri"/>
          <w:color w:val="1E2933"/>
          <w:sz w:val="18"/>
        </w:rPr>
        <w:t>I swear by the Day of Resurrection</w:t>
      </w:r>
    </w:p>
    <w:p>
      <w:pPr>
        <w:keepNext/>
        <w:spacing w:after="80" w:line="276" w:lineRule="auto"/>
        <w:ind w:left="202" w:right="202"/>
        <w:shd w:fill="FBFCFD"/>
      </w:pPr>
      <w:r>
        <w:rPr>
          <w:rFonts w:ascii="Calibri" w:hAnsi="Calibri" w:eastAsia="Calibri" w:cs="Calibri"/>
          <w:b/>
          <w:color w:val="1F4D78"/>
          <w:sz w:val="18"/>
        </w:rPr>
        <w:t xml:space="preserve">Marmaduke Pickthall: </w:t>
      </w:r>
      <w:r>
        <w:rPr>
          <w:rFonts w:ascii="Calibri" w:hAnsi="Calibri" w:eastAsia="Calibri" w:cs="Calibri"/>
          <w:color w:val="1E2933"/>
          <w:sz w:val="18"/>
        </w:rPr>
        <w:t>Nay, I swear by the Day of Resurrection</w:t>
      </w:r>
    </w:p>
    <w:p>
      <w:pPr>
        <w:keepNext/>
        <w:spacing w:after="80" w:line="276" w:lineRule="auto"/>
        <w:ind w:left="202" w:right="202"/>
        <w:shd w:fill="FBFCFD"/>
      </w:pPr>
      <w:r>
        <w:rPr>
          <w:rFonts w:ascii="Calibri" w:hAnsi="Calibri" w:eastAsia="Calibri" w:cs="Calibri"/>
          <w:b/>
          <w:color w:val="1F4D78"/>
          <w:sz w:val="18"/>
        </w:rPr>
        <w:t xml:space="preserve">Abdullah Yusuf Ali: </w:t>
      </w:r>
      <w:r>
        <w:rPr>
          <w:rFonts w:ascii="Calibri" w:hAnsi="Calibri" w:eastAsia="Calibri" w:cs="Calibri"/>
          <w:color w:val="1E2933"/>
          <w:sz w:val="18"/>
        </w:rPr>
        <w:t>I do call to witness the Resurrection Day</w:t>
      </w:r>
    </w:p>
    <w:p>
      <w:pPr>
        <w:keepNext w:val="0"/>
        <w:spacing w:after="0" w:line="276" w:lineRule="auto"/>
        <w:ind w:left="202" w:right="202"/>
        <w:shd w:fill="FBFCFD"/>
      </w:pPr>
      <w:r>
        <w:rPr>
          <w:rFonts w:ascii="Calibri" w:hAnsi="Calibri" w:eastAsia="Calibri" w:cs="Calibri"/>
          <w:b/>
          <w:color w:val="1F4D78"/>
          <w:sz w:val="18"/>
        </w:rPr>
        <w:t xml:space="preserve">Muhammad Asad: </w:t>
      </w:r>
      <w:r>
        <w:rPr>
          <w:rFonts w:ascii="Calibri" w:hAnsi="Calibri" w:eastAsia="Calibri" w:cs="Calibri"/>
          <w:color w:val="1E2933"/>
          <w:sz w:val="18"/>
        </w:rPr>
        <w:t>NAY! I call to witness the Day of Resurrection</w:t>
      </w:r>
    </w:p>
    <w:p>
      <w:pPr>
        <w:spacing w:after="0"/>
      </w:pPr>
    </w:p>
    <w:p>
      <w:pPr>
        <w:pStyle w:val="Heading2"/>
        <w:keepNext/>
      </w:pPr>
      <w:r>
        <w:t>Q 85:2 — The Promised Day</w:t>
      </w:r>
    </w:p>
    <w:p>
      <w:pPr>
        <w:keepNext/>
        <w:spacing w:after="40"/>
        <w:jc w:val="left"/>
      </w:pPr>
      <w:r>
        <w:rPr>
          <w:rFonts w:ascii="Calibri" w:hAnsi="Calibri" w:eastAsia="Calibri" w:cs="Calibri"/>
          <w:b/>
          <w:color w:val="B88A2A"/>
          <w:sz w:val="17"/>
        </w:rPr>
        <w:t>ESCHATOLOGICAL DAY</w:t>
      </w:r>
    </w:p>
    <w:p>
      <w:pPr>
        <w:pStyle w:val="ArabicVerse"/>
        <w:keepNext/>
        <w:bidi/>
      </w:pPr>
      <w:r>
        <w:rPr>
          <w:rFonts w:ascii="DejaVu Sans" w:hAnsi="DejaVu Sans" w:eastAsia="DejaVu Sans" w:cs="DejaVu Sans"/>
          <w:color w:val="1F4D78"/>
          <w:sz w:val="36"/>
        </w:rPr>
        <w:t>وَالْيَوْمِ الْمَوْعُودِ</w:t>
      </w:r>
    </w:p>
    <w:p>
      <w:pPr>
        <w:keepNext/>
        <w:spacing w:after="80" w:line="276" w:lineRule="auto"/>
        <w:ind w:left="202" w:right="202"/>
        <w:shd w:fill="FBFCFD"/>
      </w:pPr>
      <w:r>
        <w:rPr>
          <w:rFonts w:ascii="Calibri" w:hAnsi="Calibri" w:eastAsia="Calibri" w:cs="Calibri"/>
          <w:b/>
          <w:color w:val="1F4D78"/>
          <w:sz w:val="18"/>
        </w:rPr>
        <w:t xml:space="preserve">M. A. S. Abdel Haleem: </w:t>
      </w:r>
      <w:r>
        <w:rPr>
          <w:rFonts w:ascii="Calibri" w:hAnsi="Calibri" w:eastAsia="Calibri" w:cs="Calibri"/>
          <w:color w:val="1E2933"/>
          <w:sz w:val="18"/>
        </w:rPr>
        <w:t>by the promised Day</w:t>
      </w:r>
    </w:p>
    <w:p>
      <w:pPr>
        <w:keepNext/>
        <w:spacing w:after="80" w:line="276" w:lineRule="auto"/>
        <w:ind w:left="202" w:right="202"/>
        <w:shd w:fill="FBFCFD"/>
      </w:pPr>
      <w:r>
        <w:rPr>
          <w:rFonts w:ascii="Calibri" w:hAnsi="Calibri" w:eastAsia="Calibri" w:cs="Calibri"/>
          <w:b/>
          <w:color w:val="1F4D78"/>
          <w:sz w:val="18"/>
        </w:rPr>
        <w:t xml:space="preserve">Mustafa Khattab, The Clear Quran: </w:t>
      </w:r>
      <w:r>
        <w:rPr>
          <w:rFonts w:ascii="Calibri" w:hAnsi="Calibri" w:eastAsia="Calibri" w:cs="Calibri"/>
          <w:color w:val="1E2933"/>
          <w:sz w:val="18"/>
        </w:rPr>
        <w:t>and the promised Day ˹of Judgment˺</w:t>
      </w:r>
    </w:p>
    <w:p>
      <w:pPr>
        <w:keepNext/>
        <w:spacing w:after="80" w:line="276" w:lineRule="auto"/>
        <w:ind w:left="202" w:right="202"/>
        <w:shd w:fill="FBFCFD"/>
      </w:pPr>
      <w:r>
        <w:rPr>
          <w:rFonts w:ascii="Calibri" w:hAnsi="Calibri" w:eastAsia="Calibri" w:cs="Calibri"/>
          <w:b/>
          <w:color w:val="1F4D78"/>
          <w:sz w:val="18"/>
        </w:rPr>
        <w:t xml:space="preserve">Sahih International: </w:t>
      </w:r>
      <w:r>
        <w:rPr>
          <w:rFonts w:ascii="Calibri" w:hAnsi="Calibri" w:eastAsia="Calibri" w:cs="Calibri"/>
          <w:color w:val="1E2933"/>
          <w:sz w:val="18"/>
        </w:rPr>
        <w:t>And [by] the promised Day</w:t>
      </w:r>
    </w:p>
    <w:p>
      <w:pPr>
        <w:keepNext/>
        <w:spacing w:after="80" w:line="276" w:lineRule="auto"/>
        <w:ind w:left="202" w:right="202"/>
        <w:shd w:fill="FBFCFD"/>
      </w:pPr>
      <w:r>
        <w:rPr>
          <w:rFonts w:ascii="Calibri" w:hAnsi="Calibri" w:eastAsia="Calibri" w:cs="Calibri"/>
          <w:b/>
          <w:color w:val="1F4D78"/>
          <w:sz w:val="18"/>
        </w:rPr>
        <w:t xml:space="preserve">Marmaduke Pickthall: </w:t>
      </w:r>
      <w:r>
        <w:rPr>
          <w:rFonts w:ascii="Calibri" w:hAnsi="Calibri" w:eastAsia="Calibri" w:cs="Calibri"/>
          <w:color w:val="1E2933"/>
          <w:sz w:val="18"/>
        </w:rPr>
        <w:t>And by the Promised Day</w:t>
      </w:r>
    </w:p>
    <w:p>
      <w:pPr>
        <w:keepNext/>
        <w:spacing w:after="80" w:line="276" w:lineRule="auto"/>
        <w:ind w:left="202" w:right="202"/>
        <w:shd w:fill="FBFCFD"/>
      </w:pPr>
      <w:r>
        <w:rPr>
          <w:rFonts w:ascii="Calibri" w:hAnsi="Calibri" w:eastAsia="Calibri" w:cs="Calibri"/>
          <w:b/>
          <w:color w:val="1F4D78"/>
          <w:sz w:val="18"/>
        </w:rPr>
        <w:t xml:space="preserve">Abdullah Yusuf Ali: </w:t>
      </w:r>
      <w:r>
        <w:rPr>
          <w:rFonts w:ascii="Calibri" w:hAnsi="Calibri" w:eastAsia="Calibri" w:cs="Calibri"/>
          <w:color w:val="1E2933"/>
          <w:sz w:val="18"/>
        </w:rPr>
        <w:t>By the promised Day (of Judgment)</w:t>
      </w:r>
    </w:p>
    <w:p>
      <w:pPr>
        <w:keepNext w:val="0"/>
        <w:spacing w:after="0" w:line="276" w:lineRule="auto"/>
        <w:ind w:left="202" w:right="202"/>
        <w:shd w:fill="FBFCFD"/>
      </w:pPr>
      <w:r>
        <w:rPr>
          <w:rFonts w:ascii="Calibri" w:hAnsi="Calibri" w:eastAsia="Calibri" w:cs="Calibri"/>
          <w:b/>
          <w:color w:val="1F4D78"/>
          <w:sz w:val="18"/>
        </w:rPr>
        <w:t xml:space="preserve">Muhammad Asad: </w:t>
      </w:r>
      <w:r>
        <w:rPr>
          <w:rFonts w:ascii="Calibri" w:hAnsi="Calibri" w:eastAsia="Calibri" w:cs="Calibri"/>
          <w:color w:val="1E2933"/>
          <w:sz w:val="18"/>
        </w:rPr>
        <w:t>and [then bethink thyself of] the promised Day</w:t>
      </w:r>
    </w:p>
    <w:p>
      <w:pPr>
        <w:spacing w:after="0"/>
      </w:pPr>
    </w:p>
    <w:p>
      <w:pPr>
        <w:pStyle w:val="Heading1"/>
        <w:keepNext/>
      </w:pPr>
      <w:r>
        <w:t>3. How Qur’anic oaths reason</w:t>
      </w:r>
    </w:p>
    <w:p>
      <w:pPr>
        <w:pStyle w:val="Heading2"/>
        <w:keepNext/>
      </w:pPr>
      <w:r>
        <w:t>3.1 Not divine uncertainty, but human attention</w:t>
      </w:r>
    </w:p>
    <w:p>
      <w:r>
        <w:rPr>
          <w:i w:val="0"/>
        </w:rPr>
        <w:t>An omniscient God does not swear because He lacks confidence or evidence. The oath is audience-facing rhetoric. It interrupts habitual perception, marks a claim as grave, and tells the hearer where to look. The Sun and dawn are effective precisely because they are simultaneously familiar and inexhaustible: no listener needs a telescope to recognize them, but no civilization can finish knowing them.</w:t>
      </w:r>
    </w:p>
    <w:p>
      <w:r>
        <w:rPr>
          <w:i w:val="0"/>
        </w:rPr>
        <w:t>Islamic tradition preserves an important asymmetry. Human beings are directed to swear by God, whereas God may summon created things. The created object is not a rival sacred power. Q 41:37 provides the Qur’an’s own control: night, day, Sun, and Moon are signs, but worship belongs to their Creator. Shah repeatedly develops this as “nature’s testimony”: the witness is honored in order to redirect attention beyond itself. [4,8]</w:t>
      </w:r>
    </w:p>
    <w:p>
      <w:pPr>
        <w:pStyle w:val="Heading2"/>
        <w:keepNext/>
      </w:pPr>
      <w:r>
        <w:t>3.2 Witness and claim</w:t>
      </w:r>
    </w:p>
    <w:tbl>
      <w:tblPr>
        <w:tblW w:type="auto" w:w="0"/>
        <w:jc w:val="center"/>
        <w:tblLayout w:type="fixed"/>
        <w:tblLook w:firstColumn="1" w:firstRow="1" w:lastColumn="0" w:lastRow="0" w:noHBand="0" w:noVBand="1" w:val="04A0"/>
        <w:tblBorders>
          <w:top w:val="single" w:sz="4" w:space="0" w:color="D9E1E8"/>
          <w:left w:val="single" w:sz="4" w:space="0" w:color="D9E1E8"/>
          <w:bottom w:val="single" w:sz="4" w:space="0" w:color="D9E1E8"/>
          <w:right w:val="single" w:sz="4" w:space="0" w:color="D9E1E8"/>
          <w:insideH w:val="single" w:sz="4" w:space="0" w:color="D9E1E8"/>
          <w:insideV w:val="single" w:sz="4" w:space="0" w:color="D9E1E8"/>
        </w:tblBorders>
      </w:tblPr>
      <w:tblGrid>
        <w:gridCol w:w="3120"/>
        <w:gridCol w:w="3120"/>
        <w:gridCol w:w="3120"/>
      </w:tblGrid>
      <w:tr>
        <w:trPr>
          <w:tblHeader w:val="true"/>
        </w:trPr>
        <w:tc>
          <w:tcPr>
            <w:tcW w:type="dxa" w:w="1728"/>
            <w:shd w:fill="F4F6F9"/>
            <w:tcMar>
              <w:top w:w="80" w:type="dxa"/>
              <w:start w:w="120" w:type="dxa"/>
              <w:bottom w:w="80" w:type="dxa"/>
              <w:end w:w="120" w:type="dxa"/>
            </w:tcMar>
            <w:vAlign w:val="center"/>
          </w:tcPr>
          <w:p>
            <w:r>
              <w:rPr>
                <w:rFonts w:ascii="Calibri" w:hAnsi="Calibri" w:eastAsia="Calibri" w:cs="Calibri"/>
                <w:b/>
                <w:color w:val="1F4D78"/>
                <w:sz w:val="17"/>
              </w:rPr>
              <w:t>Oath cluster</w:t>
            </w:r>
          </w:p>
        </w:tc>
        <w:tc>
          <w:tcPr>
            <w:tcW w:type="dxa" w:w="3384"/>
            <w:shd w:fill="F4F6F9"/>
            <w:tcMar>
              <w:top w:w="80" w:type="dxa"/>
              <w:start w:w="120" w:type="dxa"/>
              <w:bottom w:w="80" w:type="dxa"/>
              <w:end w:w="120" w:type="dxa"/>
            </w:tcMar>
            <w:vAlign w:val="center"/>
          </w:tcPr>
          <w:p>
            <w:r>
              <w:rPr>
                <w:rFonts w:ascii="Calibri" w:hAnsi="Calibri" w:eastAsia="Calibri" w:cs="Calibri"/>
                <w:b/>
                <w:color w:val="1F4D78"/>
                <w:sz w:val="17"/>
              </w:rPr>
              <w:t>Jawāb / affirmed claim</w:t>
            </w:r>
          </w:p>
        </w:tc>
        <w:tc>
          <w:tcPr>
            <w:tcW w:type="dxa" w:w="4248"/>
            <w:shd w:fill="F4F6F9"/>
            <w:tcMar>
              <w:top w:w="80" w:type="dxa"/>
              <w:start w:w="120" w:type="dxa"/>
              <w:bottom w:w="80" w:type="dxa"/>
              <w:end w:w="120" w:type="dxa"/>
            </w:tcMar>
            <w:vAlign w:val="center"/>
          </w:tcPr>
          <w:p>
            <w:r>
              <w:rPr>
                <w:rFonts w:ascii="Calibri" w:hAnsi="Calibri" w:eastAsia="Calibri" w:cs="Calibri"/>
                <w:b/>
                <w:color w:val="1F4D78"/>
                <w:sz w:val="17"/>
              </w:rPr>
              <w:t>Logic of fit</w:t>
            </w:r>
          </w:p>
        </w:tc>
      </w:tr>
      <w:tr>
        <w:tc>
          <w:tcPr>
            <w:tcW w:type="dxa" w:w="1728"/>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Q 91:1–10</w:t>
            </w:r>
          </w:p>
        </w:tc>
        <w:tc>
          <w:tcPr>
            <w:tcW w:type="dxa" w:w="338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The purified soul succeeds; the corrupted soul fails.</w:t>
            </w:r>
          </w:p>
        </w:tc>
        <w:tc>
          <w:tcPr>
            <w:tcW w:type="dxa" w:w="4248"/>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Cosmic proportion and alternation frame moral proportion and inner disclosure.</w:t>
            </w:r>
          </w:p>
        </w:tc>
      </w:tr>
      <w:tr>
        <w:tc>
          <w:tcPr>
            <w:tcW w:type="dxa" w:w="1728"/>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Q 92:1–4</w:t>
            </w:r>
          </w:p>
        </w:tc>
        <w:tc>
          <w:tcPr>
            <w:tcW w:type="dxa" w:w="338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Human striving is diverse.</w:t>
            </w:r>
          </w:p>
        </w:tc>
        <w:tc>
          <w:tcPr>
            <w:tcW w:type="dxa" w:w="4248"/>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Night/day and male/female prepare a contrastive moral anthropology.</w:t>
            </w:r>
          </w:p>
        </w:tc>
      </w:tr>
      <w:tr>
        <w:tc>
          <w:tcPr>
            <w:tcW w:type="dxa" w:w="1728"/>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Q 93:1–3</w:t>
            </w:r>
          </w:p>
        </w:tc>
        <w:tc>
          <w:tcPr>
            <w:tcW w:type="dxa" w:w="338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Your Lord has not abandoned or detested you.</w:t>
            </w:r>
          </w:p>
        </w:tc>
        <w:tc>
          <w:tcPr>
            <w:tcW w:type="dxa" w:w="4248"/>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Bright morning after still night answers a temporary pause with durable providence.</w:t>
            </w:r>
          </w:p>
        </w:tc>
      </w:tr>
      <w:tr>
        <w:tc>
          <w:tcPr>
            <w:tcW w:type="dxa" w:w="1728"/>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Q 81:15–23</w:t>
            </w:r>
          </w:p>
        </w:tc>
        <w:tc>
          <w:tcPr>
            <w:tcW w:type="dxa" w:w="338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The revelation is conveyed by a noble messenger; the Prophet is not mad.</w:t>
            </w:r>
          </w:p>
        </w:tc>
        <w:tc>
          <w:tcPr>
            <w:tcW w:type="dxa" w:w="4248"/>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Dawn’s clarification opposes the obscurity attributed to soothsaying.</w:t>
            </w:r>
          </w:p>
        </w:tc>
      </w:tr>
      <w:tr>
        <w:tc>
          <w:tcPr>
            <w:tcW w:type="dxa" w:w="1728"/>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Q 74:32–35</w:t>
            </w:r>
          </w:p>
        </w:tc>
        <w:tc>
          <w:tcPr>
            <w:tcW w:type="dxa" w:w="338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The warning is one of the greatest matters.</w:t>
            </w:r>
          </w:p>
        </w:tc>
        <w:tc>
          <w:tcPr>
            <w:tcW w:type="dxa" w:w="4248"/>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Night’s retreat and morning’s exposure intensify moral awakening.</w:t>
            </w:r>
          </w:p>
        </w:tc>
      </w:tr>
      <w:tr>
        <w:tc>
          <w:tcPr>
            <w:tcW w:type="dxa" w:w="1728"/>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Q 103:1–3</w:t>
            </w:r>
          </w:p>
        </w:tc>
        <w:tc>
          <w:tcPr>
            <w:tcW w:type="dxa" w:w="338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Humanity is in loss except faith, good action, truth, and patience.</w:t>
            </w:r>
          </w:p>
        </w:tc>
        <w:tc>
          <w:tcPr>
            <w:tcW w:type="dxa" w:w="4248"/>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Declining time consumes every life and tests what endures.</w:t>
            </w:r>
          </w:p>
        </w:tc>
      </w:tr>
      <w:tr>
        <w:tc>
          <w:tcPr>
            <w:tcW w:type="dxa" w:w="1728"/>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Q 84:16–19</w:t>
            </w:r>
          </w:p>
        </w:tc>
        <w:tc>
          <w:tcPr>
            <w:tcW w:type="dxa" w:w="338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You will pass from stage to stage.</w:t>
            </w:r>
          </w:p>
        </w:tc>
        <w:tc>
          <w:tcPr>
            <w:tcW w:type="dxa" w:w="4248"/>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Twilight, night, and waxing Moon embody transition.</w:t>
            </w:r>
          </w:p>
        </w:tc>
      </w:tr>
      <w:tr>
        <w:tc>
          <w:tcPr>
            <w:tcW w:type="dxa" w:w="1728"/>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Q 70:40–41</w:t>
            </w:r>
          </w:p>
        </w:tc>
        <w:tc>
          <w:tcPr>
            <w:tcW w:type="dxa" w:w="338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God can replace and resurrect.</w:t>
            </w:r>
          </w:p>
        </w:tc>
        <w:tc>
          <w:tcPr>
            <w:tcW w:type="dxa" w:w="4248"/>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Power governing every horizon grounds the claimed power over human re-creation.</w:t>
            </w:r>
          </w:p>
        </w:tc>
      </w:tr>
      <w:tr>
        <w:tc>
          <w:tcPr>
            <w:tcW w:type="dxa" w:w="1728"/>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Q 75:1–4</w:t>
            </w:r>
          </w:p>
        </w:tc>
        <w:tc>
          <w:tcPr>
            <w:tcW w:type="dxa" w:w="338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Resurrection includes bodily reconstitution.</w:t>
            </w:r>
          </w:p>
        </w:tc>
        <w:tc>
          <w:tcPr>
            <w:tcW w:type="dxa" w:w="4248"/>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The eschatological Day itself is summoned against denial of that Day.</w:t>
            </w:r>
          </w:p>
        </w:tc>
      </w:tr>
      <w:tr>
        <w:tc>
          <w:tcPr>
            <w:tcW w:type="dxa" w:w="1728"/>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Q 85:1–4</w:t>
            </w:r>
          </w:p>
        </w:tc>
        <w:tc>
          <w:tcPr>
            <w:tcW w:type="dxa" w:w="338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Judgment surrounds persecution and witness.</w:t>
            </w:r>
          </w:p>
        </w:tc>
        <w:tc>
          <w:tcPr>
            <w:tcW w:type="dxa" w:w="4248"/>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Cosmic order and the Promised Day enlarge a local atrocity into moral history.</w:t>
            </w:r>
          </w:p>
        </w:tc>
      </w:tr>
    </w:tbl>
    <w:p>
      <w:pPr>
        <w:spacing w:after="20"/>
      </w:pPr>
    </w:p>
    <w:p>
      <w:pPr>
        <w:pStyle w:val="Heading2"/>
        <w:keepNext/>
      </w:pPr>
      <w:r>
        <w:t>3.3 Farahi, classical tafsīr, and Shah</w:t>
      </w:r>
    </w:p>
    <w:p>
      <w:r>
        <w:rPr>
          <w:i w:val="0"/>
        </w:rPr>
        <w:t>Classical exegetes commonly emphasize the majesty of the created object, God’s power over it, and the moral or eschatological truth that follows. Farahi systematizes the evidentiary relation: phenomena can function as empirical witnesses, historical analogies, or paired signs. Shah’s corpus popularizes and extends this insight in three directions. First, oaths point from nature to tawḥīd. Second, the reliability and renewal of nature become analogies for revelation and resurrection. Third, modern science makes the witness more intelligible without replacing the oath’s moral center. [2–9]</w:t>
      </w:r>
    </w:p>
    <w:p>
      <w:pPr>
        <w:spacing w:before="80" w:after="200" w:line="288" w:lineRule="auto"/>
        <w:ind w:left="115" w:right="115"/>
        <w:jc w:val="left"/>
        <w:shd w:fill="EAF2F8"/>
        <w:pBdr>
          <w:top w:val="single" w:sz="6" w:space="5" w:color="D8E5F0"/>
          <w:left w:val="single" w:sz="6" w:space="5" w:color="D8E5F0"/>
          <w:bottom w:val="single" w:sz="6" w:space="5" w:color="D8E5F0"/>
          <w:right w:val="single" w:sz="6" w:space="5" w:color="D8E5F0"/>
        </w:pBdr>
      </w:pPr>
      <w:r>
        <w:rPr>
          <w:rFonts w:ascii="Calibri" w:hAnsi="Calibri" w:eastAsia="Calibri" w:cs="Calibri"/>
          <w:b/>
          <w:color w:val="1F4D78"/>
          <w:sz w:val="21"/>
        </w:rPr>
        <w:t>HERMENEUTIC RULE</w:t>
      </w:r>
      <w:r>
        <w:br/>
      </w:r>
      <w:r>
        <w:rPr>
          <w:rFonts w:ascii="Calibri" w:hAnsi="Calibri" w:eastAsia="Calibri" w:cs="Calibri"/>
          <w:color w:val="1E2933"/>
          <w:sz w:val="20"/>
        </w:rPr>
        <w:t>The stronger modern reading is not “the verse secretly encoded a laboratory result.” It is: “the same referent that first hearers knew by sight is now known at many additional levels, and those levels intensify the appropriateness of the oath.”</w:t>
      </w:r>
    </w:p>
    <w:p>
      <w:pPr>
        <w:pStyle w:val="Heading1"/>
        <w:keepNext/>
      </w:pPr>
      <w:r>
        <w:t>4. Verse-by-verse commentary</w:t>
      </w:r>
    </w:p>
    <w:p>
      <w:pPr>
        <w:pStyle w:val="Heading2"/>
        <w:keepNext/>
      </w:pPr>
      <w:r>
        <w:t>4.1 Q 91:1 — By the Sun and its ḍuḥā</w:t>
      </w:r>
    </w:p>
    <w:p>
      <w:r>
        <w:rPr>
          <w:i w:val="0"/>
        </w:rPr>
        <w:t>The opening wa’l-shams joins the star to ḍuḥāhā—its spreading morning radiance, brightness, and heat. Early commentary naturally understood the visible daylight produced by the Sun. The following pronouns bind Sun, Moon, day, and night into one choreography: Moon follows; day displays; night covers. The passage then widens from sky and Earth to the human soul, ending with moral success or ruin. The oath’s point is not that plasma physics proves virtue. It is that a proportioned cosmos is made to testify to a proportioned moral self. [5]</w:t>
      </w:r>
    </w:p>
    <w:p>
      <w:r>
        <w:rPr>
          <w:i w:val="0"/>
        </w:rPr>
        <w:t>Modern knowledge magnifies each noun. “The Sun” now denotes a 4.6-billion-year-old G2V main-sequence star containing 99.8% of the solar system’s mass. “Its brightness” denotes roughly 3.828 × 10²⁶ watts released by nuclear mass deficit, filtered through stellar plasma, spectrum, distance, atmosphere, and biological reception. The verse remains morally directed, yet the sworn witness has become physically immense. [10–15]</w:t>
      </w:r>
    </w:p>
    <w:p>
      <w:pPr>
        <w:pStyle w:val="Heading2"/>
        <w:keepNext/>
      </w:pPr>
      <w:r>
        <w:t>4.2 Q 91:3 — By the day when it reveals it</w:t>
      </w:r>
    </w:p>
    <w:p>
      <w:r>
        <w:rPr>
          <w:i w:val="0"/>
        </w:rPr>
        <w:t>The feminine pronoun hā is most naturally referred to the Sun, although exegetes also hear the disclosure of the world or Earth. The scientific subtlety is delightful: the Sun causes daylight, yet daylight—in the phenomenological world of the observer—reveals the Sun’s dominion. Day is not a substance poured across the sky. It is the illuminated atmospheric and terrestrial state produced as a rotating Earth turns a locality toward the star.</w:t>
      </w:r>
    </w:p>
    <w:p>
      <w:r>
        <w:rPr>
          <w:i w:val="0"/>
        </w:rPr>
        <w:t>Philosophically, tajallā/jallā is disclosure. Things become available to sight; shapes, distances, work, and danger re-emerge. The surah transfers that grammar inward: the soul’s moral form also becomes manifest. Theologically, illumination is gift and responsibility. To be shown is to become answerable for what one does with what is shown.</w:t>
      </w:r>
    </w:p>
    <w:p>
      <w:pPr>
        <w:pStyle w:val="Heading2"/>
        <w:keepNext/>
      </w:pPr>
      <w:r>
        <w:t>4.3 Q 92:2 — By the day when it shines forth</w:t>
      </w:r>
    </w:p>
    <w:p>
      <w:r>
        <w:rPr>
          <w:i w:val="0"/>
        </w:rPr>
        <w:t>Night covering and day manifesting are paired with the creation of male and female before the thesis “your striving is diverse.” Physical polarity is not simplistic moral dualism—night is also mercy and rest—but it provides a grammar of contrast. The later surah contrasts giving and withholding, reverence and self-sufficiency, ease and hardship. Stable natural alternation frames consequential human choice. [4]</w:t>
      </w:r>
    </w:p>
    <w:p>
      <w:r>
        <w:rPr>
          <w:i w:val="0"/>
        </w:rPr>
        <w:t>Modern chronobiology makes the oath bodily intimate. Light entrains circadian clocks that regulate sleep, hormones, temperature, metabolism, and behavior. The 2017 Nobel Prize recognized the molecular feedback mechanisms by which organisms anticipate the day–night cycle. Day is therefore outside us as astronomy and inside us as physiology. [35]</w:t>
      </w:r>
    </w:p>
    <w:p>
      <w:pPr>
        <w:pStyle w:val="Heading2"/>
        <w:keepNext/>
      </w:pPr>
      <w:r>
        <w:t>4.4 Q 93:1 — By the morning brightness</w:t>
      </w:r>
    </w:p>
    <w:p>
      <w:r>
        <w:rPr>
          <w:i w:val="0"/>
        </w:rPr>
        <w:t>Sūrat al-Ḍuḥā swears by bright morning and by night when still or dark, then answers: “Your Lord has not abandoned you, nor does He detest you.” The oath does not deny night; it refuses to absolutize it. Darkness and pause are phases within a larger providential rhythm. Morning is therefore neither merely clock-time nor sentimental optimism. It is an empirically recurring form of renewal recruited to heal a crisis of meaning.</w:t>
      </w:r>
    </w:p>
    <w:p>
      <w:r>
        <w:rPr>
          <w:i w:val="0"/>
        </w:rPr>
        <w:t>Scientific knowledge deepens the image. The locality turns through the terminator; sunlight first reaches high atmosphere while the geometric Sun remains below the horizon; refraction and scattering progressively brighten the sky; biological clocks shift state; photosynthesis and human activity resume. The new day is a planetary transition, not a lamp switched on over a flat landscape.</w:t>
      </w:r>
    </w:p>
    <w:p>
      <w:pPr>
        <w:pStyle w:val="Heading2"/>
        <w:keepNext/>
      </w:pPr>
      <w:r>
        <w:t>4.5 Q 89:1 — By the dawn</w:t>
      </w:r>
    </w:p>
    <w:p>
      <w:r>
        <w:rPr>
          <w:i w:val="0"/>
        </w:rPr>
        <w:t>Al-fajr is literally the splitting of darkness by light. The oath is joined to ten nights, even and odd, and night as it passes, followed by “Is there in that an oath for one possessing understanding?” The surah recalls ʿĀd, Thamūd, and Pharaoh, condemns distorted attitudes to wealth and poverty, and turns toward final judgment. Dawn becomes a moral form: oppressive night is real, but not ultimate; concealed history is opened.</w:t>
      </w:r>
    </w:p>
    <w:p>
      <w:r>
        <w:rPr>
          <w:i w:val="0"/>
        </w:rPr>
        <w:t>Unlike oaths with a simple adjacent jawāb, the answer here is often taken as contextual or elided. That very structure demands reading the whole surah. The dawn is not a decorative noun attached to any proposition one wishes. It stands inside a historical argument about civilizations, accountability, and the human tendency to mistake temporary power for permanent order.</w:t>
      </w:r>
    </w:p>
    <w:p>
      <w:pPr>
        <w:pStyle w:val="Heading2"/>
        <w:keepNext/>
      </w:pPr>
      <w:r>
        <w:t>4.6 Q 81:18 — By the dawn when it breathes</w:t>
      </w:r>
    </w:p>
    <w:p>
      <w:r>
        <w:rPr>
          <w:i w:val="0"/>
        </w:rPr>
        <w:t>Tanaffasa is among the Qur’an’s most vivid personifications. Classical glosses describe breeze, expansion, cleaving, and the slow emergence of morning. The oath sequence proceeds to the integrity of revelation: the Qur’an is conveyed by a noble messenger, and “your companion” is not mad. Dawn’s breathing supplies a phenomenology of disclosure—light arrives gradually, the horizon becomes legible, and accusations born in obscurity lose force. [6]</w:t>
      </w:r>
    </w:p>
    <w:p>
      <w:r>
        <w:rPr>
          <w:i w:val="0"/>
        </w:rPr>
        <w:t>Atmospheric physics supplies a modern resonance. Before sunrise, the upper atmosphere is illuminated along long slant paths. Molecules scatter short wavelengths more efficiently than long wavelengths—the Rayleigh dependence is approximately proportional to λ⁻⁴—while aerosols, refraction, and multiple scattering shape the red-to-gold-to-blue progression. The atmosphere appears to inhale and exhale light because illumination spreads through a curved, rotating, gaseous shell. This is resonance, not a claim that the verb predicted Rayleigh’s equation. [43]</w:t>
      </w:r>
    </w:p>
    <w:p>
      <w:pPr>
        <w:pStyle w:val="Heading2"/>
        <w:keepNext/>
      </w:pPr>
      <w:r>
        <w:t>4.7 Q 74:34 — By the morning when it shines forth</w:t>
      </w:r>
    </w:p>
    <w:p>
      <w:r>
        <w:rPr>
          <w:i w:val="0"/>
        </w:rPr>
        <w:t>After Moon and retreating night comes al-ṣubḥ idhā asfara—the morning when it uncovers brightness. The passage declares the warning “one of the greatest things.” The verb shares the sense of exposure and clarity. The rhetorical movement is judicial: what darkness concealed is now visible; warning is no longer safely distant.</w:t>
      </w:r>
    </w:p>
    <w:p>
      <w:r>
        <w:rPr>
          <w:i w:val="0"/>
        </w:rPr>
        <w:t>The dawn oaths therefore have different local tasks. Q 93 consoles; Q 81 vindicates revelation; Q 74 warns; Q 89 remembers judgment. A responsible scientific commentary preserves these differences. One physical phenomenon can be rhetorically polyvalent because the Qur’an’s claim is controlled by each surah’s structure.</w:t>
      </w:r>
    </w:p>
    <w:p>
      <w:pPr>
        <w:pStyle w:val="Heading2"/>
        <w:keepNext/>
      </w:pPr>
      <w:r>
        <w:t>4.8 Q 103:1 — By al-ʿaṣr</w:t>
      </w:r>
    </w:p>
    <w:p>
      <w:r>
        <w:rPr>
          <w:i w:val="0"/>
        </w:rPr>
        <w:t>Al-ʿaṣr can denote time, an age, or the declining afternoon. All are solar-temporal meanings. The oath answers with an uncompromising anthropology: humanity is in loss except those who believe, act well, counsel truth, and counsel patience. Time is not merely what clocks measure. It is irreversible expenditure. The declining day makes loss visible in shadow length and diminishing opportunity.</w:t>
      </w:r>
    </w:p>
    <w:p>
      <w:r>
        <w:rPr>
          <w:i w:val="0"/>
        </w:rPr>
        <w:t>Physics intensifies but does not exhaust the point. Earth rotates; organisms age; entropy increases in closed descriptions; stars consume nuclear free energy; civilizations have finite windows. Yet Qur’anic “loss” is ethical, not reducible to thermodynamic entropy. The scientific analogy gives the oath weight, while the exception—faithful truth and patient action—belongs to moral theology.</w:t>
      </w:r>
    </w:p>
    <w:p>
      <w:pPr>
        <w:pStyle w:val="Heading2"/>
        <w:keepNext/>
      </w:pPr>
      <w:r>
        <w:t>4.9 Q 84:16 — By the twilight afterglow</w:t>
      </w:r>
    </w:p>
    <w:p>
      <w:r>
        <w:rPr>
          <w:i w:val="0"/>
        </w:rPr>
        <w:t>Shafaq is the residual glow after sunset. It introduces night and what it gathers, then the Moon as it becomes full, before the statement that humans will pass “stage after stage.” Twilight is physically a transition regime: the ground has rotated out of direct illumination while the atmosphere still scatters sunlight. Philosophically it resists binary impatience. Reality often changes through gradients, thresholds, and phases rather than instantaneous replacement.</w:t>
      </w:r>
    </w:p>
    <w:p>
      <w:r>
        <w:rPr>
          <w:i w:val="0"/>
        </w:rPr>
        <w:t>Theologically, the oath trains the imagination for transformation: wakefulness to sleep, youth to age, life to death, world to resurrection. The Moon’s waxing reinforces patterned passage. Modern atmospheric optics makes the boundary more precise but the surah’s claim remains existential and eschatological.</w:t>
      </w:r>
    </w:p>
    <w:p>
      <w:pPr>
        <w:pStyle w:val="Heading2"/>
        <w:keepNext/>
      </w:pPr>
      <w:r>
        <w:t>4.10 Q 70:40 — The Lord of the many sunrises and sunsets</w:t>
      </w:r>
    </w:p>
    <w:p>
      <w:r>
        <w:rPr>
          <w:i w:val="0"/>
        </w:rPr>
        <w:t>This is not an oath by “the Sun.” God swears by Himself as Rabb al-mashāriq wa’l-maghārib—the Lord of multiple rising and setting points. The plurals are observationally exact. Across seasons, the Sun rises and sets at changing azimuths because Earth’s axis is tilted and Earth orbits the Sun; across a spherical globe, innumerable local horizons experience sunrise and sunset continuously; atmospheric refraction shifts apparent contact with the horizon. The one Sun yields a multiplicity of risings. [7]</w:t>
      </w:r>
    </w:p>
    <w:p>
      <w:r>
        <w:rPr>
          <w:i w:val="0"/>
        </w:rPr>
        <w:t>The jawāb is divine ability to replace the mockers and bring humanity to its promised Day. The argument moves from governed multiplicity to re-creative power: the One whose order encompasses every horizon is not defeated by human death. Science describes the geometry; theology identifies the sovereign meaning attributed to that geometry.</w:t>
      </w:r>
    </w:p>
    <w:p>
      <w:pPr>
        <w:pStyle w:val="Heading2"/>
        <w:keepNext/>
      </w:pPr>
      <w:r>
        <w:t>4.11 Q 75:1 and Q 85:2 — When “Day” is eschatological</w:t>
      </w:r>
    </w:p>
    <w:p>
      <w:r>
        <w:rPr>
          <w:i w:val="0"/>
        </w:rPr>
        <w:t>Q 75:1 swears by the Day of Resurrection and the self-reproaching soul, then confronts the denial that bones can be assembled—adding that even fingertips can be proportioned. The oath’s “Day” is not sunlight but final disclosure. Q 85:2 places the Promised Day between the star-filled sky and witness/witnessed, then recalls the people of the trench. In both, “Day” names a moral horizon that exposes what history leaves unresolved.</w:t>
      </w:r>
    </w:p>
    <w:p>
      <w:r>
        <w:rPr>
          <w:i w:val="0"/>
        </w:rPr>
        <w:t>These verses belong in a complete lexical inventory but must not be smuggled into solar science. Their relation to the physical day is analogical: ordinary day repeatedly discloses; the final Day discloses completely. The report therefore separates categories while allowing the Qur’an’s larger concealment/disclosure grammar to remain visible.</w:t>
      </w:r>
    </w:p>
    <w:p>
      <w:pPr>
        <w:pStyle w:val="Heading1"/>
        <w:keepNext/>
      </w:pPr>
      <w:r>
        <w:t>5. What humanity could know in the seventh century</w:t>
      </w:r>
    </w:p>
    <w:p>
      <w:pPr>
        <w:pStyle w:val="Heading2"/>
        <w:keepNext/>
      </w:pPr>
      <w:r>
        <w:t>5.1 A necessary distinction: first hearers versus humanity’s high-water mark</w:t>
      </w:r>
    </w:p>
    <w:p>
      <w:r>
        <w:rPr>
          <w:i w:val="0"/>
        </w:rPr>
        <w:t>No single seventh-century culture possessed “all humanity knew.” Knowledge was geographically distributed, embedded in languages, courts, temples, calendars, and craft traditions, and often inaccessible to ordinary people. Two baselines are therefore required: the practical sky-knowledge of the Qur’an’s first Arabian audience and the most advanced astronomical ideas available somewhere in the world around 600–700 CE. [36–41]</w:t>
      </w:r>
    </w:p>
    <w:p>
      <w:pPr>
        <w:pStyle w:val="Heading2"/>
        <w:keepNext/>
      </w:pPr>
      <w:r>
        <w:t>5.2 What ordinary observers certainly knew</w:t>
      </w:r>
    </w:p>
    <w:p>
      <w:pPr>
        <w:pStyle w:val="ListBullet"/>
        <w:spacing w:after="80" w:line="290" w:lineRule="auto"/>
        <w:ind w:left="540" w:hanging="279"/>
      </w:pPr>
      <w:r>
        <w:t>The Sun gives light and heat; its rising begins ordinary work and its setting ends it.</w:t>
      </w:r>
    </w:p>
    <w:p>
      <w:pPr>
        <w:pStyle w:val="ListBullet"/>
        <w:spacing w:after="80" w:line="290" w:lineRule="auto"/>
        <w:ind w:left="540" w:hanging="279"/>
      </w:pPr>
      <w:r>
        <w:t>Day length and the sunrise/set points change through the year; shadows change direction and length.</w:t>
      </w:r>
    </w:p>
    <w:p>
      <w:pPr>
        <w:pStyle w:val="ListBullet"/>
        <w:spacing w:after="80" w:line="290" w:lineRule="auto"/>
        <w:ind w:left="540" w:hanging="279"/>
      </w:pPr>
      <w:r>
        <w:t>Seasons correlate with the Sun’s annual path, agriculture, temperature, and rainfall patterns.</w:t>
      </w:r>
    </w:p>
    <w:p>
      <w:pPr>
        <w:pStyle w:val="ListBullet"/>
        <w:spacing w:after="80" w:line="290" w:lineRule="auto"/>
        <w:ind w:left="540" w:hanging="279"/>
      </w:pPr>
      <w:r>
        <w:t>Solar and lunar eclipses occur; the Moon changes phase; five wandering planets are visible without instruments.</w:t>
      </w:r>
    </w:p>
    <w:p>
      <w:pPr>
        <w:pStyle w:val="ListBullet"/>
        <w:spacing w:after="80" w:line="290" w:lineRule="auto"/>
        <w:ind w:left="540" w:hanging="279"/>
      </w:pPr>
      <w:r>
        <w:t>Solstices, equinox-like turning points, noon, and cardinal direction can be approximated by horizon and gnomon observations.</w:t>
      </w:r>
    </w:p>
    <w:p>
      <w:pPr>
        <w:pStyle w:val="ListBullet"/>
        <w:spacing w:after="80" w:line="290" w:lineRule="auto"/>
        <w:ind w:left="540" w:hanging="279"/>
      </w:pPr>
      <w:r>
        <w:t>Sunlight is indispensable to animals, plants, travel, calendars, ritual timing, and social order.</w:t>
      </w:r>
    </w:p>
    <w:p>
      <w:r>
        <w:rPr>
          <w:i w:val="0"/>
        </w:rPr>
        <w:t>Pre-Islamic Arabian sky lore included fixed stars, lunar mansions, heliacal risings, seasonal weather signs, and the Sun’s movement through zodiacal regions. This was empirically rich folk astronomy, not mathematical astrophysics. Large-scale Arabic access to Greek, Syriac, Persian, and Indian exact astronomy accelerated later, especially under the ʿAbbāsids. [36,37]</w:t>
      </w:r>
    </w:p>
    <w:p>
      <w:pPr>
        <w:pStyle w:val="Heading2"/>
        <w:keepNext/>
      </w:pPr>
      <w:r>
        <w:t>5.3 What learned traditions had achieved</w:t>
      </w:r>
    </w:p>
    <w:tbl>
      <w:tblPr>
        <w:tblW w:type="auto" w:w="0"/>
        <w:jc w:val="center"/>
        <w:tblLayout w:type="fixed"/>
        <w:tblLook w:firstColumn="1" w:firstRow="1" w:lastColumn="0" w:lastRow="0" w:noHBand="0" w:noVBand="1" w:val="04A0"/>
        <w:tblBorders>
          <w:top w:val="single" w:sz="4" w:space="0" w:color="D9E1E8"/>
          <w:left w:val="single" w:sz="4" w:space="0" w:color="D9E1E8"/>
          <w:bottom w:val="single" w:sz="4" w:space="0" w:color="D9E1E8"/>
          <w:right w:val="single" w:sz="4" w:space="0" w:color="D9E1E8"/>
          <w:insideH w:val="single" w:sz="4" w:space="0" w:color="D9E1E8"/>
          <w:insideV w:val="single" w:sz="4" w:space="0" w:color="D9E1E8"/>
        </w:tblBorders>
      </w:tblPr>
      <w:tblGrid>
        <w:gridCol w:w="3120"/>
        <w:gridCol w:w="3120"/>
        <w:gridCol w:w="3120"/>
      </w:tblGrid>
      <w:tr>
        <w:trPr>
          <w:tblHeader w:val="true"/>
        </w:trPr>
        <w:tc>
          <w:tcPr>
            <w:tcW w:type="dxa" w:w="1512"/>
            <w:shd w:fill="F4F6F9"/>
            <w:tcMar>
              <w:top w:w="80" w:type="dxa"/>
              <w:start w:w="120" w:type="dxa"/>
              <w:bottom w:w="80" w:type="dxa"/>
              <w:end w:w="120" w:type="dxa"/>
            </w:tcMar>
            <w:vAlign w:val="center"/>
          </w:tcPr>
          <w:p>
            <w:r>
              <w:rPr>
                <w:rFonts w:ascii="Calibri" w:hAnsi="Calibri" w:eastAsia="Calibri" w:cs="Calibri"/>
                <w:b/>
                <w:color w:val="1F4D78"/>
                <w:sz w:val="16"/>
              </w:rPr>
              <w:t>Tradition</w:t>
            </w:r>
          </w:p>
        </w:tc>
        <w:tc>
          <w:tcPr>
            <w:tcW w:type="dxa" w:w="5112"/>
            <w:shd w:fill="F4F6F9"/>
            <w:tcMar>
              <w:top w:w="80" w:type="dxa"/>
              <w:start w:w="120" w:type="dxa"/>
              <w:bottom w:w="80" w:type="dxa"/>
              <w:end w:w="120" w:type="dxa"/>
            </w:tcMar>
            <w:vAlign w:val="center"/>
          </w:tcPr>
          <w:p>
            <w:r>
              <w:rPr>
                <w:rFonts w:ascii="Calibri" w:hAnsi="Calibri" w:eastAsia="Calibri" w:cs="Calibri"/>
                <w:b/>
                <w:color w:val="1F4D78"/>
                <w:sz w:val="16"/>
              </w:rPr>
              <w:t>Attainments available by ca. 600–700 CE</w:t>
            </w:r>
          </w:p>
        </w:tc>
        <w:tc>
          <w:tcPr>
            <w:tcW w:type="dxa" w:w="2736"/>
            <w:shd w:fill="F4F6F9"/>
            <w:tcMar>
              <w:top w:w="80" w:type="dxa"/>
              <w:start w:w="120" w:type="dxa"/>
              <w:bottom w:w="80" w:type="dxa"/>
              <w:end w:w="120" w:type="dxa"/>
            </w:tcMar>
            <w:vAlign w:val="center"/>
          </w:tcPr>
          <w:p>
            <w:r>
              <w:rPr>
                <w:rFonts w:ascii="Calibri" w:hAnsi="Calibri" w:eastAsia="Calibri" w:cs="Calibri"/>
                <w:b/>
                <w:color w:val="1F4D78"/>
                <w:sz w:val="16"/>
              </w:rPr>
              <w:t>Limits</w:t>
            </w:r>
          </w:p>
        </w:tc>
      </w:tr>
      <w:tr>
        <w:tc>
          <w:tcPr>
            <w:tcW w:type="dxa" w:w="1512"/>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Greco-Roman / Byzantine</w:t>
            </w:r>
          </w:p>
        </w:tc>
        <w:tc>
          <w:tcPr>
            <w:tcW w:type="dxa" w:w="5112"/>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Spherical Earth; geometrical astronomy; Ptolemaic epicycles; eclipse prediction; star catalogues; estimates of Earth, Moon, and Sun sizes/distances; an old minority heliocentric proposal from Aristarchus.</w:t>
            </w:r>
          </w:p>
        </w:tc>
        <w:tc>
          <w:tcPr>
            <w:tcW w:type="dxa" w:w="2736"/>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Earth-centered physics remained dominant; distance estimates were poor; no physical stellar theory.</w:t>
            </w:r>
          </w:p>
        </w:tc>
      </w:tr>
      <w:tr>
        <w:tc>
          <w:tcPr>
            <w:tcW w:type="dxa" w:w="1512"/>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Indian</w:t>
            </w:r>
          </w:p>
        </w:tc>
        <w:tc>
          <w:tcPr>
            <w:tcW w:type="dxa" w:w="5112"/>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Aryabhata’s rotating Earth, relative-motion analogy, mathematical eclipse theory, trigonometric methods, calendrics; ongoing siddhāntic astronomy.</w:t>
            </w:r>
          </w:p>
        </w:tc>
        <w:tc>
          <w:tcPr>
            <w:tcW w:type="dxa" w:w="2736"/>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Models mixed correct kinematics with geocentric planetary frameworks; no telescopic or nuclear knowledge.</w:t>
            </w:r>
          </w:p>
        </w:tc>
      </w:tr>
      <w:tr>
        <w:tc>
          <w:tcPr>
            <w:tcW w:type="dxa" w:w="1512"/>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Sasanian Iranian</w:t>
            </w:r>
          </w:p>
        </w:tc>
        <w:tc>
          <w:tcPr>
            <w:tcW w:type="dxa" w:w="5112"/>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The Zīj-i Shāh and court astronomy synthesized Iranian, Indian, and Greco-Syriac materials for calendrics and astrology.</w:t>
            </w:r>
          </w:p>
        </w:tc>
        <w:tc>
          <w:tcPr>
            <w:tcW w:type="dxa" w:w="2736"/>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Reconstruction is fragmentary; physical constitution of the Sun unknown.</w:t>
            </w:r>
          </w:p>
        </w:tc>
      </w:tr>
      <w:tr>
        <w:tc>
          <w:tcPr>
            <w:tcW w:type="dxa" w:w="1512"/>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Chinese</w:t>
            </w:r>
          </w:p>
        </w:tc>
        <w:tc>
          <w:tcPr>
            <w:tcW w:type="dxa" w:w="5112"/>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Long, bureaucratically maintained records of eclipses, comets, novae, and naked-eye sunspots; sophisticated calendar reform and prediction.</w:t>
            </w:r>
          </w:p>
        </w:tc>
        <w:tc>
          <w:tcPr>
            <w:tcW w:type="dxa" w:w="2736"/>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Phenomena were systematically recorded, but solar plasma, magnetism, and stellar physics were unavailable.</w:t>
            </w:r>
          </w:p>
        </w:tc>
      </w:tr>
      <w:tr>
        <w:tc>
          <w:tcPr>
            <w:tcW w:type="dxa" w:w="1512"/>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Mesoamerican</w:t>
            </w:r>
          </w:p>
        </w:tc>
        <w:tc>
          <w:tcPr>
            <w:tcW w:type="dxa" w:w="5112"/>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Highly developed calendars, horizon alignments, solar-year reckoning, Venus cycles, and eclipse-warning schemes.</w:t>
            </w:r>
          </w:p>
        </w:tc>
        <w:tc>
          <w:tcPr>
            <w:tcW w:type="dxa" w:w="2736"/>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No connection to Eurasian traditions; no spectroscopy, gravity, or nuclear physics.</w:t>
            </w:r>
          </w:p>
        </w:tc>
      </w:tr>
      <w:tr>
        <w:tc>
          <w:tcPr>
            <w:tcW w:type="dxa" w:w="1512"/>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Arabian</w:t>
            </w:r>
          </w:p>
        </w:tc>
        <w:tc>
          <w:tcPr>
            <w:tcW w:type="dxa" w:w="5112"/>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Practical horizon astronomy, star routes, lunar mansions, seasons, time, and weather lore.</w:t>
            </w:r>
          </w:p>
        </w:tc>
        <w:tc>
          <w:tcPr>
            <w:tcW w:type="dxa" w:w="2736"/>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The exact sciences of late antiquity were not yet broadly translated into Arabic.</w:t>
            </w:r>
          </w:p>
        </w:tc>
      </w:tr>
    </w:tbl>
    <w:p>
      <w:pPr>
        <w:spacing w:after="20"/>
      </w:pPr>
    </w:p>
    <w:p>
      <w:r>
        <w:rPr>
          <w:i w:val="0"/>
        </w:rPr>
        <w:t>A few ancient thinkers approached important truths: Aristarchus proposed heliocentrism; Aryabhata treated Earth’s rotation as explaining apparent stellar motion; Chinese observers recorded sunspots. These were remarkable, but they did not amount to the modern solar model. An idea’s existence somewhere is not evidence that it was common knowledge in western Arabia.</w:t>
      </w:r>
    </w:p>
    <w:p>
      <w:pPr>
        <w:pStyle w:val="Heading2"/>
        <w:keepNext/>
      </w:pPr>
      <w:r>
        <w:t>5.4 What no seventh-century civilization knew</w:t>
      </w:r>
    </w:p>
    <w:p>
      <w:pPr>
        <w:pStyle w:val="ListBullet"/>
        <w:spacing w:after="80" w:line="290" w:lineRule="auto"/>
        <w:ind w:left="540" w:hanging="279"/>
      </w:pPr>
      <w:r>
        <w:t>That the Sun is one star among hundreds of billions in the Milky Way, orbiting the galactic center.</w:t>
      </w:r>
    </w:p>
    <w:p>
      <w:pPr>
        <w:pStyle w:val="ListBullet"/>
        <w:spacing w:after="80" w:line="290" w:lineRule="auto"/>
        <w:ind w:left="540" w:hanging="279"/>
      </w:pPr>
      <w:r>
        <w:t>Its accurate distance (1 AU ≈ 149.6 million km), radius (~696,000 km), mass (~1.989 × 10³⁰ kg), luminosity, age, or 99.8% share of solar-system mass.</w:t>
      </w:r>
    </w:p>
    <w:p>
      <w:pPr>
        <w:pStyle w:val="ListBullet"/>
        <w:spacing w:after="80" w:line="290" w:lineRule="auto"/>
        <w:ind w:left="540" w:hanging="279"/>
      </w:pPr>
      <w:r>
        <w:t>That it is plasma with a core, radiative zone, tachocline, convection zone, photosphere, chromosphere, transition region, and million-degree corona.</w:t>
      </w:r>
    </w:p>
    <w:p>
      <w:pPr>
        <w:pStyle w:val="ListBullet"/>
        <w:spacing w:after="80" w:line="290" w:lineRule="auto"/>
        <w:ind w:left="540" w:hanging="279"/>
      </w:pPr>
      <w:r>
        <w:t>That hydrogen fusion through weak-interaction and quantum-tunneling processes powers it, producing photons and neutrinos.</w:t>
      </w:r>
    </w:p>
    <w:p>
      <w:pPr>
        <w:pStyle w:val="ListBullet"/>
        <w:spacing w:after="80" w:line="290" w:lineRule="auto"/>
        <w:ind w:left="540" w:hanging="279"/>
      </w:pPr>
      <w:r>
        <w:t>Spectroscopy, chemical abundance, Fraunhofer lines, ionization, magnetic fields, helioseismology, or neutrino oscillation.</w:t>
      </w:r>
    </w:p>
    <w:p>
      <w:pPr>
        <w:pStyle w:val="ListBullet"/>
        <w:spacing w:after="80" w:line="290" w:lineRule="auto"/>
        <w:ind w:left="540" w:hanging="279"/>
      </w:pPr>
      <w:r>
        <w:t>Solar rotation’s differential character, the dynamo, eleven-year activity cycle, solar wind, CMEs, or the heliosphere.</w:t>
      </w:r>
    </w:p>
    <w:p>
      <w:pPr>
        <w:pStyle w:val="ListBullet"/>
        <w:spacing w:after="80" w:line="290" w:lineRule="auto"/>
        <w:ind w:left="540" w:hanging="279"/>
      </w:pPr>
      <w:r>
        <w:t>The outer planets Uranus and Neptune, dwarf planets, Kuiper Belt, Oort Cloud, or the solar system’s nebular formation.</w:t>
      </w:r>
    </w:p>
    <w:p>
      <w:pPr>
        <w:pStyle w:val="ListBullet"/>
        <w:spacing w:after="80" w:line="290" w:lineRule="auto"/>
        <w:ind w:left="540" w:hanging="279"/>
      </w:pPr>
      <w:r>
        <w:t>Stellar classification, main-sequence evolution, red giants, white dwarfs, neutron stars, black holes, or the Sun’s eventual death.</w:t>
      </w:r>
    </w:p>
    <w:p>
      <w:pPr>
        <w:spacing w:before="80" w:after="200" w:line="288" w:lineRule="auto"/>
        <w:ind w:left="115" w:right="115"/>
        <w:jc w:val="left"/>
        <w:shd w:fill="EAF2F8"/>
        <w:pBdr>
          <w:top w:val="single" w:sz="6" w:space="5" w:color="D8E5F0"/>
          <w:left w:val="single" w:sz="6" w:space="5" w:color="D8E5F0"/>
          <w:bottom w:val="single" w:sz="6" w:space="5" w:color="D8E5F0"/>
          <w:right w:val="single" w:sz="6" w:space="5" w:color="D8E5F0"/>
        </w:pBdr>
      </w:pPr>
      <w:r>
        <w:rPr>
          <w:rFonts w:ascii="Calibri" w:hAnsi="Calibri" w:eastAsia="Calibri" w:cs="Calibri"/>
          <w:b/>
          <w:color w:val="1F4D78"/>
          <w:sz w:val="21"/>
        </w:rPr>
        <w:t>HISTORICAL VERDICT</w:t>
      </w:r>
      <w:r>
        <w:br/>
      </w:r>
      <w:r>
        <w:rPr>
          <w:rFonts w:ascii="Calibri" w:hAnsi="Calibri" w:eastAsia="Calibri" w:cs="Calibri"/>
          <w:color w:val="1E2933"/>
          <w:sz w:val="20"/>
        </w:rPr>
        <w:t>For the first hearer, the oath was already weighty because the Sun visibly governed light, warmth, time, travel, agriculture, and life. Modern science does not create that weight from nothing; it reveals that the visible experience was the surface expression of an unimaginably deeper system.</w:t>
      </w:r>
    </w:p>
    <w:p>
      <w:pPr>
        <w:pStyle w:val="Heading1"/>
        <w:keepNext/>
      </w:pPr>
      <w:r>
        <w:t>6. The scientific revolution and the enlargement of the oath</w:t>
      </w:r>
    </w:p>
    <w:p>
      <w:pPr>
        <w:pStyle w:val="Heading2"/>
        <w:keepNext/>
      </w:pPr>
      <w:r>
        <w:t>6.1 The ladder of discovery</w:t>
      </w:r>
    </w:p>
    <w:tbl>
      <w:tblPr>
        <w:tblW w:type="auto" w:w="0"/>
        <w:jc w:val="center"/>
        <w:tblLayout w:type="fixed"/>
        <w:tblLook w:firstColumn="1" w:firstRow="1" w:lastColumn="0" w:lastRow="0" w:noHBand="0" w:noVBand="1" w:val="04A0"/>
        <w:tblBorders>
          <w:top w:val="single" w:sz="4" w:space="0" w:color="D9E1E8"/>
          <w:left w:val="single" w:sz="4" w:space="0" w:color="D9E1E8"/>
          <w:bottom w:val="single" w:sz="4" w:space="0" w:color="D9E1E8"/>
          <w:right w:val="single" w:sz="4" w:space="0" w:color="D9E1E8"/>
          <w:insideH w:val="single" w:sz="4" w:space="0" w:color="D9E1E8"/>
          <w:insideV w:val="single" w:sz="4" w:space="0" w:color="D9E1E8"/>
        </w:tblBorders>
      </w:tblPr>
      <w:tblGrid>
        <w:gridCol w:w="3120"/>
        <w:gridCol w:w="3120"/>
        <w:gridCol w:w="3120"/>
      </w:tblGrid>
      <w:tr>
        <w:trPr>
          <w:tblHeader w:val="true"/>
        </w:trPr>
        <w:tc>
          <w:tcPr>
            <w:tcW w:type="dxa" w:w="1584"/>
            <w:shd w:fill="F4F6F9"/>
            <w:tcMar>
              <w:top w:w="80" w:type="dxa"/>
              <w:start w:w="120" w:type="dxa"/>
              <w:bottom w:w="80" w:type="dxa"/>
              <w:end w:w="120" w:type="dxa"/>
            </w:tcMar>
            <w:vAlign w:val="center"/>
          </w:tcPr>
          <w:p>
            <w:r>
              <w:rPr>
                <w:rFonts w:ascii="Calibri" w:hAnsi="Calibri" w:eastAsia="Calibri" w:cs="Calibri"/>
                <w:b/>
                <w:color w:val="1F4D78"/>
                <w:sz w:val="17"/>
              </w:rPr>
              <w:t>Era</w:t>
            </w:r>
          </w:p>
        </w:tc>
        <w:tc>
          <w:tcPr>
            <w:tcW w:type="dxa" w:w="3744"/>
            <w:shd w:fill="F4F6F9"/>
            <w:tcMar>
              <w:top w:w="80" w:type="dxa"/>
              <w:start w:w="120" w:type="dxa"/>
              <w:bottom w:w="80" w:type="dxa"/>
              <w:end w:w="120" w:type="dxa"/>
            </w:tcMar>
            <w:vAlign w:val="center"/>
          </w:tcPr>
          <w:p>
            <w:r>
              <w:rPr>
                <w:rFonts w:ascii="Calibri" w:hAnsi="Calibri" w:eastAsia="Calibri" w:cs="Calibri"/>
                <w:b/>
                <w:color w:val="1F4D78"/>
                <w:sz w:val="17"/>
              </w:rPr>
              <w:t>Discovery</w:t>
            </w:r>
          </w:p>
        </w:tc>
        <w:tc>
          <w:tcPr>
            <w:tcW w:type="dxa" w:w="4032"/>
            <w:shd w:fill="F4F6F9"/>
            <w:tcMar>
              <w:top w:w="80" w:type="dxa"/>
              <w:start w:w="120" w:type="dxa"/>
              <w:bottom w:w="80" w:type="dxa"/>
              <w:end w:w="120" w:type="dxa"/>
            </w:tcMar>
            <w:vAlign w:val="center"/>
          </w:tcPr>
          <w:p>
            <w:r>
              <w:rPr>
                <w:rFonts w:ascii="Calibri" w:hAnsi="Calibri" w:eastAsia="Calibri" w:cs="Calibri"/>
                <w:b/>
                <w:color w:val="1F4D78"/>
                <w:sz w:val="17"/>
              </w:rPr>
              <w:t>What changed about “the Sun”</w:t>
            </w:r>
          </w:p>
        </w:tc>
      </w:tr>
      <w:tr>
        <w:tc>
          <w:tcPr>
            <w:tcW w:type="dxa" w:w="158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1543–1687</w:t>
            </w:r>
          </w:p>
        </w:tc>
        <w:tc>
          <w:tcPr>
            <w:tcW w:type="dxa" w:w="374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Copernican heliocentrism, Keplerian ellipses, telescopic sunspots, Newtonian gravitation.</w:t>
            </w:r>
          </w:p>
        </w:tc>
        <w:tc>
          <w:tcPr>
            <w:tcW w:type="dxa" w:w="4032"/>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The Sun became the dynamical center of a planetary system governed by mathematical laws.</w:t>
            </w:r>
          </w:p>
        </w:tc>
      </w:tr>
      <w:tr>
        <w:tc>
          <w:tcPr>
            <w:tcW w:type="dxa" w:w="158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1802–1860s</w:t>
            </w:r>
          </w:p>
        </w:tc>
        <w:tc>
          <w:tcPr>
            <w:tcW w:type="dxa" w:w="374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Fraunhofer lines; Kirchhoff and Bunsen’s spectroscopy.</w:t>
            </w:r>
          </w:p>
        </w:tc>
        <w:tc>
          <w:tcPr>
            <w:tcW w:type="dxa" w:w="4032"/>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Sunlight became a chemical archive; distant composition could be inferred from light.</w:t>
            </w:r>
          </w:p>
        </w:tc>
      </w:tr>
      <w:tr>
        <w:tc>
          <w:tcPr>
            <w:tcW w:type="dxa" w:w="158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Early 1900s</w:t>
            </w:r>
          </w:p>
        </w:tc>
        <w:tc>
          <w:tcPr>
            <w:tcW w:type="dxa" w:w="374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Relativity, quantum theory, plasma and atomic physics; stellar mass–luminosity relations.</w:t>
            </w:r>
          </w:p>
        </w:tc>
        <w:tc>
          <w:tcPr>
            <w:tcW w:type="dxa" w:w="4032"/>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Gravity, radiation, atoms, and pressure could be joined into a stellar model.</w:t>
            </w:r>
          </w:p>
        </w:tc>
      </w:tr>
      <w:tr>
        <w:tc>
          <w:tcPr>
            <w:tcW w:type="dxa" w:w="158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1920–1939</w:t>
            </w:r>
          </w:p>
        </w:tc>
        <w:tc>
          <w:tcPr>
            <w:tcW w:type="dxa" w:w="374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Eddington’s hydrogen-to-helium proposal; Bethe’s pp-chain and CNO calculations.</w:t>
            </w:r>
          </w:p>
        </w:tc>
        <w:tc>
          <w:tcPr>
            <w:tcW w:type="dxa" w:w="4032"/>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The ancient brightness became nuclear fusion and mass–energy conversion.</w:t>
            </w:r>
          </w:p>
        </w:tc>
      </w:tr>
      <w:tr>
        <w:tc>
          <w:tcPr>
            <w:tcW w:type="dxa" w:w="158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1950s–2000s</w:t>
            </w:r>
          </w:p>
        </w:tc>
        <w:tc>
          <w:tcPr>
            <w:tcW w:type="dxa" w:w="374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Solar wind, space probes, helioseismology, neutrino astronomy and oscillations.</w:t>
            </w:r>
          </w:p>
        </w:tc>
        <w:tc>
          <w:tcPr>
            <w:tcW w:type="dxa" w:w="4032"/>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The Sun acquired an interior we can “hear,” particles we can detect, and an atmosphere extending past the planets.</w:t>
            </w:r>
          </w:p>
        </w:tc>
      </w:tr>
      <w:tr>
        <w:tc>
          <w:tcPr>
            <w:tcW w:type="dxa" w:w="158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Contemporary</w:t>
            </w:r>
          </w:p>
        </w:tc>
        <w:tc>
          <w:tcPr>
            <w:tcW w:type="dxa" w:w="374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SDO, SOHO, Parker Solar Probe, Solar Orbiter, precision irradiance and space-weather monitoring.</w:t>
            </w:r>
          </w:p>
        </w:tc>
        <w:tc>
          <w:tcPr>
            <w:tcW w:type="dxa" w:w="4032"/>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The oath’s object is observed continuously across the spectrum and from within the corona’s domain.</w:t>
            </w:r>
          </w:p>
        </w:tc>
      </w:tr>
    </w:tbl>
    <w:p>
      <w:pPr>
        <w:spacing w:after="20"/>
      </w:pPr>
    </w:p>
    <w:p>
      <w:r>
        <w:rPr>
          <w:i w:val="0"/>
        </w:rPr>
        <w:t>NASA’s historical timeline makes the decisive point: spectroscopy turned a luminous disk into matter that could be read, and Bethe’s 1939 work supplied the nuclear pathways. Modern instruments did not merely add more adjectives. They changed the ontology of the known referent—from heavenly light to evolving plasma star. [12,28]</w:t>
      </w:r>
    </w:p>
    <w:p>
      <w:pPr>
        <w:pStyle w:val="Heading2"/>
        <w:keepNext/>
      </w:pPr>
      <w:r>
        <w:t>6.2 In what sense has the Qur’an “grown”?</w:t>
      </w:r>
    </w:p>
    <w:p>
      <w:r>
        <w:rPr>
          <w:i w:val="0"/>
        </w:rPr>
        <w:t>The phrase is legitimate only with qualifications. The consonantal text, grammar, recitation, and seventh-century communicative act have not physically grown. Human reception has. A noun can have a stable ordinary referent while knowledge of that referent expands. “Sun” still points to the object that rises, illuminates, and sets in experience; it now also points to fusion, neutrinos, magnetohydrodynamics, galactic history, and stellar mortality.</w:t>
      </w:r>
    </w:p>
    <w:p>
      <w:r>
        <w:rPr>
          <w:i w:val="0"/>
        </w:rPr>
        <w:t>This may be called epistemic thickening: the oath’s witness carries more verified content for a modern hearer. It is comparable to learning that a familiar person has an unsuspected biography—the name is unchanged, but the reality known under the name becomes deeper. The increase is in disclosed significance, not retroactive vocabulary.</w:t>
      </w:r>
    </w:p>
    <w:p>
      <w:pPr>
        <w:pStyle w:val="Heading2"/>
        <w:keepNext/>
      </w:pPr>
      <w:r>
        <w:t>6.3 Four safeguards against careless “scientific miracle” claims</w:t>
      </w:r>
    </w:p>
    <w:p>
      <w:pPr>
        <w:pStyle w:val="ListNumber"/>
        <w:spacing w:after="80" w:line="290" w:lineRule="auto"/>
        <w:ind w:left="540" w:hanging="279"/>
      </w:pPr>
      <w:r>
        <w:t>Lexical continuity: a modern reading must remain connected to plausible Arabic usage and the surah’s literary context.</w:t>
      </w:r>
    </w:p>
    <w:p>
      <w:pPr>
        <w:pStyle w:val="ListNumber"/>
        <w:spacing w:after="80" w:line="290" w:lineRule="auto"/>
        <w:ind w:left="540" w:hanging="279"/>
      </w:pPr>
      <w:r>
        <w:t>Established science: use robust findings, not a sensational headline or a speculative model presented as fact.</w:t>
      </w:r>
    </w:p>
    <w:p>
      <w:pPr>
        <w:pStyle w:val="ListNumber"/>
        <w:spacing w:after="80" w:line="290" w:lineRule="auto"/>
        <w:ind w:left="540" w:hanging="279"/>
      </w:pPr>
      <w:r>
        <w:t>Meaning versus resonance: distinguish what the verse asserts from what later knowledge makes evocatively compatible.</w:t>
      </w:r>
    </w:p>
    <w:p>
      <w:pPr>
        <w:pStyle w:val="ListNumber"/>
        <w:spacing w:after="80" w:line="290" w:lineRule="auto"/>
        <w:ind w:left="540" w:hanging="279"/>
      </w:pPr>
      <w:r>
        <w:t>Moral primacy: fusion physics may enrich Q 91:1, but the surah’s stated destination is purification of the soul.</w:t>
      </w:r>
    </w:p>
    <w:p>
      <w:r>
        <w:rPr>
          <w:i w:val="0"/>
        </w:rPr>
        <w:t>Shah’s strongest methodological statements are compatible with these safeguards: the Qur’an’s oath corpus treats nature as testimony while insisting scripture is not a science textbook. The modern sciences enlarge contemplation; they do not authorize unrestricted concordism. [4,6]</w:t>
      </w:r>
    </w:p>
    <w:p>
      <w:pPr>
        <w:pStyle w:val="Heading1"/>
        <w:keepNext/>
      </w:pPr>
      <w:r>
        <w:t>7. The modern Sun</w:t>
      </w:r>
    </w:p>
    <w:p>
      <w:pPr>
        <w:pStyle w:val="Heading2"/>
        <w:keepNext/>
      </w:pPr>
      <w:r>
        <w:t>7.1 Identity card</w:t>
      </w:r>
    </w:p>
    <w:tbl>
      <w:tblPr>
        <w:tblW w:type="auto" w:w="0"/>
        <w:jc w:val="center"/>
        <w:tblLayout w:type="fixed"/>
        <w:tblLook w:firstColumn="1" w:firstRow="1" w:lastColumn="0" w:lastRow="0" w:noHBand="0" w:noVBand="1" w:val="04A0"/>
        <w:tblBorders>
          <w:top w:val="single" w:sz="4" w:space="0" w:color="D9E1E8"/>
          <w:left w:val="single" w:sz="4" w:space="0" w:color="D9E1E8"/>
          <w:bottom w:val="single" w:sz="4" w:space="0" w:color="D9E1E8"/>
          <w:right w:val="single" w:sz="4" w:space="0" w:color="D9E1E8"/>
          <w:insideH w:val="single" w:sz="4" w:space="0" w:color="D9E1E8"/>
          <w:insideV w:val="single" w:sz="4" w:space="0" w:color="D9E1E8"/>
        </w:tblBorders>
      </w:tblPr>
      <w:tblGrid>
        <w:gridCol w:w="3120"/>
        <w:gridCol w:w="3120"/>
        <w:gridCol w:w="3120"/>
      </w:tblGrid>
      <w:tr>
        <w:trPr>
          <w:tblHeader w:val="true"/>
        </w:trPr>
        <w:tc>
          <w:tcPr>
            <w:tcW w:type="dxa" w:w="1584"/>
            <w:shd w:fill="F4F6F9"/>
            <w:tcMar>
              <w:top w:w="80" w:type="dxa"/>
              <w:start w:w="120" w:type="dxa"/>
              <w:bottom w:w="80" w:type="dxa"/>
              <w:end w:w="120" w:type="dxa"/>
            </w:tcMar>
            <w:vAlign w:val="center"/>
          </w:tcPr>
          <w:p>
            <w:r>
              <w:rPr>
                <w:rFonts w:ascii="Calibri" w:hAnsi="Calibri" w:eastAsia="Calibri" w:cs="Calibri"/>
                <w:b/>
                <w:color w:val="1F4D78"/>
                <w:sz w:val="17"/>
              </w:rPr>
              <w:t>Property</w:t>
            </w:r>
          </w:p>
        </w:tc>
        <w:tc>
          <w:tcPr>
            <w:tcW w:type="dxa" w:w="3384"/>
            <w:shd w:fill="F4F6F9"/>
            <w:tcMar>
              <w:top w:w="80" w:type="dxa"/>
              <w:start w:w="120" w:type="dxa"/>
              <w:bottom w:w="80" w:type="dxa"/>
              <w:end w:w="120" w:type="dxa"/>
            </w:tcMar>
            <w:vAlign w:val="center"/>
          </w:tcPr>
          <w:p>
            <w:r>
              <w:rPr>
                <w:rFonts w:ascii="Calibri" w:hAnsi="Calibri" w:eastAsia="Calibri" w:cs="Calibri"/>
                <w:b/>
                <w:color w:val="1F4D78"/>
                <w:sz w:val="17"/>
              </w:rPr>
              <w:t>Best current summary</w:t>
            </w:r>
          </w:p>
        </w:tc>
        <w:tc>
          <w:tcPr>
            <w:tcW w:type="dxa" w:w="4392"/>
            <w:shd w:fill="F4F6F9"/>
            <w:tcMar>
              <w:top w:w="80" w:type="dxa"/>
              <w:start w:w="120" w:type="dxa"/>
              <w:bottom w:w="80" w:type="dxa"/>
              <w:end w:w="120" w:type="dxa"/>
            </w:tcMar>
            <w:vAlign w:val="center"/>
          </w:tcPr>
          <w:p>
            <w:r>
              <w:rPr>
                <w:rFonts w:ascii="Calibri" w:hAnsi="Calibri" w:eastAsia="Calibri" w:cs="Calibri"/>
                <w:b/>
                <w:color w:val="1F4D78"/>
                <w:sz w:val="17"/>
              </w:rPr>
              <w:t>Meaning</w:t>
            </w:r>
          </w:p>
        </w:tc>
      </w:tr>
      <w:tr>
        <w:tc>
          <w:tcPr>
            <w:tcW w:type="dxa" w:w="158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Class</w:t>
            </w:r>
          </w:p>
        </w:tc>
        <w:tc>
          <w:tcPr>
            <w:tcW w:type="dxa" w:w="338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G2V main-sequence star; informally a yellow dwarf</w:t>
            </w:r>
          </w:p>
        </w:tc>
        <w:tc>
          <w:tcPr>
            <w:tcW w:type="dxa" w:w="4392"/>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G-type spectrum; luminosity class V; core hydrogen fusion.</w:t>
            </w:r>
          </w:p>
        </w:tc>
      </w:tr>
      <w:tr>
        <w:tc>
          <w:tcPr>
            <w:tcW w:type="dxa" w:w="158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Age</w:t>
            </w:r>
          </w:p>
        </w:tc>
        <w:tc>
          <w:tcPr>
            <w:tcW w:type="dxa" w:w="338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~4.6 billion years</w:t>
            </w:r>
          </w:p>
        </w:tc>
        <w:tc>
          <w:tcPr>
            <w:tcW w:type="dxa" w:w="4392"/>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Roughly mid-main-sequence.</w:t>
            </w:r>
          </w:p>
        </w:tc>
      </w:tr>
      <w:tr>
        <w:tc>
          <w:tcPr>
            <w:tcW w:type="dxa" w:w="158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Distance</w:t>
            </w:r>
          </w:p>
        </w:tc>
        <w:tc>
          <w:tcPr>
            <w:tcW w:type="dxa" w:w="338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1 AU ≈ 149.6 million km; light time ~8 min 20 s</w:t>
            </w:r>
          </w:p>
        </w:tc>
        <w:tc>
          <w:tcPr>
            <w:tcW w:type="dxa" w:w="4392"/>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Near enough for abundant energy, far enough for temperate conditions with Earth’s atmosphere.</w:t>
            </w:r>
          </w:p>
        </w:tc>
      </w:tr>
      <w:tr>
        <w:tc>
          <w:tcPr>
            <w:tcW w:type="dxa" w:w="158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Mass</w:t>
            </w:r>
          </w:p>
        </w:tc>
        <w:tc>
          <w:tcPr>
            <w:tcW w:type="dxa" w:w="338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~1.989 × 10³⁰ kg; ~333,000 Earth masses</w:t>
            </w:r>
          </w:p>
        </w:tc>
        <w:tc>
          <w:tcPr>
            <w:tcW w:type="dxa" w:w="4392"/>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Holds 99.8% of solar-system mass and dominates its gravity.</w:t>
            </w:r>
          </w:p>
        </w:tc>
      </w:tr>
      <w:tr>
        <w:tc>
          <w:tcPr>
            <w:tcW w:type="dxa" w:w="158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Radius / diameter</w:t>
            </w:r>
          </w:p>
        </w:tc>
        <w:tc>
          <w:tcPr>
            <w:tcW w:type="dxa" w:w="338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~696,000 km / 1.392 million km</w:t>
            </w:r>
          </w:p>
        </w:tc>
        <w:tc>
          <w:tcPr>
            <w:tcW w:type="dxa" w:w="4392"/>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About 109 Earth diameters across; ~1.3 million Earth volumes.</w:t>
            </w:r>
          </w:p>
        </w:tc>
      </w:tr>
      <w:tr>
        <w:tc>
          <w:tcPr>
            <w:tcW w:type="dxa" w:w="158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Luminosity</w:t>
            </w:r>
          </w:p>
        </w:tc>
        <w:tc>
          <w:tcPr>
            <w:tcW w:type="dxa" w:w="338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IAU nominal 3.828 × 10²⁶ W</w:t>
            </w:r>
          </w:p>
        </w:tc>
        <w:tc>
          <w:tcPr>
            <w:tcW w:type="dxa" w:w="4392"/>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Energy radiated each second in all directions.</w:t>
            </w:r>
          </w:p>
        </w:tc>
      </w:tr>
      <w:tr>
        <w:tc>
          <w:tcPr>
            <w:tcW w:type="dxa" w:w="158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Surface</w:t>
            </w:r>
          </w:p>
        </w:tc>
        <w:tc>
          <w:tcPr>
            <w:tcW w:type="dxa" w:w="338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Photosphere ~5,500 °C</w:t>
            </w:r>
          </w:p>
        </w:tc>
        <w:tc>
          <w:tcPr>
            <w:tcW w:type="dxa" w:w="4392"/>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Visible “surface,” not a solid boundary.</w:t>
            </w:r>
          </w:p>
        </w:tc>
      </w:tr>
      <w:tr>
        <w:tc>
          <w:tcPr>
            <w:tcW w:type="dxa" w:w="158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Core</w:t>
            </w:r>
          </w:p>
        </w:tc>
        <w:tc>
          <w:tcPr>
            <w:tcW w:type="dxa" w:w="338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~15 million °C; density ~150 g/cm³</w:t>
            </w:r>
          </w:p>
        </w:tc>
        <w:tc>
          <w:tcPr>
            <w:tcW w:type="dxa" w:w="4392"/>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Fusion region inside roughly the inner quarter by radius.</w:t>
            </w:r>
          </w:p>
        </w:tc>
      </w:tr>
      <w:tr>
        <w:tc>
          <w:tcPr>
            <w:tcW w:type="dxa" w:w="158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Rotation</w:t>
            </w:r>
          </w:p>
        </w:tc>
        <w:tc>
          <w:tcPr>
            <w:tcW w:type="dxa" w:w="338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~25 d equator; ~36 d poles</w:t>
            </w:r>
          </w:p>
        </w:tc>
        <w:tc>
          <w:tcPr>
            <w:tcW w:type="dxa" w:w="4392"/>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Differential plasma rotation helps drive magnetism.</w:t>
            </w:r>
          </w:p>
        </w:tc>
      </w:tr>
      <w:tr>
        <w:tc>
          <w:tcPr>
            <w:tcW w:type="dxa" w:w="158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Galactic orbit</w:t>
            </w:r>
          </w:p>
        </w:tc>
        <w:tc>
          <w:tcPr>
            <w:tcW w:type="dxa" w:w="338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~230 million years at ~720,000 km/h</w:t>
            </w:r>
          </w:p>
        </w:tc>
        <w:tc>
          <w:tcPr>
            <w:tcW w:type="dxa" w:w="4392"/>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The solar system travels through the Milky Way’s Orion Spur.</w:t>
            </w:r>
          </w:p>
        </w:tc>
      </w:tr>
    </w:tbl>
    <w:p>
      <w:pPr>
        <w:spacing w:after="20"/>
      </w:pPr>
    </w:p>
    <w:p>
      <w:r>
        <w:rPr>
          <w:i w:val="0"/>
        </w:rPr>
        <w:t>These values are not inert trivia. They translate the Qur’anic “Sun” from apparent disk to gravitational system. Its surface gravity, mass, temperature, and composition place it in a narrow stellar regime that can remain luminous for about ten billion years rather than exploding after a few million. [10]</w:t>
      </w:r>
    </w:p>
    <w:p>
      <w:pPr>
        <w:pStyle w:val="Heading2"/>
        <w:keepNext/>
      </w:pPr>
      <w:r>
        <w:t>7.2 Cosmic genealogy: before the Sun</w:t>
      </w:r>
    </w:p>
    <w:p>
      <w:r>
        <w:rPr>
          <w:i w:val="0"/>
        </w:rPr>
        <w:t>Modern cosmology places the Sun in a 13.8-billion-year history. Big-bang nucleosynthesis produced mostly hydrogen and helium with traces of light elements. Earlier generations of stars forged and dispersed much of the carbon, oxygen, silicon, iron, and other heavy elements later incorporated into the solar nebula, planets, and life. The Sun formed about 4.6 billion years ago when part of a rotating molecular cloud collapsed, flattened into a disk, and concentrated most mass at the center. The planets formed from the remaining disk. [10,27]</w:t>
      </w:r>
    </w:p>
    <w:p>
      <w:r>
        <w:rPr>
          <w:i w:val="0"/>
        </w:rPr>
        <w:t>The Sun is therefore not primordial in the strict cosmological sense. It is a later-generation, metal-bearing star: cosmically ordinary enough to be scientifically intelligible, historically late enough to inherit the chemical products required for rocky worlds and biochemistry. The oath summons not an isolated lamp but a condensed chapter of cosmic history.</w:t>
      </w:r>
    </w:p>
    <w:p>
      <w:pPr>
        <w:pStyle w:val="Heading2"/>
        <w:keepNext/>
      </w:pPr>
      <w:r>
        <w:t>7.3 Anatomy from center to heliosphere</w:t>
      </w:r>
    </w:p>
    <w:tbl>
      <w:tblPr>
        <w:tblW w:type="auto" w:w="0"/>
        <w:jc w:val="center"/>
        <w:tblLayout w:type="fixed"/>
        <w:tblLook w:firstColumn="1" w:firstRow="1" w:lastColumn="0" w:lastRow="0" w:noHBand="0" w:noVBand="1" w:val="04A0"/>
        <w:tblBorders>
          <w:top w:val="single" w:sz="4" w:space="0" w:color="D9E1E8"/>
          <w:left w:val="single" w:sz="4" w:space="0" w:color="D9E1E8"/>
          <w:bottom w:val="single" w:sz="4" w:space="0" w:color="D9E1E8"/>
          <w:right w:val="single" w:sz="4" w:space="0" w:color="D9E1E8"/>
          <w:insideH w:val="single" w:sz="4" w:space="0" w:color="D9E1E8"/>
          <w:insideV w:val="single" w:sz="4" w:space="0" w:color="D9E1E8"/>
        </w:tblBorders>
      </w:tblPr>
      <w:tblGrid>
        <w:gridCol w:w="3120"/>
        <w:gridCol w:w="3120"/>
        <w:gridCol w:w="3120"/>
      </w:tblGrid>
      <w:tr>
        <w:trPr>
          <w:tblHeader w:val="true"/>
        </w:trPr>
        <w:tc>
          <w:tcPr>
            <w:tcW w:type="dxa" w:w="1944"/>
            <w:shd w:fill="F4F6F9"/>
            <w:tcMar>
              <w:top w:w="80" w:type="dxa"/>
              <w:start w:w="120" w:type="dxa"/>
              <w:bottom w:w="80" w:type="dxa"/>
              <w:end w:w="120" w:type="dxa"/>
            </w:tcMar>
            <w:vAlign w:val="center"/>
          </w:tcPr>
          <w:p>
            <w:r>
              <w:rPr>
                <w:rFonts w:ascii="Calibri" w:hAnsi="Calibri" w:eastAsia="Calibri" w:cs="Calibri"/>
                <w:b/>
                <w:color w:val="1F4D78"/>
                <w:sz w:val="17"/>
              </w:rPr>
              <w:t>Region</w:t>
            </w:r>
          </w:p>
        </w:tc>
        <w:tc>
          <w:tcPr>
            <w:tcW w:type="dxa" w:w="3672"/>
            <w:shd w:fill="F4F6F9"/>
            <w:tcMar>
              <w:top w:w="80" w:type="dxa"/>
              <w:start w:w="120" w:type="dxa"/>
              <w:bottom w:w="80" w:type="dxa"/>
              <w:end w:w="120" w:type="dxa"/>
            </w:tcMar>
            <w:vAlign w:val="center"/>
          </w:tcPr>
          <w:p>
            <w:r>
              <w:rPr>
                <w:rFonts w:ascii="Calibri" w:hAnsi="Calibri" w:eastAsia="Calibri" w:cs="Calibri"/>
                <w:b/>
                <w:color w:val="1F4D78"/>
                <w:sz w:val="17"/>
              </w:rPr>
              <w:t>Physical process</w:t>
            </w:r>
          </w:p>
        </w:tc>
        <w:tc>
          <w:tcPr>
            <w:tcW w:type="dxa" w:w="3744"/>
            <w:shd w:fill="F4F6F9"/>
            <w:tcMar>
              <w:top w:w="80" w:type="dxa"/>
              <w:start w:w="120" w:type="dxa"/>
              <w:bottom w:w="80" w:type="dxa"/>
              <w:end w:w="120" w:type="dxa"/>
            </w:tcMar>
            <w:vAlign w:val="center"/>
          </w:tcPr>
          <w:p>
            <w:r>
              <w:rPr>
                <w:rFonts w:ascii="Calibri" w:hAnsi="Calibri" w:eastAsia="Calibri" w:cs="Calibri"/>
                <w:b/>
                <w:color w:val="1F4D78"/>
                <w:sz w:val="17"/>
              </w:rPr>
              <w:t>Approximate character</w:t>
            </w:r>
          </w:p>
        </w:tc>
      </w:tr>
      <w:tr>
        <w:tc>
          <w:tcPr>
            <w:tcW w:type="dxa" w:w="194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Core</w:t>
            </w:r>
          </w:p>
        </w:tc>
        <w:tc>
          <w:tcPr>
            <w:tcW w:type="dxa" w:w="3672"/>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pp-chain fusion; neutrino and gamma production</w:t>
            </w:r>
          </w:p>
        </w:tc>
        <w:tc>
          <w:tcPr>
            <w:tcW w:type="dxa" w:w="374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Inner ~25% by radius; hottest and densest region.</w:t>
            </w:r>
          </w:p>
        </w:tc>
      </w:tr>
      <w:tr>
        <w:tc>
          <w:tcPr>
            <w:tcW w:type="dxa" w:w="194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Radiative zone</w:t>
            </w:r>
          </w:p>
        </w:tc>
        <w:tc>
          <w:tcPr>
            <w:tcW w:type="dxa" w:w="3672"/>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Photons repeatedly absorbed, re-emitted, and scattered</w:t>
            </w:r>
          </w:p>
        </w:tc>
        <w:tc>
          <w:tcPr>
            <w:tcW w:type="dxa" w:w="374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Energy diffuses outward over ~170,000 years in NASA’s current summary.</w:t>
            </w:r>
          </w:p>
        </w:tc>
      </w:tr>
      <w:tr>
        <w:tc>
          <w:tcPr>
            <w:tcW w:type="dxa" w:w="194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Tachocline</w:t>
            </w:r>
          </w:p>
        </w:tc>
        <w:tc>
          <w:tcPr>
            <w:tcW w:type="dxa" w:w="3672"/>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Strong rotational shear</w:t>
            </w:r>
          </w:p>
        </w:tc>
        <w:tc>
          <w:tcPr>
            <w:tcW w:type="dxa" w:w="374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Interface implicated in the solar dynamo.</w:t>
            </w:r>
          </w:p>
        </w:tc>
      </w:tr>
      <w:tr>
        <w:tc>
          <w:tcPr>
            <w:tcW w:type="dxa" w:w="194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Convection zone</w:t>
            </w:r>
          </w:p>
        </w:tc>
        <w:tc>
          <w:tcPr>
            <w:tcW w:type="dxa" w:w="3672"/>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Hot plasma rises; cooler plasma sinks</w:t>
            </w:r>
          </w:p>
        </w:tc>
        <w:tc>
          <w:tcPr>
            <w:tcW w:type="dxa" w:w="374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Outer ~30% by radius; granulation emerges at the surface.</w:t>
            </w:r>
          </w:p>
        </w:tc>
      </w:tr>
      <w:tr>
        <w:tc>
          <w:tcPr>
            <w:tcW w:type="dxa" w:w="194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Photosphere</w:t>
            </w:r>
          </w:p>
        </w:tc>
        <w:tc>
          <w:tcPr>
            <w:tcW w:type="dxa" w:w="3672"/>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Visible continuum and absorption spectrum</w:t>
            </w:r>
          </w:p>
        </w:tc>
        <w:tc>
          <w:tcPr>
            <w:tcW w:type="dxa" w:w="374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~5,500 °C; sunspots are magnetically cooled areas.</w:t>
            </w:r>
          </w:p>
        </w:tc>
      </w:tr>
      <w:tr>
        <w:tc>
          <w:tcPr>
            <w:tcW w:type="dxa" w:w="194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Chromosphere / transition</w:t>
            </w:r>
          </w:p>
        </w:tc>
        <w:tc>
          <w:tcPr>
            <w:tcW w:type="dxa" w:w="3672"/>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Rapid temperature and ionization changes</w:t>
            </w:r>
          </w:p>
        </w:tc>
        <w:tc>
          <w:tcPr>
            <w:tcW w:type="dxa" w:w="374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Seen as a reddish rim during total eclipses.</w:t>
            </w:r>
          </w:p>
        </w:tc>
      </w:tr>
      <w:tr>
        <w:tc>
          <w:tcPr>
            <w:tcW w:type="dxa" w:w="194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Corona</w:t>
            </w:r>
          </w:p>
        </w:tc>
        <w:tc>
          <w:tcPr>
            <w:tcW w:type="dxa" w:w="3672"/>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Magnetically structured, tenuous plasma</w:t>
            </w:r>
          </w:p>
        </w:tc>
        <w:tc>
          <w:tcPr>
            <w:tcW w:type="dxa" w:w="374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Up to ~2 million °C; heating remains an active research problem.</w:t>
            </w:r>
          </w:p>
        </w:tc>
      </w:tr>
      <w:tr>
        <w:tc>
          <w:tcPr>
            <w:tcW w:type="dxa" w:w="194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Solar wind / heliosphere</w:t>
            </w:r>
          </w:p>
        </w:tc>
        <w:tc>
          <w:tcPr>
            <w:tcW w:type="dxa" w:w="3672"/>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Supersonic plasma and embedded magnetic field</w:t>
            </w:r>
          </w:p>
        </w:tc>
        <w:tc>
          <w:tcPr>
            <w:tcW w:type="dxa" w:w="374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Extends beyond all planets; Earth exists within this solar atmosphere.</w:t>
            </w:r>
          </w:p>
        </w:tc>
      </w:tr>
    </w:tbl>
    <w:p>
      <w:pPr>
        <w:spacing w:after="20"/>
      </w:pPr>
    </w:p>
    <w:p>
      <w:r>
        <w:rPr>
          <w:i w:val="0"/>
        </w:rPr>
        <w:t>The striking inversion—corona hotter than photosphere—shows why “all the details” cannot mean “all questions solved.” Wave dissipation, magnetic reconnection, and nanoflare-scale processes are leading parts of the explanation, but coronal heating remains a major research field. A theologically serious appreciation of science includes its disciplined uncertainty. [10,11]</w:t>
      </w:r>
    </w:p>
    <w:p>
      <w:pPr>
        <w:pStyle w:val="Heading2"/>
        <w:keepNext/>
      </w:pPr>
      <w:r>
        <w:t>7.4 Fusion in detail</w:t>
      </w:r>
    </w:p>
    <w:p>
      <w:pPr>
        <w:spacing w:before="80" w:after="200" w:line="288" w:lineRule="auto"/>
        <w:ind w:left="115" w:right="115"/>
        <w:jc w:val="left"/>
        <w:shd w:fill="FFF8E8"/>
        <w:pBdr>
          <w:top w:val="single" w:sz="6" w:space="5" w:color="D8E5F0"/>
          <w:left w:val="single" w:sz="6" w:space="5" w:color="D8E5F0"/>
          <w:bottom w:val="single" w:sz="6" w:space="5" w:color="D8E5F0"/>
          <w:right w:val="single" w:sz="6" w:space="5" w:color="D8E5F0"/>
        </w:pBdr>
      </w:pPr>
      <w:r>
        <w:rPr>
          <w:rFonts w:ascii="Calibri" w:hAnsi="Calibri" w:eastAsia="Calibri" w:cs="Calibri"/>
          <w:b/>
          <w:color w:val="1F4D78"/>
          <w:sz w:val="21"/>
        </w:rPr>
        <w:t>NET REACTION</w:t>
      </w:r>
      <w:r>
        <w:br/>
      </w:r>
      <w:r>
        <w:rPr>
          <w:rFonts w:ascii="Calibri" w:hAnsi="Calibri" w:eastAsia="Calibri" w:cs="Calibri"/>
          <w:color w:val="1E2933"/>
          <w:sz w:val="20"/>
        </w:rPr>
        <w:t>4 ¹H → ⁴He + 2 e⁺ + 2 νₑ + energy (about 26.7 MeV for the complete chain, with a small fraction carried away by neutrinos). Roughly 0.7% of the initial rest mass becomes energy.</w:t>
      </w:r>
    </w:p>
    <w:p>
      <w:r>
        <w:rPr>
          <w:i w:val="0"/>
        </w:rPr>
        <w:t>The Sun is not chemically burning. Ordinary combustion rearranges electrons and releases electron-volts per reaction; fusion rearranges nuclei and releases millions of electron-volts. The core’s temperature is still too low for protons to classically climb the entire Coulomb repulsion barrier. Quantum tunneling supplies a finite probability that close protons penetrate the barrier and interact. Gravity supplies confinement and pressure over astronomical time.</w:t>
      </w:r>
    </w:p>
    <w:p>
      <w:pPr>
        <w:spacing w:after="80" w:line="290" w:lineRule="auto"/>
        <w:ind w:left="540" w:hanging="279"/>
      </w:pPr>
      <w:r>
        <w:t>1.  Bottleneck—weak interaction: p + p → ²H + e⁺ + νₑ. One proton converts to a neutron while a deuterium nucleus, positron, and electron-neutrino are produced. The reaction is extraordinarily slow; that slowness is why a solar-mass star shines steadily for billions of years rather than detonating.</w:t>
      </w:r>
    </w:p>
    <w:p>
      <w:pPr>
        <w:spacing w:after="80" w:line="290" w:lineRule="auto"/>
        <w:ind w:left="540" w:hanging="279"/>
      </w:pPr>
      <w:r>
        <w:t>2.  Deuterium capture: ²H + p → ³He + γ. This strong/electromagnetic step proceeds rapidly once deuterium exists.</w:t>
      </w:r>
    </w:p>
    <w:p>
      <w:pPr>
        <w:spacing w:after="80" w:line="290" w:lineRule="auto"/>
        <w:ind w:left="540" w:hanging="279"/>
      </w:pPr>
      <w:r>
        <w:t>3.  pp-I completion: ³He + ³He → ⁴He + 2p. Two protons return to the plasma; the net result of the chain is four initial protons becoming one helium-4 nucleus plus leptons and energy.</w:t>
      </w:r>
    </w:p>
    <w:p>
      <w:r>
        <w:rPr>
          <w:i w:val="0"/>
        </w:rPr>
        <w:t>Alternative pp-II and pp-III branches begin when ³He combines with ⁴He to form ⁷Be. Electron capture or proton capture then produces characteristic neutrinos, including rare high-energy boron-8 neutrinos valuable to detectors. The CNO cycle uses carbon, nitrogen, and oxygen as catalysts and contributes only a small fraction of present solar power, while dominating in hotter, more massive stars. [11–14]</w:t>
      </w:r>
    </w:p>
    <w:p>
      <w:r>
        <w:rPr>
          <w:i w:val="0"/>
        </w:rPr>
        <w:t>At the Sun’s luminosity, about 600 million metric tons of hydrogen are processed each second into roughly 596 million tons of helium, with about 4 million tons of mass-equivalent emerging as radiant energy and neutrino energy. This sounds catastrophic, but the Sun’s mass is so great that the rate is sustainable over billions of years. E = mc² converts a small mass deficit into an immense output.</w:t>
      </w:r>
    </w:p>
    <w:p>
      <w:pPr>
        <w:pStyle w:val="Heading2"/>
        <w:keepNext/>
      </w:pPr>
      <w:r>
        <w:t>7.5 Self-regulation: why the Sun does not simply collapse or explode</w:t>
      </w:r>
    </w:p>
    <w:p>
      <w:r>
        <w:rPr>
          <w:i w:val="0"/>
        </w:rPr>
        <w:t>Main-sequence stability is hydrostatic equilibrium: inward gravity is balanced locally by an outward pressure gradient. In compact form, dP/dr = −G M(r)ρ(r)/r². If the core contracts, it heats, reaction rates rise, and pressure tends to expand it; if it expands and cools, fusion slows, allowing gravity to contract it. This negative feedback is the stellar thermostat. It is not perfect stasis—the Sun slowly evolves and brightens—but it is stability on the timescale life requires.</w:t>
      </w:r>
    </w:p>
    <w:p>
      <w:r>
        <w:rPr>
          <w:i w:val="0"/>
        </w:rPr>
        <w:t>Energy generation also obeys conservation and transport equations. Gamma energy produced in the core is repeatedly absorbed and re-emitted, losing its original identity as it diffuses through the radiative zone. Convection then carries energy outward. A photon emerging from the photosphere reaches Earth in about eight minutes; the energy it carries may have taken roughly 170,000 years to travel from the core. Neutrinos escape the Sun almost immediately and reach Earth on the same light-travel timescale, making them direct messengers from present fusion. [10,11,14]</w:t>
      </w:r>
    </w:p>
    <w:p>
      <w:pPr>
        <w:pStyle w:val="Heading2"/>
        <w:keepNext/>
      </w:pPr>
      <w:r>
        <w:t>7.6 Light: spectrum, atmosphere, and life</w:t>
      </w:r>
    </w:p>
    <w:p>
      <w:r>
        <w:rPr>
          <w:i w:val="0"/>
        </w:rPr>
        <w:t>The photosphere radiates a near-thermal spectrum peaking in the visible range, marked by absorption lines that reveal elements and plasma conditions. At Earth’s mean distance, total solar irradiance is about 1,361 W/m² on a surface perpendicular to the rays at the top of the atmosphere; geometric averaging over a sphere gives about 340 W/m² before albedo. Solar output varies by roughly 0.1% across the eleven-year cycle, even though ultraviolet and particle conditions vary more strongly. [15]</w:t>
      </w:r>
    </w:p>
    <w:p>
      <w:r>
        <w:rPr>
          <w:i w:val="0"/>
        </w:rPr>
        <w:t>Sunlight drives photosynthesis, which stores energy in chemical bonds and helps sustain food webs and atmospheric oxygen. Differential heating powers winds and weather; evaporation drives the water cycle; ultraviolet initiates both harmful damage and useful chemistry; visible light structures vision and daily behavior. The oath by brightness is therefore at once astrophysical, climatic, ecological, and physiological.</w:t>
      </w:r>
    </w:p>
    <w:p>
      <w:pPr>
        <w:pStyle w:val="Heading2"/>
        <w:keepNext/>
      </w:pPr>
      <w:r>
        <w:t>7.7 Neutrinos: testing the invisible furnace</w:t>
      </w:r>
    </w:p>
    <w:p>
      <w:r>
        <w:rPr>
          <w:i w:val="0"/>
        </w:rPr>
        <w:t>Solar models once predicted more electron-neutrinos than detectors observed. The “solar neutrino problem” was resolved when experiments showed neutrinos oscillate among flavors and therefore have mass. Detectors sensitive to different flavors recovered the expected total flux. This episode matters philosophically: a mismatch did not force abandonment of the solar model; it exposed incomplete particle physics. The invisible particle became evidence for both stellar fusion and physics beyond the original Standard Model assumptions. [14]</w:t>
      </w:r>
    </w:p>
    <w:p>
      <w:pPr>
        <w:pStyle w:val="Heading2"/>
        <w:keepNext/>
      </w:pPr>
      <w:r>
        <w:t>7.8 Magnetism, solar weather, and wind</w:t>
      </w:r>
    </w:p>
    <w:p>
      <w:r>
        <w:rPr>
          <w:i w:val="0"/>
        </w:rPr>
        <w:t>Because the Sun is rotating, conducting plasma, motion and shear generate a magnetic dynamo. The field becomes twisted and reorganized; sunspots mark strong-field regions; the global polarity reverses roughly every eleven years, completing a full magnetic cycle in about twenty-two. Magnetic reconnection powers flares—bursts of electromagnetic radiation—and helps launch coronal mass ejections, immense clouds of magnetized plasma. CMEs can carry billions of tons of material at hundreds to thousands of kilometers per second. [10,25]</w:t>
      </w:r>
    </w:p>
    <w:p>
      <w:r>
        <w:rPr>
          <w:i w:val="0"/>
        </w:rPr>
        <w:t>The solar wind is the continuous outflow of coronal plasma and embedded magnetic field. It fills the heliosphere and forms the Parker spiral as the Sun rotates. At Earth, wind conditions determine whether energy couples strongly into the magnetosphere. Space weather can intensify auroras, disturb radio communication and navigation, damage satellites, expose astronauts, and induce currents in power grids. The life-giving star is not domesticated; habitability includes protection and resilience.</w:t>
      </w:r>
    </w:p>
    <w:p>
      <w:pPr>
        <w:pStyle w:val="Heading1"/>
        <w:keepNext/>
      </w:pPr>
      <w:r>
        <w:t>8. The solar system, suitable distance, and layered protection</w:t>
      </w:r>
    </w:p>
    <w:p>
      <w:pPr>
        <w:pStyle w:val="Heading2"/>
        <w:keepNext/>
      </w:pPr>
      <w:r>
        <w:t>8.1 One star, many worlds</w:t>
      </w:r>
    </w:p>
    <w:p>
      <w:r>
        <w:rPr>
          <w:i w:val="0"/>
        </w:rPr>
        <w:t>The solar system formed from one disk and remains gravitationally dominated by one star. It contains eight planets, five officially recognized dwarf planets, hundreds of moons, about 1.4 million catalogued asteroids, roughly four thousand catalogued comets, innumerable smaller bodies, and dust. Counts change with discovery; architecture is more stable than inventory. [16–19]</w:t>
      </w:r>
    </w:p>
    <w:tbl>
      <w:tblPr>
        <w:tblW w:type="auto" w:w="0"/>
        <w:jc w:val="center"/>
        <w:tblLayout w:type="fixed"/>
        <w:tblLook w:firstColumn="1" w:firstRow="1" w:lastColumn="0" w:lastRow="0" w:noHBand="0" w:noVBand="1" w:val="04A0"/>
        <w:tblBorders>
          <w:top w:val="single" w:sz="4" w:space="0" w:color="D9E1E8"/>
          <w:left w:val="single" w:sz="4" w:space="0" w:color="D9E1E8"/>
          <w:bottom w:val="single" w:sz="4" w:space="0" w:color="D9E1E8"/>
          <w:right w:val="single" w:sz="4" w:space="0" w:color="D9E1E8"/>
          <w:insideH w:val="single" w:sz="4" w:space="0" w:color="D9E1E8"/>
          <w:insideV w:val="single" w:sz="4" w:space="0" w:color="D9E1E8"/>
        </w:tblBorders>
      </w:tblPr>
      <w:tblGrid>
        <w:gridCol w:w="2340"/>
        <w:gridCol w:w="2340"/>
        <w:gridCol w:w="2340"/>
        <w:gridCol w:w="2340"/>
      </w:tblGrid>
      <w:tr>
        <w:trPr>
          <w:tblHeader w:val="true"/>
        </w:trPr>
        <w:tc>
          <w:tcPr>
            <w:tcW w:type="dxa" w:w="1728"/>
            <w:shd w:fill="F4F6F9"/>
            <w:tcMar>
              <w:top w:w="80" w:type="dxa"/>
              <w:start w:w="120" w:type="dxa"/>
              <w:bottom w:w="80" w:type="dxa"/>
              <w:end w:w="120" w:type="dxa"/>
            </w:tcMar>
            <w:vAlign w:val="center"/>
          </w:tcPr>
          <w:p>
            <w:r>
              <w:rPr>
                <w:rFonts w:ascii="Calibri" w:hAnsi="Calibri" w:eastAsia="Calibri" w:cs="Calibri"/>
                <w:b/>
                <w:color w:val="1F4D78"/>
                <w:sz w:val="18"/>
              </w:rPr>
              <w:t>Planet</w:t>
            </w:r>
          </w:p>
        </w:tc>
        <w:tc>
          <w:tcPr>
            <w:tcW w:type="dxa" w:w="2160"/>
            <w:shd w:fill="F4F6F9"/>
            <w:tcMar>
              <w:top w:w="80" w:type="dxa"/>
              <w:start w:w="120" w:type="dxa"/>
              <w:bottom w:w="80" w:type="dxa"/>
              <w:end w:w="120" w:type="dxa"/>
            </w:tcMar>
            <w:vAlign w:val="center"/>
          </w:tcPr>
          <w:p>
            <w:r>
              <w:rPr>
                <w:rFonts w:ascii="Calibri" w:hAnsi="Calibri" w:eastAsia="Calibri" w:cs="Calibri"/>
                <w:b/>
                <w:color w:val="1F4D78"/>
                <w:sz w:val="18"/>
              </w:rPr>
              <w:t>Mean distance (AU)</w:t>
            </w:r>
          </w:p>
        </w:tc>
        <w:tc>
          <w:tcPr>
            <w:tcW w:type="dxa" w:w="2088"/>
            <w:shd w:fill="F4F6F9"/>
            <w:tcMar>
              <w:top w:w="80" w:type="dxa"/>
              <w:start w:w="120" w:type="dxa"/>
              <w:bottom w:w="80" w:type="dxa"/>
              <w:end w:w="120" w:type="dxa"/>
            </w:tcMar>
            <w:vAlign w:val="center"/>
          </w:tcPr>
          <w:p>
            <w:r>
              <w:rPr>
                <w:rFonts w:ascii="Calibri" w:hAnsi="Calibri" w:eastAsia="Calibri" w:cs="Calibri"/>
                <w:b/>
                <w:color w:val="1F4D78"/>
                <w:sz w:val="18"/>
              </w:rPr>
              <w:t>Orbital period</w:t>
            </w:r>
          </w:p>
        </w:tc>
        <w:tc>
          <w:tcPr>
            <w:tcW w:type="dxa" w:w="3384"/>
            <w:shd w:fill="F4F6F9"/>
            <w:tcMar>
              <w:top w:w="80" w:type="dxa"/>
              <w:start w:w="120" w:type="dxa"/>
              <w:bottom w:w="80" w:type="dxa"/>
              <w:end w:w="120" w:type="dxa"/>
            </w:tcMar>
            <w:vAlign w:val="center"/>
          </w:tcPr>
          <w:p>
            <w:r>
              <w:rPr>
                <w:rFonts w:ascii="Calibri" w:hAnsi="Calibri" w:eastAsia="Calibri" w:cs="Calibri"/>
                <w:b/>
                <w:color w:val="1F4D78"/>
                <w:sz w:val="18"/>
              </w:rPr>
              <w:t>Broad type</w:t>
            </w:r>
          </w:p>
        </w:tc>
      </w:tr>
      <w:tr>
        <w:tc>
          <w:tcPr>
            <w:tcW w:type="dxa" w:w="1728"/>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Mercury</w:t>
            </w:r>
          </w:p>
        </w:tc>
        <w:tc>
          <w:tcPr>
            <w:tcW w:type="dxa" w:w="2160"/>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0.39</w:t>
            </w:r>
          </w:p>
        </w:tc>
        <w:tc>
          <w:tcPr>
            <w:tcW w:type="dxa" w:w="2088"/>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88 days</w:t>
            </w:r>
          </w:p>
        </w:tc>
        <w:tc>
          <w:tcPr>
            <w:tcW w:type="dxa" w:w="3384"/>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Rocky / terrestrial</w:t>
            </w:r>
          </w:p>
        </w:tc>
      </w:tr>
      <w:tr>
        <w:tc>
          <w:tcPr>
            <w:tcW w:type="dxa" w:w="1728"/>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Venus</w:t>
            </w:r>
          </w:p>
        </w:tc>
        <w:tc>
          <w:tcPr>
            <w:tcW w:type="dxa" w:w="2160"/>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0.72</w:t>
            </w:r>
          </w:p>
        </w:tc>
        <w:tc>
          <w:tcPr>
            <w:tcW w:type="dxa" w:w="2088"/>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225 days</w:t>
            </w:r>
          </w:p>
        </w:tc>
        <w:tc>
          <w:tcPr>
            <w:tcW w:type="dxa" w:w="3384"/>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Rocky / terrestrial</w:t>
            </w:r>
          </w:p>
        </w:tc>
      </w:tr>
      <w:tr>
        <w:tc>
          <w:tcPr>
            <w:tcW w:type="dxa" w:w="1728"/>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Earth</w:t>
            </w:r>
          </w:p>
        </w:tc>
        <w:tc>
          <w:tcPr>
            <w:tcW w:type="dxa" w:w="2160"/>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1.00</w:t>
            </w:r>
          </w:p>
        </w:tc>
        <w:tc>
          <w:tcPr>
            <w:tcW w:type="dxa" w:w="2088"/>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365.26 days</w:t>
            </w:r>
          </w:p>
        </w:tc>
        <w:tc>
          <w:tcPr>
            <w:tcW w:type="dxa" w:w="3384"/>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Rocky / ocean-bearing</w:t>
            </w:r>
          </w:p>
        </w:tc>
      </w:tr>
      <w:tr>
        <w:tc>
          <w:tcPr>
            <w:tcW w:type="dxa" w:w="1728"/>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Mars</w:t>
            </w:r>
          </w:p>
        </w:tc>
        <w:tc>
          <w:tcPr>
            <w:tcW w:type="dxa" w:w="2160"/>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1.52</w:t>
            </w:r>
          </w:p>
        </w:tc>
        <w:tc>
          <w:tcPr>
            <w:tcW w:type="dxa" w:w="2088"/>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687 days</w:t>
            </w:r>
          </w:p>
        </w:tc>
        <w:tc>
          <w:tcPr>
            <w:tcW w:type="dxa" w:w="3384"/>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Rocky / terrestrial</w:t>
            </w:r>
          </w:p>
        </w:tc>
      </w:tr>
      <w:tr>
        <w:tc>
          <w:tcPr>
            <w:tcW w:type="dxa" w:w="1728"/>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Jupiter</w:t>
            </w:r>
          </w:p>
        </w:tc>
        <w:tc>
          <w:tcPr>
            <w:tcW w:type="dxa" w:w="2160"/>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5.20</w:t>
            </w:r>
          </w:p>
        </w:tc>
        <w:tc>
          <w:tcPr>
            <w:tcW w:type="dxa" w:w="2088"/>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11.86 years</w:t>
            </w:r>
          </w:p>
        </w:tc>
        <w:tc>
          <w:tcPr>
            <w:tcW w:type="dxa" w:w="3384"/>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Gas giant</w:t>
            </w:r>
          </w:p>
        </w:tc>
      </w:tr>
      <w:tr>
        <w:tc>
          <w:tcPr>
            <w:tcW w:type="dxa" w:w="1728"/>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Saturn</w:t>
            </w:r>
          </w:p>
        </w:tc>
        <w:tc>
          <w:tcPr>
            <w:tcW w:type="dxa" w:w="2160"/>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9.58</w:t>
            </w:r>
          </w:p>
        </w:tc>
        <w:tc>
          <w:tcPr>
            <w:tcW w:type="dxa" w:w="2088"/>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29.45 years</w:t>
            </w:r>
          </w:p>
        </w:tc>
        <w:tc>
          <w:tcPr>
            <w:tcW w:type="dxa" w:w="3384"/>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Gas giant</w:t>
            </w:r>
          </w:p>
        </w:tc>
      </w:tr>
      <w:tr>
        <w:tc>
          <w:tcPr>
            <w:tcW w:type="dxa" w:w="1728"/>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Uranus</w:t>
            </w:r>
          </w:p>
        </w:tc>
        <w:tc>
          <w:tcPr>
            <w:tcW w:type="dxa" w:w="2160"/>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19.2</w:t>
            </w:r>
          </w:p>
        </w:tc>
        <w:tc>
          <w:tcPr>
            <w:tcW w:type="dxa" w:w="2088"/>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84.0 years</w:t>
            </w:r>
          </w:p>
        </w:tc>
        <w:tc>
          <w:tcPr>
            <w:tcW w:type="dxa" w:w="3384"/>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Ice giant</w:t>
            </w:r>
          </w:p>
        </w:tc>
      </w:tr>
      <w:tr>
        <w:tc>
          <w:tcPr>
            <w:tcW w:type="dxa" w:w="1728"/>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Neptune</w:t>
            </w:r>
          </w:p>
        </w:tc>
        <w:tc>
          <w:tcPr>
            <w:tcW w:type="dxa" w:w="2160"/>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30.1</w:t>
            </w:r>
          </w:p>
        </w:tc>
        <w:tc>
          <w:tcPr>
            <w:tcW w:type="dxa" w:w="2088"/>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164.8 years</w:t>
            </w:r>
          </w:p>
        </w:tc>
        <w:tc>
          <w:tcPr>
            <w:tcW w:type="dxa" w:w="3384"/>
            <w:tcMar>
              <w:top w:w="80" w:type="dxa"/>
              <w:start w:w="120" w:type="dxa"/>
              <w:bottom w:w="80" w:type="dxa"/>
              <w:end w:w="120" w:type="dxa"/>
            </w:tcMar>
            <w:vAlign w:val="top"/>
          </w:tcPr>
          <w:p>
            <w:pPr>
              <w:spacing w:after="0" w:line="269" w:lineRule="auto"/>
            </w:pPr>
            <w:r>
              <w:rPr>
                <w:rFonts w:ascii="Calibri" w:hAnsi="Calibri" w:eastAsia="Calibri" w:cs="Calibri"/>
                <w:color w:val="1E2933"/>
                <w:sz w:val="18"/>
              </w:rPr>
              <w:t>Ice giant</w:t>
            </w:r>
          </w:p>
        </w:tc>
      </w:tr>
    </w:tbl>
    <w:p>
      <w:pPr>
        <w:spacing w:after="20"/>
      </w:pPr>
    </w:p>
    <w:p>
      <w:r>
        <w:rPr>
          <w:i w:val="0"/>
        </w:rPr>
        <w:t>Beyond Mars lies the main asteroid belt, including dwarf planet Ceres. Beyond Neptune, the Kuiper Belt is a disk-like region extending broadly from ~30 to ~50 AU and containing Pluto and other icy bodies. Farther out, the scattered disk grades toward the Sun’s remote gravitational domain. The hypothesized Oort Cloud is a roughly spherical reservoir of cometary bodies, commonly placed from thousands to perhaps 100,000 AU; it has not been directly imaged as a cloud. The solar wind’s heliopause, near ~120 AU along Voyager trajectories but variable and asymmetric, is not the same boundary as the Sun’s gravitational reach. [16,18,19]</w:t>
      </w:r>
    </w:p>
    <w:p>
      <w:pPr>
        <w:pStyle w:val="Heading2"/>
        <w:keepNext/>
      </w:pPr>
      <w:r>
        <w:t>8.2 Gravity, orbits, and the barycenter</w:t>
      </w:r>
    </w:p>
    <w:p>
      <w:r>
        <w:rPr>
          <w:i w:val="0"/>
        </w:rPr>
        <w:t>Planets do not orbit a nailed-down Sun. Every body orbits the system’s changing barycenter, although the Sun’s enormous mass makes heliocentric language an excellent approximation. Kepler’s laws describe elliptical orbits; Newtonian gravity explains them; general relativity supplies corrections crucial for Mercury and precision navigation. The same gravity that compresses the solar core also binds the planetary system—one interaction expressed at radically different scales.</w:t>
      </w:r>
    </w:p>
    <w:p>
      <w:pPr>
        <w:pStyle w:val="Heading2"/>
        <w:keepNext/>
      </w:pPr>
      <w:r>
        <w:t>8.3 Earth’s distance: necessary, not sufficient</w:t>
      </w:r>
    </w:p>
    <w:p>
      <w:r>
        <w:rPr>
          <w:i w:val="0"/>
        </w:rPr>
        <w:t>At 1 AU, Earth lies within the Sun’s circumstellar habitable zone: the range where a rocky planet with a suitable atmosphere could maintain liquid surface water. Current conservative solar estimates are model-dependent and often placed roughly near 0.95–1.67 AU; “optimistic” limits are wider. A habitable zone is a screening concept, not a guarantee. Venus and Mars show why distance alone is inadequate. [20,42]</w:t>
      </w:r>
    </w:p>
    <w:p>
      <w:r>
        <w:rPr>
          <w:i w:val="0"/>
        </w:rPr>
        <w:t>Earth’s absorbed energy depends on luminosity, distance, albedo, clouds, gases, oceans, and geometry. The inverse-square law gives S = L/(4πa²). At 1 AU, S ≈ 1,361 W/m² at the top of the atmosphere. Averaging over the sphere gives S/4; reflecting about 30% and emitting infrared yields an effective radiating temperature near 255 K. Atmospheric greenhouse effects raise the global mean surface temperature to roughly 288 K. Habitability is an interacting climate system, not a privileged mileage marker.</w:t>
      </w:r>
    </w:p>
    <w:p>
      <w:r>
        <w:rPr>
          <w:i w:val="0"/>
        </w:rPr>
        <w:t>Other enabling conditions include long-lived stellar stability; sufficient planetary mass to retain atmosphere and sustain geophysics; liquid water and cycling of carbon; an atmosphere that moderates temperature; a large Moon that contributes tides and stabilizes obliquity over important ranges; giant-planet and small-body dynamics that both deliver and threaten; and billions of years for biological evolution. “Suitable distance” is best understood as a central member of an ensemble.</w:t>
      </w:r>
    </w:p>
    <w:p>
      <w:pPr>
        <w:pStyle w:val="Heading2"/>
        <w:keepNext/>
      </w:pPr>
      <w:r>
        <w:t>8.4 Protection from solar radiation and solar wind</w:t>
      </w:r>
    </w:p>
    <w:tbl>
      <w:tblPr>
        <w:tblW w:type="auto" w:w="0"/>
        <w:jc w:val="center"/>
        <w:tblLayout w:type="fixed"/>
        <w:tblLook w:firstColumn="1" w:firstRow="1" w:lastColumn="0" w:lastRow="0" w:noHBand="0" w:noVBand="1" w:val="04A0"/>
        <w:tblBorders>
          <w:top w:val="single" w:sz="4" w:space="0" w:color="D9E1E8"/>
          <w:left w:val="single" w:sz="4" w:space="0" w:color="D9E1E8"/>
          <w:bottom w:val="single" w:sz="4" w:space="0" w:color="D9E1E8"/>
          <w:right w:val="single" w:sz="4" w:space="0" w:color="D9E1E8"/>
          <w:insideH w:val="single" w:sz="4" w:space="0" w:color="D9E1E8"/>
          <w:insideV w:val="single" w:sz="4" w:space="0" w:color="D9E1E8"/>
        </w:tblBorders>
      </w:tblPr>
      <w:tblGrid>
        <w:gridCol w:w="3120"/>
        <w:gridCol w:w="3120"/>
        <w:gridCol w:w="3120"/>
      </w:tblGrid>
      <w:tr>
        <w:trPr>
          <w:tblHeader w:val="true"/>
        </w:trPr>
        <w:tc>
          <w:tcPr>
            <w:tcW w:type="dxa" w:w="1944"/>
            <w:shd w:fill="F4F6F9"/>
            <w:tcMar>
              <w:top w:w="80" w:type="dxa"/>
              <w:start w:w="120" w:type="dxa"/>
              <w:bottom w:w="80" w:type="dxa"/>
              <w:end w:w="120" w:type="dxa"/>
            </w:tcMar>
            <w:vAlign w:val="center"/>
          </w:tcPr>
          <w:p>
            <w:r>
              <w:rPr>
                <w:rFonts w:ascii="Calibri" w:hAnsi="Calibri" w:eastAsia="Calibri" w:cs="Calibri"/>
                <w:b/>
                <w:color w:val="1F4D78"/>
                <w:sz w:val="16"/>
              </w:rPr>
              <w:t>Layer</w:t>
            </w:r>
          </w:p>
        </w:tc>
        <w:tc>
          <w:tcPr>
            <w:tcW w:type="dxa" w:w="4032"/>
            <w:shd w:fill="F4F6F9"/>
            <w:tcMar>
              <w:top w:w="80" w:type="dxa"/>
              <w:start w:w="120" w:type="dxa"/>
              <w:bottom w:w="80" w:type="dxa"/>
              <w:end w:w="120" w:type="dxa"/>
            </w:tcMar>
            <w:vAlign w:val="center"/>
          </w:tcPr>
          <w:p>
            <w:r>
              <w:rPr>
                <w:rFonts w:ascii="Calibri" w:hAnsi="Calibri" w:eastAsia="Calibri" w:cs="Calibri"/>
                <w:b/>
                <w:color w:val="1F4D78"/>
                <w:sz w:val="16"/>
              </w:rPr>
              <w:t>What it intercepts or moderates</w:t>
            </w:r>
          </w:p>
        </w:tc>
        <w:tc>
          <w:tcPr>
            <w:tcW w:type="dxa" w:w="3384"/>
            <w:shd w:fill="F4F6F9"/>
            <w:tcMar>
              <w:top w:w="80" w:type="dxa"/>
              <w:start w:w="120" w:type="dxa"/>
              <w:bottom w:w="80" w:type="dxa"/>
              <w:end w:w="120" w:type="dxa"/>
            </w:tcMar>
            <w:vAlign w:val="center"/>
          </w:tcPr>
          <w:p>
            <w:r>
              <w:rPr>
                <w:rFonts w:ascii="Calibri" w:hAnsi="Calibri" w:eastAsia="Calibri" w:cs="Calibri"/>
                <w:b/>
                <w:color w:val="1F4D78"/>
                <w:sz w:val="16"/>
              </w:rPr>
              <w:t>Important qualification</w:t>
            </w:r>
          </w:p>
        </w:tc>
      </w:tr>
      <w:tr>
        <w:tc>
          <w:tcPr>
            <w:tcW w:type="dxa" w:w="1944"/>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Heliosphere</w:t>
            </w:r>
          </w:p>
        </w:tc>
        <w:tc>
          <w:tcPr>
            <w:tcW w:type="dxa" w:w="4032"/>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Modulates many galactic cosmic rays and interstellar charged particles.</w:t>
            </w:r>
          </w:p>
        </w:tc>
        <w:tc>
          <w:tcPr>
            <w:tcW w:type="dxa" w:w="3384"/>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It is generated by the solar wind itself; protection from one radiation population comes from the Sun’s outflow.</w:t>
            </w:r>
          </w:p>
        </w:tc>
      </w:tr>
      <w:tr>
        <w:tc>
          <w:tcPr>
            <w:tcW w:type="dxa" w:w="1944"/>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Magnetosphere</w:t>
            </w:r>
          </w:p>
        </w:tc>
        <w:tc>
          <w:tcPr>
            <w:tcW w:type="dxa" w:w="4032"/>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Deflects much solar-wind plasma and cosmic charged particles; limits atmospheric erosion.</w:t>
            </w:r>
          </w:p>
        </w:tc>
        <w:tc>
          <w:tcPr>
            <w:tcW w:type="dxa" w:w="3384"/>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Not an impenetrable wall; magnetic reconnection transfers energy and particles inward.</w:t>
            </w:r>
          </w:p>
        </w:tc>
      </w:tr>
      <w:tr>
        <w:tc>
          <w:tcPr>
            <w:tcW w:type="dxa" w:w="1944"/>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Bow shock / magnetosheath</w:t>
            </w:r>
          </w:p>
        </w:tc>
        <w:tc>
          <w:tcPr>
            <w:tcW w:type="dxa" w:w="4032"/>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Slows, heats, and diverts supersonic solar wind before the magnetopause.</w:t>
            </w:r>
          </w:p>
        </w:tc>
        <w:tc>
          <w:tcPr>
            <w:tcW w:type="dxa" w:w="3384"/>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Shape and effectiveness vary with solar-wind pressure and field orientation.</w:t>
            </w:r>
          </w:p>
        </w:tc>
      </w:tr>
      <w:tr>
        <w:tc>
          <w:tcPr>
            <w:tcW w:type="dxa" w:w="1944"/>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Van Allen belts</w:t>
            </w:r>
          </w:p>
        </w:tc>
        <w:tc>
          <w:tcPr>
            <w:tcW w:type="dxa" w:w="4032"/>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Trap energetic particles within magnetic fields.</w:t>
            </w:r>
          </w:p>
        </w:tc>
        <w:tc>
          <w:tcPr>
            <w:tcW w:type="dxa" w:w="3384"/>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They are part shield, part hazardous reservoir for spacecraft and astronauts.</w:t>
            </w:r>
          </w:p>
        </w:tc>
      </w:tr>
      <w:tr>
        <w:tc>
          <w:tcPr>
            <w:tcW w:type="dxa" w:w="1944"/>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Upper atmosphere / ionosphere</w:t>
            </w:r>
          </w:p>
        </w:tc>
        <w:tc>
          <w:tcPr>
            <w:tcW w:type="dxa" w:w="4032"/>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Absorbs solar X-rays and extreme UV; ionizes and heats.</w:t>
            </w:r>
          </w:p>
        </w:tc>
        <w:tc>
          <w:tcPr>
            <w:tcW w:type="dxa" w:w="3384"/>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Space weather can expand the atmosphere and disturb radio propagation.</w:t>
            </w:r>
          </w:p>
        </w:tc>
      </w:tr>
      <w:tr>
        <w:tc>
          <w:tcPr>
            <w:tcW w:type="dxa" w:w="1944"/>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Stratospheric ozone</w:t>
            </w:r>
          </w:p>
        </w:tc>
        <w:tc>
          <w:tcPr>
            <w:tcW w:type="dxa" w:w="4032"/>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Absorbs essentially all UV-C and much UV-B.</w:t>
            </w:r>
          </w:p>
        </w:tc>
        <w:tc>
          <w:tcPr>
            <w:tcW w:type="dxa" w:w="3384"/>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Ozone does not block all UV; its chemistry is vulnerable to human-made compounds.</w:t>
            </w:r>
          </w:p>
        </w:tc>
      </w:tr>
      <w:tr>
        <w:tc>
          <w:tcPr>
            <w:tcW w:type="dxa" w:w="1944"/>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Lower atmosphere, clouds, surface</w:t>
            </w:r>
          </w:p>
        </w:tc>
        <w:tc>
          <w:tcPr>
            <w:tcW w:type="dxa" w:w="4032"/>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Scatters/absorbs radiation and redistributes heat through climate.</w:t>
            </w:r>
          </w:p>
        </w:tc>
        <w:tc>
          <w:tcPr>
            <w:tcW w:type="dxa" w:w="3384"/>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The greenhouse effect is necessary in measure and dangerous in excess.</w:t>
            </w:r>
          </w:p>
        </w:tc>
      </w:tr>
      <w:tr>
        <w:tc>
          <w:tcPr>
            <w:tcW w:type="dxa" w:w="1944"/>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Technology and forecasting</w:t>
            </w:r>
          </w:p>
        </w:tc>
        <w:tc>
          <w:tcPr>
            <w:tcW w:type="dxa" w:w="4032"/>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Space-weather satellites, grid protocols, shielding, mission planning.</w:t>
            </w:r>
          </w:p>
        </w:tc>
        <w:tc>
          <w:tcPr>
            <w:tcW w:type="dxa" w:w="3384"/>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Human resilience is a secondary, engineered layer—not a substitute for planetary shields.</w:t>
            </w:r>
          </w:p>
        </w:tc>
      </w:tr>
    </w:tbl>
    <w:p>
      <w:pPr>
        <w:spacing w:after="20"/>
      </w:pPr>
    </w:p>
    <w:p>
      <w:r>
        <w:rPr>
          <w:i w:val="0"/>
        </w:rPr>
        <w:t>NOAA describes the dayside magnetosphere as compressed to roughly ten Earth radii and the nightside as stretched hundreds of Earth radii into a magnetotail. Strongly southward interplanetary magnetic fields can reconnect with Earth’s field and drive geomagnetic storms. NASA emphasizes that the atmosphere blocks solar X-rays and gamma rays and some ultraviolet, while ozone absorbs damaging UV. The protective system is therefore nested, dynamic, and imperfect. [21–25]</w:t>
      </w:r>
    </w:p>
    <w:p>
      <w:pPr>
        <w:spacing w:before="80" w:after="200" w:line="288" w:lineRule="auto"/>
        <w:ind w:left="115" w:right="115"/>
        <w:jc w:val="left"/>
        <w:shd w:fill="EAF2F8"/>
        <w:pBdr>
          <w:top w:val="single" w:sz="6" w:space="5" w:color="D8E5F0"/>
          <w:left w:val="single" w:sz="6" w:space="5" w:color="D8E5F0"/>
          <w:bottom w:val="single" w:sz="6" w:space="5" w:color="D8E5F0"/>
          <w:right w:val="single" w:sz="6" w:space="5" w:color="D8E5F0"/>
        </w:pBdr>
      </w:pPr>
      <w:r>
        <w:rPr>
          <w:rFonts w:ascii="Calibri" w:hAnsi="Calibri" w:eastAsia="Calibri" w:cs="Calibri"/>
          <w:b/>
          <w:color w:val="1F4D78"/>
          <w:sz w:val="21"/>
        </w:rPr>
        <w:t>A THEOLOGICAL PARADOX OF PROTECTION</w:t>
      </w:r>
      <w:r>
        <w:br/>
      </w:r>
      <w:r>
        <w:rPr>
          <w:rFonts w:ascii="Calibri" w:hAnsi="Calibri" w:eastAsia="Calibri" w:cs="Calibri"/>
          <w:color w:val="1E2933"/>
          <w:sz w:val="20"/>
        </w:rPr>
        <w:t>The solar wind is both hazard and architect of the heliosphere; the magnetic field both shields and stores radiation; the atmosphere both protects and can overheat. Providence, on a scientifically informed reading, often appears not as elimination of every danger but as a layered order in which life remains possible amid real forces.</w:t>
      </w:r>
    </w:p>
    <w:p>
      <w:pPr>
        <w:pStyle w:val="Heading1"/>
        <w:keepNext/>
      </w:pPr>
      <w:r>
        <w:t>9. Cosmology, star types, and where the Sun falls</w:t>
      </w:r>
    </w:p>
    <w:p>
      <w:pPr>
        <w:pStyle w:val="Heading2"/>
        <w:keepNext/>
      </w:pPr>
      <w:r>
        <w:t>9.1 The Hertzsprung–Russell map</w:t>
      </w:r>
    </w:p>
    <w:p>
      <w:r>
        <w:rPr>
          <w:i w:val="0"/>
        </w:rPr>
        <w:t>Stars are classified observationally by spectrum and luminosity and physically by mass, composition, age, and evolutionary state. The spectral sequence O–B–A–F–G–K–M runs broadly from hot blue to cool red photospheres. Luminosity class V identifies the hydrogen-burning main sequence. The Sun is G2V: hotter than K and M dwarfs, cooler than F, A, B, and O stars, and not a giant despite the informal phrase “yellow dwarf.” [26,34]</w:t>
      </w:r>
    </w:p>
    <w:tbl>
      <w:tblPr>
        <w:tblW w:type="auto" w:w="0"/>
        <w:jc w:val="center"/>
        <w:tblLayout w:type="fixed"/>
        <w:tblLook w:firstColumn="1" w:firstRow="1" w:lastColumn="0" w:lastRow="0" w:noHBand="0" w:noVBand="1" w:val="04A0"/>
        <w:tblBorders>
          <w:top w:val="single" w:sz="4" w:space="0" w:color="D9E1E8"/>
          <w:left w:val="single" w:sz="4" w:space="0" w:color="D9E1E8"/>
          <w:bottom w:val="single" w:sz="4" w:space="0" w:color="D9E1E8"/>
          <w:right w:val="single" w:sz="4" w:space="0" w:color="D9E1E8"/>
          <w:insideH w:val="single" w:sz="4" w:space="0" w:color="D9E1E8"/>
          <w:insideV w:val="single" w:sz="4" w:space="0" w:color="D9E1E8"/>
        </w:tblBorders>
      </w:tblPr>
      <w:tblGrid>
        <w:gridCol w:w="2340"/>
        <w:gridCol w:w="2340"/>
        <w:gridCol w:w="2340"/>
        <w:gridCol w:w="2340"/>
      </w:tblGrid>
      <w:tr>
        <w:trPr>
          <w:tblHeader w:val="true"/>
        </w:trPr>
        <w:tc>
          <w:tcPr>
            <w:tcW w:type="dxa" w:w="792"/>
            <w:shd w:fill="F4F6F9"/>
            <w:tcMar>
              <w:top w:w="80" w:type="dxa"/>
              <w:start w:w="120" w:type="dxa"/>
              <w:bottom w:w="80" w:type="dxa"/>
              <w:end w:w="120" w:type="dxa"/>
            </w:tcMar>
            <w:vAlign w:val="center"/>
          </w:tcPr>
          <w:p>
            <w:r>
              <w:rPr>
                <w:rFonts w:ascii="Calibri" w:hAnsi="Calibri" w:eastAsia="Calibri" w:cs="Calibri"/>
                <w:b/>
                <w:color w:val="1F4D78"/>
                <w:sz w:val="16"/>
              </w:rPr>
              <w:t>Class</w:t>
            </w:r>
          </w:p>
        </w:tc>
        <w:tc>
          <w:tcPr>
            <w:tcW w:type="dxa" w:w="2448"/>
            <w:shd w:fill="F4F6F9"/>
            <w:tcMar>
              <w:top w:w="80" w:type="dxa"/>
              <w:start w:w="120" w:type="dxa"/>
              <w:bottom w:w="80" w:type="dxa"/>
              <w:end w:w="120" w:type="dxa"/>
            </w:tcMar>
            <w:vAlign w:val="center"/>
          </w:tcPr>
          <w:p>
            <w:r>
              <w:rPr>
                <w:rFonts w:ascii="Calibri" w:hAnsi="Calibri" w:eastAsia="Calibri" w:cs="Calibri"/>
                <w:b/>
                <w:color w:val="1F4D78"/>
                <w:sz w:val="16"/>
              </w:rPr>
              <w:t>Approx. surface character</w:t>
            </w:r>
          </w:p>
        </w:tc>
        <w:tc>
          <w:tcPr>
            <w:tcW w:type="dxa" w:w="3528"/>
            <w:shd w:fill="F4F6F9"/>
            <w:tcMar>
              <w:top w:w="80" w:type="dxa"/>
              <w:start w:w="120" w:type="dxa"/>
              <w:bottom w:w="80" w:type="dxa"/>
              <w:end w:w="120" w:type="dxa"/>
            </w:tcMar>
            <w:vAlign w:val="center"/>
          </w:tcPr>
          <w:p>
            <w:r>
              <w:rPr>
                <w:rFonts w:ascii="Calibri" w:hAnsi="Calibri" w:eastAsia="Calibri" w:cs="Calibri"/>
                <w:b/>
                <w:color w:val="1F4D78"/>
                <w:sz w:val="16"/>
              </w:rPr>
              <w:t>Typical behavior</w:t>
            </w:r>
          </w:p>
        </w:tc>
        <w:tc>
          <w:tcPr>
            <w:tcW w:type="dxa" w:w="2592"/>
            <w:shd w:fill="F4F6F9"/>
            <w:tcMar>
              <w:top w:w="80" w:type="dxa"/>
              <w:start w:w="120" w:type="dxa"/>
              <w:bottom w:w="80" w:type="dxa"/>
              <w:end w:w="120" w:type="dxa"/>
            </w:tcMar>
            <w:vAlign w:val="center"/>
          </w:tcPr>
          <w:p>
            <w:r>
              <w:rPr>
                <w:rFonts w:ascii="Calibri" w:hAnsi="Calibri" w:eastAsia="Calibri" w:cs="Calibri"/>
                <w:b/>
                <w:color w:val="1F4D78"/>
                <w:sz w:val="16"/>
              </w:rPr>
              <w:t>Sun’s relation</w:t>
            </w:r>
          </w:p>
        </w:tc>
      </w:tr>
      <w:tr>
        <w:tc>
          <w:tcPr>
            <w:tcW w:type="dxa" w:w="792"/>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O</w:t>
            </w:r>
          </w:p>
        </w:tc>
        <w:tc>
          <w:tcPr>
            <w:tcW w:type="dxa" w:w="2448"/>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&gt;30,000 K; blue; very massive</w:t>
            </w:r>
          </w:p>
        </w:tc>
        <w:tc>
          <w:tcPr>
            <w:tcW w:type="dxa" w:w="3528"/>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Extremely luminous, rare, short-lived; ends in core collapse.</w:t>
            </w:r>
          </w:p>
        </w:tc>
        <w:tc>
          <w:tcPr>
            <w:tcW w:type="dxa" w:w="2592"/>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Far hotter and more massive.</w:t>
            </w:r>
          </w:p>
        </w:tc>
      </w:tr>
      <w:tr>
        <w:tc>
          <w:tcPr>
            <w:tcW w:type="dxa" w:w="792"/>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B</w:t>
            </w:r>
          </w:p>
        </w:tc>
        <w:tc>
          <w:tcPr>
            <w:tcW w:type="dxa" w:w="2448"/>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~10,000–30,000 K; blue-white</w:t>
            </w:r>
          </w:p>
        </w:tc>
        <w:tc>
          <w:tcPr>
            <w:tcW w:type="dxa" w:w="3528"/>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Massive and short-lived; strong UV.</w:t>
            </w:r>
          </w:p>
        </w:tc>
        <w:tc>
          <w:tcPr>
            <w:tcW w:type="dxa" w:w="2592"/>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Hotter/more massive.</w:t>
            </w:r>
          </w:p>
        </w:tc>
      </w:tr>
      <w:tr>
        <w:tc>
          <w:tcPr>
            <w:tcW w:type="dxa" w:w="792"/>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A</w:t>
            </w:r>
          </w:p>
        </w:tc>
        <w:tc>
          <w:tcPr>
            <w:tcW w:type="dxa" w:w="2448"/>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~7,500–10,000 K; white</w:t>
            </w:r>
          </w:p>
        </w:tc>
        <w:tc>
          <w:tcPr>
            <w:tcW w:type="dxa" w:w="3528"/>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Strong hydrogen absorption; shorter lived than Sun.</w:t>
            </w:r>
          </w:p>
        </w:tc>
        <w:tc>
          <w:tcPr>
            <w:tcW w:type="dxa" w:w="2592"/>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Hotter.</w:t>
            </w:r>
          </w:p>
        </w:tc>
      </w:tr>
      <w:tr>
        <w:tc>
          <w:tcPr>
            <w:tcW w:type="dxa" w:w="792"/>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F</w:t>
            </w:r>
          </w:p>
        </w:tc>
        <w:tc>
          <w:tcPr>
            <w:tcW w:type="dxa" w:w="2448"/>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~6,000–7,500 K; yellow-white</w:t>
            </w:r>
          </w:p>
        </w:tc>
        <w:tc>
          <w:tcPr>
            <w:tcW w:type="dxa" w:w="3528"/>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Brighter, shorter main-sequence lifetime.</w:t>
            </w:r>
          </w:p>
        </w:tc>
        <w:tc>
          <w:tcPr>
            <w:tcW w:type="dxa" w:w="2592"/>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Slightly hotter.</w:t>
            </w:r>
          </w:p>
        </w:tc>
      </w:tr>
      <w:tr>
        <w:tc>
          <w:tcPr>
            <w:tcW w:type="dxa" w:w="792"/>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G</w:t>
            </w:r>
          </w:p>
        </w:tc>
        <w:tc>
          <w:tcPr>
            <w:tcW w:type="dxa" w:w="2448"/>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~5,200–6,000 K; yellow-white</w:t>
            </w:r>
          </w:p>
        </w:tc>
        <w:tc>
          <w:tcPr>
            <w:tcW w:type="dxa" w:w="3528"/>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Moderate mass and multi-billion-year lifetime.</w:t>
            </w:r>
          </w:p>
        </w:tc>
        <w:tc>
          <w:tcPr>
            <w:tcW w:type="dxa" w:w="2592"/>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Sun is G2V (~5,772 K effective temperature).</w:t>
            </w:r>
          </w:p>
        </w:tc>
      </w:tr>
      <w:tr>
        <w:tc>
          <w:tcPr>
            <w:tcW w:type="dxa" w:w="792"/>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K</w:t>
            </w:r>
          </w:p>
        </w:tc>
        <w:tc>
          <w:tcPr>
            <w:tcW w:type="dxa" w:w="2448"/>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~3,700–5,200 K; orange</w:t>
            </w:r>
          </w:p>
        </w:tc>
        <w:tc>
          <w:tcPr>
            <w:tcW w:type="dxa" w:w="3528"/>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Long-lived; often discussed as favorable astrobiological hosts.</w:t>
            </w:r>
          </w:p>
        </w:tc>
        <w:tc>
          <w:tcPr>
            <w:tcW w:type="dxa" w:w="2592"/>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Cooler, lower mass.</w:t>
            </w:r>
          </w:p>
        </w:tc>
      </w:tr>
      <w:tr>
        <w:tc>
          <w:tcPr>
            <w:tcW w:type="dxa" w:w="792"/>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M</w:t>
            </w:r>
          </w:p>
        </w:tc>
        <w:tc>
          <w:tcPr>
            <w:tcW w:type="dxa" w:w="2448"/>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&lt;~3,700 K; red</w:t>
            </w:r>
          </w:p>
        </w:tc>
        <w:tc>
          <w:tcPr>
            <w:tcW w:type="dxa" w:w="3528"/>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Most numerous; very long-lived; close-in habitable zones and flare concerns.</w:t>
            </w:r>
          </w:p>
        </w:tc>
        <w:tc>
          <w:tcPr>
            <w:tcW w:type="dxa" w:w="2592"/>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Much cooler and lower mass.</w:t>
            </w:r>
          </w:p>
        </w:tc>
      </w:tr>
    </w:tbl>
    <w:p>
      <w:pPr>
        <w:spacing w:after="20"/>
      </w:pPr>
    </w:p>
    <w:p>
      <w:pPr>
        <w:pStyle w:val="Heading2"/>
        <w:keepNext/>
      </w:pPr>
      <w:r>
        <w:t>9.2 Evolutionary categories</w:t>
      </w:r>
    </w:p>
    <w:p>
      <w:r>
        <w:rPr>
          <w:i w:val="0"/>
        </w:rPr>
        <w:t>“Type” can mean different things. A protostar is a contracting pre-fusion object. A main-sequence star fuses hydrogen in its core. A subgiant and red giant have exhausted core hydrogen and expanded; a supergiant is a high-mass evolutionary state, not simply a larger red giant. White dwarfs, neutron stars, and stellar black holes are remnants, not ordinary fuel-burning stars. Brown dwarfs never sustain ordinary core hydrogen fusion and are substellar. Variable stars, binaries, pulsars, and magnetars classify behavior or configuration rather than a single temperature sequence.</w:t>
      </w:r>
    </w:p>
    <w:p>
      <w:r>
        <w:rPr>
          <w:i w:val="0"/>
        </w:rPr>
        <w:t>Mass largely determines destiny. Very low-mass red dwarfs can persist for trillions of years. Sun-like and intermediate-mass stars expand, shed envelopes, and leave white dwarfs. Massive stars build successively heavier cores, undergo core-collapse supernovae, and leave neutron stars or black holes. The Sun is too low in mass to explode as a core-collapse supernova and will not become a neutron star or black hole. [26]</w:t>
      </w:r>
    </w:p>
    <w:p>
      <w:pPr>
        <w:pStyle w:val="Heading2"/>
        <w:keepNext/>
      </w:pPr>
      <w:r>
        <w:t>9.3 Is the Sun ordinary or special?</w:t>
      </w:r>
    </w:p>
    <w:p>
      <w:r>
        <w:rPr>
          <w:i w:val="0"/>
        </w:rPr>
        <w:t>Both descriptions can be true at different comparison classes. The Sun is one of an enormous population of main-sequence stars and is not exceptional in cosmic law. Yet most Milky Way stars are cooler, lower-mass M dwarfs; the Sun is more massive and luminous than the median star. Its relative magnetic quietness, single-star status, long stable lifetime, composition, and planetary architecture are relevant to habitability, but the exoplanet census warns against declaring every solar property uniquely optimal. Selection effects also matter: observers necessarily find themselves in an environment compatible with observers.</w:t>
      </w:r>
    </w:p>
    <w:p>
      <w:r>
        <w:rPr>
          <w:i w:val="0"/>
        </w:rPr>
        <w:t>Theologically, significance need not require physical rarity. A letter in an alphabet is ordinary as ink and unique in a sentence. The Qur’anic oath can treat the Sun as a sign because of its role, intelligibility, and relation to life—not because astronomy must prove it statistically unmatched.</w:t>
      </w:r>
    </w:p>
    <w:p>
      <w:pPr>
        <w:pStyle w:val="Heading1"/>
        <w:keepNext/>
      </w:pPr>
      <w:r>
        <w:t>10. The Sun’s future and the fate of Earth</w:t>
      </w:r>
    </w:p>
    <w:p>
      <w:pPr>
        <w:pStyle w:val="Heading2"/>
        <w:keepNext/>
      </w:pPr>
      <w:r>
        <w:t>10.1 The slow brightening before the giant phase</w:t>
      </w:r>
    </w:p>
    <w:p>
      <w:r>
        <w:rPr>
          <w:i w:val="0"/>
        </w:rPr>
        <w:t>As hydrogen becomes helium in the core, the mean molecular weight rises; the core contracts and heats; luminosity gradually increases. Standard models indicate the zero-age Sun was roughly 30% fainter than today, creating the “faint young Sun” problem because geological evidence still records ancient liquid water. Greenhouse gases, clouds, rotation, and atmospheric evolution form the leading solution space. [29]</w:t>
      </w:r>
    </w:p>
    <w:p>
      <w:r>
        <w:rPr>
          <w:i w:val="0"/>
        </w:rPr>
        <w:t>Future brightening threatens habitability long before the red giant. Climate models differ, but surface habitability and the vegetative biosphere are generally limited to roughly another one to two billion years under natural evolution, as water loss, greenhouse thresholds, and declining CO₂ for photosynthesis become important. A 2026 modeling study suggests some vegetation might persist toward ~1.8 billion years under favorable assumptions; uncertainty is substantial. [30, 44]</w:t>
      </w:r>
    </w:p>
    <w:p>
      <w:pPr>
        <w:pStyle w:val="Heading2"/>
        <w:keepNext/>
      </w:pPr>
      <w:r>
        <w:t>10.2 Stellar death sequence</w:t>
      </w:r>
    </w:p>
    <w:tbl>
      <w:tblPr>
        <w:tblW w:type="auto" w:w="0"/>
        <w:jc w:val="center"/>
        <w:tblLayout w:type="fixed"/>
        <w:tblLook w:firstColumn="1" w:firstRow="1" w:lastColumn="0" w:lastRow="0" w:noHBand="0" w:noVBand="1" w:val="04A0"/>
        <w:tblBorders>
          <w:top w:val="single" w:sz="4" w:space="0" w:color="D9E1E8"/>
          <w:left w:val="single" w:sz="4" w:space="0" w:color="D9E1E8"/>
          <w:bottom w:val="single" w:sz="4" w:space="0" w:color="D9E1E8"/>
          <w:right w:val="single" w:sz="4" w:space="0" w:color="D9E1E8"/>
          <w:insideH w:val="single" w:sz="4" w:space="0" w:color="D9E1E8"/>
          <w:insideV w:val="single" w:sz="4" w:space="0" w:color="D9E1E8"/>
        </w:tblBorders>
      </w:tblPr>
      <w:tblGrid>
        <w:gridCol w:w="3120"/>
        <w:gridCol w:w="3120"/>
        <w:gridCol w:w="3120"/>
      </w:tblGrid>
      <w:tr>
        <w:trPr>
          <w:tblHeader w:val="true"/>
        </w:trPr>
        <w:tc>
          <w:tcPr>
            <w:tcW w:type="dxa" w:w="2016"/>
            <w:shd w:fill="F4F6F9"/>
            <w:tcMar>
              <w:top w:w="80" w:type="dxa"/>
              <w:start w:w="120" w:type="dxa"/>
              <w:bottom w:w="80" w:type="dxa"/>
              <w:end w:w="120" w:type="dxa"/>
            </w:tcMar>
            <w:vAlign w:val="center"/>
          </w:tcPr>
          <w:p>
            <w:r>
              <w:rPr>
                <w:rFonts w:ascii="Calibri" w:hAnsi="Calibri" w:eastAsia="Calibri" w:cs="Calibri"/>
                <w:b/>
                <w:color w:val="1F4D78"/>
                <w:sz w:val="16"/>
              </w:rPr>
              <w:t>Approximate future</w:t>
            </w:r>
          </w:p>
        </w:tc>
        <w:tc>
          <w:tcPr>
            <w:tcW w:type="dxa" w:w="3240"/>
            <w:shd w:fill="F4F6F9"/>
            <w:tcMar>
              <w:top w:w="80" w:type="dxa"/>
              <w:start w:w="120" w:type="dxa"/>
              <w:bottom w:w="80" w:type="dxa"/>
              <w:end w:w="120" w:type="dxa"/>
            </w:tcMar>
            <w:vAlign w:val="center"/>
          </w:tcPr>
          <w:p>
            <w:r>
              <w:rPr>
                <w:rFonts w:ascii="Calibri" w:hAnsi="Calibri" w:eastAsia="Calibri" w:cs="Calibri"/>
                <w:b/>
                <w:color w:val="1F4D78"/>
                <w:sz w:val="16"/>
              </w:rPr>
              <w:t>Solar state</w:t>
            </w:r>
          </w:p>
        </w:tc>
        <w:tc>
          <w:tcPr>
            <w:tcW w:type="dxa" w:w="4104"/>
            <w:shd w:fill="F4F6F9"/>
            <w:tcMar>
              <w:top w:w="80" w:type="dxa"/>
              <w:start w:w="120" w:type="dxa"/>
              <w:bottom w:w="80" w:type="dxa"/>
              <w:end w:w="120" w:type="dxa"/>
            </w:tcMar>
            <w:vAlign w:val="center"/>
          </w:tcPr>
          <w:p>
            <w:r>
              <w:rPr>
                <w:rFonts w:ascii="Calibri" w:hAnsi="Calibri" w:eastAsia="Calibri" w:cs="Calibri"/>
                <w:b/>
                <w:color w:val="1F4D78"/>
                <w:sz w:val="16"/>
              </w:rPr>
              <w:t>Consequences</w:t>
            </w:r>
          </w:p>
        </w:tc>
      </w:tr>
      <w:tr>
        <w:tc>
          <w:tcPr>
            <w:tcW w:type="dxa" w:w="2016"/>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Now to ~1–2 billion years</w:t>
            </w:r>
          </w:p>
        </w:tc>
        <w:tc>
          <w:tcPr>
            <w:tcW w:type="dxa" w:w="3240"/>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Main sequence, slowly brighter</w:t>
            </w:r>
          </w:p>
        </w:tc>
        <w:tc>
          <w:tcPr>
            <w:tcW w:type="dxa" w:w="4104"/>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Increasing climatic stress; natural long-term surface habitability ends before stellar death.</w:t>
            </w:r>
          </w:p>
        </w:tc>
      </w:tr>
      <w:tr>
        <w:tc>
          <w:tcPr>
            <w:tcW w:type="dxa" w:w="2016"/>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~5–6 billion years</w:t>
            </w:r>
          </w:p>
        </w:tc>
        <w:tc>
          <w:tcPr>
            <w:tcW w:type="dxa" w:w="3240"/>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Core hydrogen exhaustion; subgiant/red-giant transition</w:t>
            </w:r>
          </w:p>
        </w:tc>
        <w:tc>
          <w:tcPr>
            <w:tcW w:type="dxa" w:w="4104"/>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Core contracts; hydrogen shell burns; outer envelope expands enormously.</w:t>
            </w:r>
          </w:p>
        </w:tc>
      </w:tr>
      <w:tr>
        <w:tc>
          <w:tcPr>
            <w:tcW w:type="dxa" w:w="2016"/>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Giant phases</w:t>
            </w:r>
          </w:p>
        </w:tc>
        <w:tc>
          <w:tcPr>
            <w:tcW w:type="dxa" w:w="3240"/>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Red-giant branch; helium ignition; later asymptotic giant branch</w:t>
            </w:r>
          </w:p>
        </w:tc>
        <w:tc>
          <w:tcPr>
            <w:tcW w:type="dxa" w:w="4104"/>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Helium fuses mainly to carbon/oxygen; strong mass loss; Mercury and Venus are engulfed.</w:t>
            </w:r>
          </w:p>
        </w:tc>
      </w:tr>
      <w:tr>
        <w:tc>
          <w:tcPr>
            <w:tcW w:type="dxa" w:w="2016"/>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Earth’s orbital fate</w:t>
            </w:r>
          </w:p>
        </w:tc>
        <w:tc>
          <w:tcPr>
            <w:tcW w:type="dxa" w:w="3240"/>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Competition between solar expansion, tides, and mass-loss-driven orbital widening</w:t>
            </w:r>
          </w:p>
        </w:tc>
        <w:tc>
          <w:tcPr>
            <w:tcW w:type="dxa" w:w="4104"/>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Older models predict engulfment; newer 2026 modeling finds survival possible. Either way Earth is sterilized and physically transformed.</w:t>
            </w:r>
          </w:p>
        </w:tc>
      </w:tr>
      <w:tr>
        <w:tc>
          <w:tcPr>
            <w:tcW w:type="dxa" w:w="2016"/>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Planetary-nebula phase</w:t>
            </w:r>
          </w:p>
        </w:tc>
        <w:tc>
          <w:tcPr>
            <w:tcW w:type="dxa" w:w="3240"/>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Outer envelope expelled and ionized</w:t>
            </w:r>
          </w:p>
        </w:tc>
        <w:tc>
          <w:tcPr>
            <w:tcW w:type="dxa" w:w="4104"/>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The Sun returns processed material to interstellar space; “planetary nebula” is a historical misnomer.</w:t>
            </w:r>
          </w:p>
        </w:tc>
      </w:tr>
      <w:tr>
        <w:tc>
          <w:tcPr>
            <w:tcW w:type="dxa" w:w="2016"/>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White dwarf</w:t>
            </w:r>
          </w:p>
        </w:tc>
        <w:tc>
          <w:tcPr>
            <w:tcW w:type="dxa" w:w="3240"/>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Hot carbon–oxygen remnant supported by electron degeneracy</w:t>
            </w:r>
          </w:p>
        </w:tc>
        <w:tc>
          <w:tcPr>
            <w:tcW w:type="dxa" w:w="4104"/>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No fusion; roughly Earth-sized; cools over immense time.</w:t>
            </w:r>
          </w:p>
        </w:tc>
      </w:tr>
      <w:tr>
        <w:tc>
          <w:tcPr>
            <w:tcW w:type="dxa" w:w="2016"/>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Far future</w:t>
            </w:r>
          </w:p>
        </w:tc>
        <w:tc>
          <w:tcPr>
            <w:tcW w:type="dxa" w:w="3240"/>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Black-dwarf limit</w:t>
            </w:r>
          </w:p>
        </w:tc>
        <w:tc>
          <w:tcPr>
            <w:tcW w:type="dxa" w:w="4104"/>
            <w:tcMar>
              <w:top w:w="80" w:type="dxa"/>
              <w:start w:w="120" w:type="dxa"/>
              <w:bottom w:w="80" w:type="dxa"/>
              <w:end w:w="120" w:type="dxa"/>
            </w:tcMar>
            <w:vAlign w:val="top"/>
          </w:tcPr>
          <w:p>
            <w:pPr>
              <w:spacing w:after="0" w:line="269" w:lineRule="auto"/>
            </w:pPr>
            <w:r>
              <w:rPr>
                <w:rFonts w:ascii="Calibri" w:hAnsi="Calibri" w:eastAsia="Calibri" w:cs="Calibri"/>
                <w:color w:val="1E2933"/>
                <w:sz w:val="16"/>
              </w:rPr>
              <w:t>A hypothetical cooled remnant; the universe is not old enough for any black dwarf yet.</w:t>
            </w:r>
          </w:p>
        </w:tc>
      </w:tr>
    </w:tbl>
    <w:p>
      <w:pPr>
        <w:spacing w:after="20"/>
      </w:pPr>
    </w:p>
    <w:p>
      <w:pPr>
        <w:pStyle w:val="Heading2"/>
        <w:keepNext/>
      </w:pPr>
      <w:r>
        <w:t>10.3 Will the red giant engulf Earth?</w:t>
      </w:r>
    </w:p>
    <w:p>
      <w:r>
        <w:rPr>
          <w:i w:val="0"/>
        </w:rPr>
        <w:t>The honest 2026 answer is: models disagree. A widely cited 2008 MNRAS calculation, including tides and mass loss, predicted engulfment near the tip of the red-giant branch about 7.6 billion years from now. A 2026 study using updated tidal prescriptions found Earth may survive both red-giant and asymptotic-giant phases, with the outcome sensitive to poorly constrained mass-loss and tidal models. NASA’s public summary therefore remains appropriately cautious: Mercury and Venus will be engulfed, and Earth possibly. [10,31,32]</w:t>
      </w:r>
    </w:p>
    <w:p>
      <w:r>
        <w:rPr>
          <w:i w:val="0"/>
        </w:rPr>
        <w:t>This uncertainty does not change the existential result. Long before physical engulfment, oceans and biosphere are lost. If the rocky remnant survives by moving outward as the Sun sheds mass, survival is orbital, not biological. The Qur’anic oath by the Sun is thus an oath by a mighty but created and finite sign.</w:t>
      </w:r>
    </w:p>
    <w:p>
      <w:pPr>
        <w:pStyle w:val="Heading2"/>
        <w:keepNext/>
      </w:pPr>
      <w:r>
        <w:t>10.4 Cosmological far future</w:t>
      </w:r>
    </w:p>
    <w:p>
      <w:r>
        <w:rPr>
          <w:i w:val="0"/>
        </w:rPr>
        <w:t>The white dwarf will cool for times far exceeding the present age of the universe. Its surviving planets and debris will orbit in a dynamically altered system. Over still longer intervals, stellar encounters and galactic evolution can disrupt distant reservoirs. At cosmological scale, star formation declines as usable gas is exhausted, while the universe’s expansion—currently accelerating—separates unbound structures. The Sun’s death is therefore neither the end of the cosmos nor a negligible event: it is one instance of the stellar cycle through which matter is organized, illuminated, dispersed, and reused.</w:t>
      </w:r>
    </w:p>
    <w:p>
      <w:pPr>
        <w:pStyle w:val="Heading1"/>
        <w:keepNext/>
      </w:pPr>
      <w:r>
        <w:t>11. Philosophical and theological synthesis</w:t>
      </w:r>
    </w:p>
    <w:p>
      <w:pPr>
        <w:pStyle w:val="Heading2"/>
        <w:keepNext/>
      </w:pPr>
      <w:r>
        <w:t>11.1 From visible sign to causal depth</w:t>
      </w:r>
    </w:p>
    <w:p>
      <w:r>
        <w:rPr>
          <w:i w:val="0"/>
        </w:rPr>
        <w:t>For the seventh-century observer, the Sun’s causal depth was mostly hidden: it visibly illuminated, heated, marked time, and supported life. For the modern observer, causal layers multiply—gravity, quantum tunneling, weak interactions, plasma opacity, convection, magnetic reconnection, orbital dynamics, atmospheric chemistry, and biological photoreception. The oath’s weight grows because the witness is understood across more explanatory levels.</w:t>
      </w:r>
    </w:p>
    <w:p>
      <w:r>
        <w:rPr>
          <w:i w:val="0"/>
        </w:rPr>
        <w:t>Yet explanatory depth does not automatically yield theology. Fusion equations do not contain the word “God,” and a magnetometer does not measure providence. The theological inference arises when a worldview interprets contingency, intelligibility, lawfulness, value, and the relation between physical order and moral address. Scientific and theological questions overlap in subject matter but differ in method and scope.</w:t>
      </w:r>
    </w:p>
    <w:p>
      <w:pPr>
        <w:pStyle w:val="Heading2"/>
        <w:keepNext/>
      </w:pPr>
      <w:r>
        <w:t>11.2 Contingency, intelligibility, and fine-tuning</w:t>
      </w:r>
    </w:p>
    <w:p>
      <w:r>
        <w:rPr>
          <w:i w:val="0"/>
        </w:rPr>
        <w:t>A life-permitting Sun–Earth system depends on multiple parameters: stellar mass and metallicity; nuclear reaction rates; electromagnetic and gravitational strengths; orbital distance and eccentricity; planetary mass, albedo, atmosphere, water, and carbon cycling; magnetic and atmospheric shielding; and time. This ensemble can reasonably evoke a design argument or an inference to providence. It cannot be reduced to “Earth is exactly the right number of kilometers away.”</w:t>
      </w:r>
    </w:p>
    <w:p>
      <w:r>
        <w:rPr>
          <w:i w:val="0"/>
        </w:rPr>
        <w:t>Philosophically, three responses remain live. A theist may read the ensemble as purposive selection; a multiverse theorist may combine observer selection with a distribution of physical constants; a naturalist may treat the facts as brute or eventually derivable from deeper law. Current physics does not experimentally adjudicate every metaphysical option. The Qur’anic oath operates as invitation and testimony within a theistic discourse, not as a Bayesian calculation pretending philosophical premises are unnecessary.</w:t>
      </w:r>
    </w:p>
    <w:p>
      <w:pPr>
        <w:pStyle w:val="Heading2"/>
        <w:keepNext/>
      </w:pPr>
      <w:r>
        <w:t>11.3 Occasionalism as one reading of the oath</w:t>
      </w:r>
    </w:p>
    <w:p>
      <w:r>
        <w:rPr>
          <w:i w:val="0"/>
        </w:rPr>
        <w:t>Shah’s later corpus joins Qur’anic oaths to al-Ghazālī’s occasionalism: created things do not possess absolutely independent causal power; regularities are the dependable order of divine action. On that reading, God’s oath by sunlight is ultimately an oath by a continuously sustained act. The Sun is the occasion through which light appears, not a self-sufficient rival to the Creator. [9]</w:t>
      </w:r>
    </w:p>
    <w:p>
      <w:r>
        <w:rPr>
          <w:i w:val="0"/>
        </w:rPr>
        <w:t>This is a metaphysical interpretation, not a result proved by quantum mechanics or solar physics. Physics models stable relations among measurable quantities; occasionalism relocates ultimate efficient causation. It is compatible with rigorous science if it preserves the reliability of regularities and refuses to use God as a patch for temporary gaps. It becomes scientifically illegitimate only when it is presented as an experimentally established alternative equation.</w:t>
      </w:r>
    </w:p>
    <w:p>
      <w:pPr>
        <w:pStyle w:val="Heading2"/>
        <w:keepNext/>
      </w:pPr>
      <w:r>
        <w:t>11.4 The moral Sun</w:t>
      </w:r>
    </w:p>
    <w:p>
      <w:r>
        <w:rPr>
          <w:i w:val="0"/>
        </w:rPr>
        <w:t>The oath sequence of Sūrat al-Shams prevents the report from ending in astrophysical spectacle. After Sun, Moon, day, night, sky, Earth, and soul comes the verdict about purification. Scientific knowledge can make the witness grander; it cannot perform tazkiyah on the reader. Awe can become vanity, domination, or gratitude. The Qur’an turns cosmology into moral address by asking what sort of person stands beneath this order.</w:t>
      </w:r>
    </w:p>
    <w:p>
      <w:r>
        <w:rPr>
          <w:i w:val="0"/>
        </w:rPr>
        <w:t>Dawn likewise becomes ethical. It exposes, renews, and marks another finite opportunity. The recurring day is mercy, but al-ʿaṣr warns that recurrence at cosmic scale does not mean recurrence of an individual life. Every sunrise is ancient in mechanism and unrepeatable in biography.</w:t>
      </w:r>
    </w:p>
    <w:p>
      <w:pPr>
        <w:pStyle w:val="Heading2"/>
        <w:keepNext/>
      </w:pPr>
      <w:r>
        <w:t>11.5 A theology of created finitude</w:t>
      </w:r>
    </w:p>
    <w:p>
      <w:r>
        <w:rPr>
          <w:i w:val="0"/>
        </w:rPr>
        <w:t>Solar mortality is theologically clarifying. The Sun is powerful enough to sustain almost every surface ecosystem and to destroy planetary habitability; ancient societies understandably worshiped it. Modern astronomy simultaneously increases its grandeur and provincializes it. It is one middle-aged star, born from prior matter, governed by universal physics, and destined to fade. Q 41:37’s refusal of solar worship becomes more, not less, intelligible: the sign is magnificent precisely as creation.</w:t>
      </w:r>
    </w:p>
    <w:p>
      <w:pPr>
        <w:pStyle w:val="Heading1"/>
        <w:keepNext/>
      </w:pPr>
      <w:r>
        <w:t>12. Zia H. Shah MD’s Qur’anic-oath project</w:t>
      </w:r>
    </w:p>
    <w:p>
      <w:pPr>
        <w:pStyle w:val="Heading2"/>
        <w:keepNext/>
      </w:pPr>
      <w:r>
        <w:t>12.1 Complete-category synthesis</w:t>
      </w:r>
    </w:p>
    <w:p>
      <w:r>
        <w:rPr>
          <w:i w:val="0"/>
        </w:rPr>
        <w:t>The requested category contained twenty-three posts at the research cut-off. Read together, they form a coherent public-theology project rather than a set of isolated curiosities. The bylines distinguish pieces written or collected by Shah from pieces presented for him with named AI assistance; this report therefore treats the category as the requested Shah-curated corpus, not as homogeneous sole authorship. [3]</w:t>
      </w:r>
    </w:p>
    <w:p>
      <w:pPr>
        <w:pStyle w:val="ListBullet"/>
        <w:spacing w:after="80" w:line="290" w:lineRule="auto"/>
        <w:ind w:left="540" w:hanging="279"/>
      </w:pPr>
      <w:r>
        <w:t>Oaths are a summons to attention: the Qur’an interrupts perceptual numbness and asks the hearer to notice the ordinary again.</w:t>
      </w:r>
    </w:p>
    <w:p>
      <w:pPr>
        <w:pStyle w:val="ListBullet"/>
        <w:spacing w:after="80" w:line="290" w:lineRule="auto"/>
        <w:ind w:left="540" w:hanging="279"/>
      </w:pPr>
      <w:r>
        <w:t>The sworn object and the affirmed claim are intimately related; nature functions as evidence, analogy, or witness rather than decoration.</w:t>
      </w:r>
    </w:p>
    <w:p>
      <w:pPr>
        <w:pStyle w:val="ListBullet"/>
        <w:spacing w:after="80" w:line="290" w:lineRule="auto"/>
        <w:ind w:left="540" w:hanging="279"/>
      </w:pPr>
      <w:r>
        <w:t>The dominant doctrinal destinations are tawḥīd, revelation/prophethood, resurrection/judgment, and moral accountability.</w:t>
      </w:r>
    </w:p>
    <w:p>
      <w:pPr>
        <w:pStyle w:val="ListBullet"/>
        <w:spacing w:after="80" w:line="290" w:lineRule="auto"/>
        <w:ind w:left="540" w:hanging="279"/>
      </w:pPr>
      <w:r>
        <w:t>Created phenomena are honored as signs but blocked from becoming idols; divine oath and human oath operate asymmetrically.</w:t>
      </w:r>
    </w:p>
    <w:p>
      <w:pPr>
        <w:pStyle w:val="ListBullet"/>
        <w:spacing w:after="80" w:line="290" w:lineRule="auto"/>
        <w:ind w:left="540" w:hanging="279"/>
      </w:pPr>
      <w:r>
        <w:t>The seen is used to reason toward the unseen: reliable cycles, winds, stars, dawns, and histories educate trust in divine promise.</w:t>
      </w:r>
    </w:p>
    <w:p>
      <w:pPr>
        <w:pStyle w:val="ListBullet"/>
        <w:spacing w:after="80" w:line="290" w:lineRule="auto"/>
        <w:ind w:left="540" w:hanging="279"/>
      </w:pPr>
      <w:r>
        <w:t>Scientific discovery can deepen the “book of nature” while scripture remains a book of guidance, not a technical manual.</w:t>
      </w:r>
    </w:p>
    <w:p>
      <w:pPr>
        <w:pStyle w:val="ListBullet"/>
        <w:spacing w:after="80" w:line="290" w:lineRule="auto"/>
        <w:ind w:left="540" w:hanging="279"/>
      </w:pPr>
      <w:r>
        <w:t>Later essays fuse oath commentary with occasionalism, reading natural regularity as a theater of continuous divine volition.</w:t>
      </w:r>
    </w:p>
    <w:p>
      <w:pPr>
        <w:pStyle w:val="ListBullet"/>
        <w:spacing w:after="80" w:line="290" w:lineRule="auto"/>
        <w:ind w:left="540" w:hanging="279"/>
      </w:pPr>
      <w:r>
        <w:t>The category repeatedly values multidisciplinary commentary—linguistic, historical, scientific, philosophical, and theological—while its best pieces mark speculative modern identifications as resonance rather than classical tafsīr.</w:t>
      </w:r>
    </w:p>
    <w:p>
      <w:pPr>
        <w:pStyle w:val="Heading2"/>
        <w:keepNext/>
      </w:pPr>
      <w:r>
        <w:t>12.2 Shah’s solar contribution</w:t>
      </w:r>
    </w:p>
    <w:p>
      <w:r>
        <w:rPr>
          <w:i w:val="0"/>
        </w:rPr>
        <w:t>The 2025 Sun essay gathers the main classical and modern motifs: ḍuḥā as radiant daylight; the Sun–Moon/day–night cluster as a cosmic backdrop to purification; G2V classification; core fusion; mass–energy conversion; hydrostatic stability; Earth’s distance; and the difficulty of replicating controlled fusion. Its governing intuition is sound: each scientific discovery adds a layer to what the oath invites us to contemplate. [5]</w:t>
      </w:r>
    </w:p>
    <w:p>
      <w:r>
        <w:rPr>
          <w:i w:val="0"/>
        </w:rPr>
        <w:t>The 2026 night/day and dawn studies improve the method. They explicitly compile the corpus, connect each oath to its jawāb, relate dawn to atmospheric scattering and day to circadian biology, and caution that the Qur’an is not a science textbook. The “Lord of every sunrise and sunset” essay adds Earth’s rotation, tilt, orbital motion, curvature, refraction, and multiple horizons, while maintaining the verse’s eschatological argument. [4,6,7]</w:t>
      </w:r>
    </w:p>
    <w:p>
      <w:r>
        <w:rPr>
          <w:i w:val="0"/>
        </w:rPr>
        <w:t>The present monograph extends those insights by correcting overcompression: the habitable zone is not distance alone; the Sun is stable but not literally effortless; quantum tunneling and weak-interaction slowness matter; solar protection is layered and imperfect; Earth’s engulfment is scientifically disputed; and “growth” belongs to reception rather than to an altered text.</w:t>
      </w:r>
    </w:p>
    <w:p>
      <w:pPr>
        <w:pStyle w:val="Heading1"/>
        <w:keepNext/>
      </w:pPr>
      <w:r>
        <w:t>Thematic epilogue — When dawn became a star</w:t>
      </w:r>
    </w:p>
    <w:p>
      <w:r>
        <w:rPr>
          <w:i w:val="0"/>
        </w:rPr>
        <w:t>The first hearer did not need a spectroscope to feel the force of “By the Sun.” The oath named the giver of visible day, the measurer of work, the source of heat, the ruler of shadow, and the difference between journey and danger. “By the dawn” named the moment darkness split, animals stirred, horizons returned, and another portion of life began. That world was not scientifically empty. It was intimate with the sky.</w:t>
      </w:r>
    </w:p>
    <w:p>
      <w:r>
        <w:rPr>
          <w:i w:val="0"/>
        </w:rPr>
        <w:t>What changed after the scientific revolution was not the sky but the reach of disciplined sight. The disk became a star; the star became plasma; the brightness became fusion; fusion became a chain whose first step waits upon the weak interaction and quantum tunneling; the light became a spectrum and a history; the history became cosmic inheritance from earlier stars; the solar atmosphere expanded past the planets; invisible neutrinos arrived as news from the core; magnetism made the life-giver a source of storms; Earth’s shelter became a nested architecture of heliosphere, magnetosphere, atmosphere, ozone, climate, and life.</w:t>
      </w:r>
    </w:p>
    <w:p>
      <w:r>
        <w:rPr>
          <w:i w:val="0"/>
        </w:rPr>
        <w:t>The oath is therefore heavier for the modern reader in a precise sense. More verified reality now stands behind the same word. The enlargement is not a license to make the Qur’an say “proton–proton chain” or “G2V” in seventh-century Arabic. It is the recognition that the referent selected for contemplation was capable of sustaining inquiries that the first audience could not imagine and that we have not completed.</w:t>
      </w:r>
    </w:p>
    <w:p>
      <w:r>
        <w:rPr>
          <w:i w:val="0"/>
        </w:rPr>
        <w:t>And still the Qur’an refuses to let knowledge terminate in the object. The Sun is not worshiped. Its order testifies beyond itself; its mortality confesses createdness; its light becomes a question about the soul. Dawn does not merely scatter blue wavelengths; it asks whether abandonment is final, whether revelation clarifies, whether warning will be heard. Declining day does not merely record rotation; it declares that human time is being spent.</w:t>
      </w:r>
    </w:p>
    <w:p>
      <w:r>
        <w:rPr>
          <w:i w:val="0"/>
        </w:rPr>
        <w:t>So the modern reader stands under a double disclosure. Science tells us that daylight is the surface appearance of a four-and-a-half-billion-year stellar history, and revelation tells us that seeing more is not the same as becoming better. The proper answer to the oath is neither anti-scientific piety nor self-satisfied scientism. It is informed wonder disciplined into humility, gratitude, truth, patience, and purification: the moral dawn for which the physical dawn has been summoned as witness.</w:t>
      </w:r>
    </w:p>
    <w:p>
      <w:pPr>
        <w:pStyle w:val="Heading1"/>
        <w:keepNext/>
      </w:pPr>
      <w:r>
        <w:t>Appendix A — Technical reference tables</w:t>
      </w:r>
    </w:p>
    <w:p>
      <w:pPr>
        <w:pStyle w:val="Heading2"/>
        <w:keepNext/>
      </w:pPr>
      <w:r>
        <w:t>A.1 Dawn and day geometry</w:t>
      </w:r>
    </w:p>
    <w:tbl>
      <w:tblPr>
        <w:tblW w:type="auto" w:w="0"/>
        <w:jc w:val="center"/>
        <w:tblLayout w:type="fixed"/>
        <w:tblLook w:firstColumn="1" w:firstRow="1" w:lastColumn="0" w:lastRow="0" w:noHBand="0" w:noVBand="1" w:val="04A0"/>
        <w:tblBorders>
          <w:top w:val="single" w:sz="4" w:space="0" w:color="D9E1E8"/>
          <w:left w:val="single" w:sz="4" w:space="0" w:color="D9E1E8"/>
          <w:bottom w:val="single" w:sz="4" w:space="0" w:color="D9E1E8"/>
          <w:right w:val="single" w:sz="4" w:space="0" w:color="D9E1E8"/>
          <w:insideH w:val="single" w:sz="4" w:space="0" w:color="D9E1E8"/>
          <w:insideV w:val="single" w:sz="4" w:space="0" w:color="D9E1E8"/>
        </w:tblBorders>
      </w:tblPr>
      <w:tblGrid>
        <w:gridCol w:w="3120"/>
        <w:gridCol w:w="3120"/>
        <w:gridCol w:w="3120"/>
      </w:tblGrid>
      <w:tr>
        <w:trPr>
          <w:tblHeader w:val="true"/>
        </w:trPr>
        <w:tc>
          <w:tcPr>
            <w:tcW w:type="dxa" w:w="1944"/>
            <w:shd w:fill="F4F6F9"/>
            <w:tcMar>
              <w:top w:w="80" w:type="dxa"/>
              <w:start w:w="120" w:type="dxa"/>
              <w:bottom w:w="80" w:type="dxa"/>
              <w:end w:w="120" w:type="dxa"/>
            </w:tcMar>
            <w:vAlign w:val="center"/>
          </w:tcPr>
          <w:p>
            <w:r>
              <w:rPr>
                <w:rFonts w:ascii="Calibri" w:hAnsi="Calibri" w:eastAsia="Calibri" w:cs="Calibri"/>
                <w:b/>
                <w:color w:val="1F4D78"/>
                <w:sz w:val="17"/>
              </w:rPr>
              <w:t>Phenomenon</w:t>
            </w:r>
          </w:p>
        </w:tc>
        <w:tc>
          <w:tcPr>
            <w:tcW w:type="dxa" w:w="3744"/>
            <w:shd w:fill="F4F6F9"/>
            <w:tcMar>
              <w:top w:w="80" w:type="dxa"/>
              <w:start w:w="120" w:type="dxa"/>
              <w:bottom w:w="80" w:type="dxa"/>
              <w:end w:w="120" w:type="dxa"/>
            </w:tcMar>
            <w:vAlign w:val="center"/>
          </w:tcPr>
          <w:p>
            <w:r>
              <w:rPr>
                <w:rFonts w:ascii="Calibri" w:hAnsi="Calibri" w:eastAsia="Calibri" w:cs="Calibri"/>
                <w:b/>
                <w:color w:val="1F4D78"/>
                <w:sz w:val="17"/>
              </w:rPr>
              <w:t>Geometric definition</w:t>
            </w:r>
          </w:p>
        </w:tc>
        <w:tc>
          <w:tcPr>
            <w:tcW w:type="dxa" w:w="3672"/>
            <w:shd w:fill="F4F6F9"/>
            <w:tcMar>
              <w:top w:w="80" w:type="dxa"/>
              <w:start w:w="120" w:type="dxa"/>
              <w:bottom w:w="80" w:type="dxa"/>
              <w:end w:w="120" w:type="dxa"/>
            </w:tcMar>
            <w:vAlign w:val="center"/>
          </w:tcPr>
          <w:p>
            <w:r>
              <w:rPr>
                <w:rFonts w:ascii="Calibri" w:hAnsi="Calibri" w:eastAsia="Calibri" w:cs="Calibri"/>
                <w:b/>
                <w:color w:val="1F4D78"/>
                <w:sz w:val="17"/>
              </w:rPr>
              <w:t>What the observer experiences</w:t>
            </w:r>
          </w:p>
        </w:tc>
      </w:tr>
      <w:tr>
        <w:tc>
          <w:tcPr>
            <w:tcW w:type="dxa" w:w="194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Astronomical dawn</w:t>
            </w:r>
          </w:p>
        </w:tc>
        <w:tc>
          <w:tcPr>
            <w:tcW w:type="dxa" w:w="374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Sun center ~18° below horizon</w:t>
            </w:r>
          </w:p>
        </w:tc>
        <w:tc>
          <w:tcPr>
            <w:tcW w:type="dxa" w:w="3672"/>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First very faint sky glow under dark conditions.</w:t>
            </w:r>
          </w:p>
        </w:tc>
      </w:tr>
      <w:tr>
        <w:tc>
          <w:tcPr>
            <w:tcW w:type="dxa" w:w="194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Nautical dawn</w:t>
            </w:r>
          </w:p>
        </w:tc>
        <w:tc>
          <w:tcPr>
            <w:tcW w:type="dxa" w:w="374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~12° below</w:t>
            </w:r>
          </w:p>
        </w:tc>
        <w:tc>
          <w:tcPr>
            <w:tcW w:type="dxa" w:w="3672"/>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Horizon becomes distinguishable for navigation.</w:t>
            </w:r>
          </w:p>
        </w:tc>
      </w:tr>
      <w:tr>
        <w:tc>
          <w:tcPr>
            <w:tcW w:type="dxa" w:w="194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Civil dawn</w:t>
            </w:r>
          </w:p>
        </w:tc>
        <w:tc>
          <w:tcPr>
            <w:tcW w:type="dxa" w:w="374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~6° below</w:t>
            </w:r>
          </w:p>
        </w:tc>
        <w:tc>
          <w:tcPr>
            <w:tcW w:type="dxa" w:w="3672"/>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Sufficient ambient light for many outdoor activities.</w:t>
            </w:r>
          </w:p>
        </w:tc>
      </w:tr>
      <w:tr>
        <w:tc>
          <w:tcPr>
            <w:tcW w:type="dxa" w:w="194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Apparent sunrise</w:t>
            </w:r>
          </w:p>
        </w:tc>
        <w:tc>
          <w:tcPr>
            <w:tcW w:type="dxa" w:w="374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Upper limb appears; refraction means geometric center is still below horizon</w:t>
            </w:r>
          </w:p>
        </w:tc>
        <w:tc>
          <w:tcPr>
            <w:tcW w:type="dxa" w:w="3672"/>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Direct solar disk becomes visible.</w:t>
            </w:r>
          </w:p>
        </w:tc>
      </w:tr>
      <w:tr>
        <w:tc>
          <w:tcPr>
            <w:tcW w:type="dxa" w:w="194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Solar day</w:t>
            </w:r>
          </w:p>
        </w:tc>
        <w:tc>
          <w:tcPr>
            <w:tcW w:type="dxa" w:w="374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Mean interval between successive solar noons ~24 h</w:t>
            </w:r>
          </w:p>
        </w:tc>
        <w:tc>
          <w:tcPr>
            <w:tcW w:type="dxa" w:w="3672"/>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Civil day-night rhythm.</w:t>
            </w:r>
          </w:p>
        </w:tc>
      </w:tr>
      <w:tr>
        <w:tc>
          <w:tcPr>
            <w:tcW w:type="dxa" w:w="194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Sidereal rotation</w:t>
            </w:r>
          </w:p>
        </w:tc>
        <w:tc>
          <w:tcPr>
            <w:tcW w:type="dxa" w:w="374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Earth turns relative to distant stars in ~23 h 56 min</w:t>
            </w:r>
          </w:p>
        </w:tc>
        <w:tc>
          <w:tcPr>
            <w:tcW w:type="dxa" w:w="3672"/>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Shorter than solar day because Earth also advances in orbit.</w:t>
            </w:r>
          </w:p>
        </w:tc>
      </w:tr>
      <w:tr>
        <w:tc>
          <w:tcPr>
            <w:tcW w:type="dxa" w:w="194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Seasonal horizon shift</w:t>
            </w:r>
          </w:p>
        </w:tc>
        <w:tc>
          <w:tcPr>
            <w:tcW w:type="dxa" w:w="374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Axial tilt ~23.44° plus orbital position</w:t>
            </w:r>
          </w:p>
        </w:tc>
        <w:tc>
          <w:tcPr>
            <w:tcW w:type="dxa" w:w="3672"/>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Sunrise/set azimuth and day length change through year.</w:t>
            </w:r>
          </w:p>
        </w:tc>
      </w:tr>
    </w:tbl>
    <w:p>
      <w:pPr>
        <w:spacing w:after="20"/>
      </w:pPr>
    </w:p>
    <w:p>
      <w:pPr>
        <w:pStyle w:val="Heading2"/>
        <w:keepNext/>
      </w:pPr>
      <w:r>
        <w:t>A.2 Fusion energy accounting</w:t>
      </w:r>
    </w:p>
    <w:tbl>
      <w:tblPr>
        <w:tblW w:type="auto" w:w="0"/>
        <w:jc w:val="center"/>
        <w:tblLayout w:type="fixed"/>
        <w:tblLook w:firstColumn="1" w:firstRow="1" w:lastColumn="0" w:lastRow="0" w:noHBand="0" w:noVBand="1" w:val="04A0"/>
        <w:tblBorders>
          <w:top w:val="single" w:sz="4" w:space="0" w:color="D9E1E8"/>
          <w:left w:val="single" w:sz="4" w:space="0" w:color="D9E1E8"/>
          <w:bottom w:val="single" w:sz="4" w:space="0" w:color="D9E1E8"/>
          <w:right w:val="single" w:sz="4" w:space="0" w:color="D9E1E8"/>
          <w:insideH w:val="single" w:sz="4" w:space="0" w:color="D9E1E8"/>
          <w:insideV w:val="single" w:sz="4" w:space="0" w:color="D9E1E8"/>
        </w:tblBorders>
      </w:tblPr>
      <w:tblGrid>
        <w:gridCol w:w="3120"/>
        <w:gridCol w:w="3120"/>
        <w:gridCol w:w="3120"/>
      </w:tblGrid>
      <w:tr>
        <w:trPr>
          <w:tblHeader w:val="true"/>
        </w:trPr>
        <w:tc>
          <w:tcPr>
            <w:tcW w:type="dxa" w:w="2232"/>
            <w:shd w:fill="F4F6F9"/>
            <w:tcMar>
              <w:top w:w="80" w:type="dxa"/>
              <w:start w:w="120" w:type="dxa"/>
              <w:bottom w:w="80" w:type="dxa"/>
              <w:end w:w="120" w:type="dxa"/>
            </w:tcMar>
            <w:vAlign w:val="center"/>
          </w:tcPr>
          <w:p>
            <w:r>
              <w:rPr>
                <w:rFonts w:ascii="Calibri" w:hAnsi="Calibri" w:eastAsia="Calibri" w:cs="Calibri"/>
                <w:b/>
                <w:color w:val="1F4D78"/>
                <w:sz w:val="17"/>
              </w:rPr>
              <w:t>Quantity</w:t>
            </w:r>
          </w:p>
        </w:tc>
        <w:tc>
          <w:tcPr>
            <w:tcW w:type="dxa" w:w="2880"/>
            <w:shd w:fill="F4F6F9"/>
            <w:tcMar>
              <w:top w:w="80" w:type="dxa"/>
              <w:start w:w="120" w:type="dxa"/>
              <w:bottom w:w="80" w:type="dxa"/>
              <w:end w:w="120" w:type="dxa"/>
            </w:tcMar>
            <w:vAlign w:val="center"/>
          </w:tcPr>
          <w:p>
            <w:r>
              <w:rPr>
                <w:rFonts w:ascii="Calibri" w:hAnsi="Calibri" w:eastAsia="Calibri" w:cs="Calibri"/>
                <w:b/>
                <w:color w:val="1F4D78"/>
                <w:sz w:val="17"/>
              </w:rPr>
              <w:t>Approximate value</w:t>
            </w:r>
          </w:p>
        </w:tc>
        <w:tc>
          <w:tcPr>
            <w:tcW w:type="dxa" w:w="4248"/>
            <w:shd w:fill="F4F6F9"/>
            <w:tcMar>
              <w:top w:w="80" w:type="dxa"/>
              <w:start w:w="120" w:type="dxa"/>
              <w:bottom w:w="80" w:type="dxa"/>
              <w:end w:w="120" w:type="dxa"/>
            </w:tcMar>
            <w:vAlign w:val="center"/>
          </w:tcPr>
          <w:p>
            <w:r>
              <w:rPr>
                <w:rFonts w:ascii="Calibri" w:hAnsi="Calibri" w:eastAsia="Calibri" w:cs="Calibri"/>
                <w:b/>
                <w:color w:val="1F4D78"/>
                <w:sz w:val="17"/>
              </w:rPr>
              <w:t>Note</w:t>
            </w:r>
          </w:p>
        </w:tc>
      </w:tr>
      <w:tr>
        <w:tc>
          <w:tcPr>
            <w:tcW w:type="dxa" w:w="2232"/>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Solar luminosity</w:t>
            </w:r>
          </w:p>
        </w:tc>
        <w:tc>
          <w:tcPr>
            <w:tcW w:type="dxa" w:w="2880"/>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3.828 × 10²⁶ J/s</w:t>
            </w:r>
          </w:p>
        </w:tc>
        <w:tc>
          <w:tcPr>
            <w:tcW w:type="dxa" w:w="4248"/>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IAU nominal bolometric luminosity.</w:t>
            </w:r>
          </w:p>
        </w:tc>
      </w:tr>
      <w:tr>
        <w:tc>
          <w:tcPr>
            <w:tcW w:type="dxa" w:w="2232"/>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Mass equivalent per second</w:t>
            </w:r>
          </w:p>
        </w:tc>
        <w:tc>
          <w:tcPr>
            <w:tcW w:type="dxa" w:w="2880"/>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L/c² ≈ 4.26 × 10⁹ kg/s</w:t>
            </w:r>
          </w:p>
        </w:tc>
        <w:tc>
          <w:tcPr>
            <w:tcW w:type="dxa" w:w="4248"/>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About 4.26 million metric tons per second.</w:t>
            </w:r>
          </w:p>
        </w:tc>
      </w:tr>
      <w:tr>
        <w:tc>
          <w:tcPr>
            <w:tcW w:type="dxa" w:w="2232"/>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Hydrogen processed</w:t>
            </w:r>
          </w:p>
        </w:tc>
        <w:tc>
          <w:tcPr>
            <w:tcW w:type="dxa" w:w="2880"/>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~6 × 10¹¹ kg/s</w:t>
            </w:r>
          </w:p>
        </w:tc>
        <w:tc>
          <w:tcPr>
            <w:tcW w:type="dxa" w:w="4248"/>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About 600 million metric tons per second.</w:t>
            </w:r>
          </w:p>
        </w:tc>
      </w:tr>
      <w:tr>
        <w:tc>
          <w:tcPr>
            <w:tcW w:type="dxa" w:w="2232"/>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Net pp-chain energy</w:t>
            </w:r>
          </w:p>
        </w:tc>
        <w:tc>
          <w:tcPr>
            <w:tcW w:type="dxa" w:w="2880"/>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~26.7 MeV</w:t>
            </w:r>
          </w:p>
        </w:tc>
        <w:tc>
          <w:tcPr>
            <w:tcW w:type="dxa" w:w="4248"/>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Includes energy ultimately distributed among photons/particles; neutrinos escape with a small share.</w:t>
            </w:r>
          </w:p>
        </w:tc>
      </w:tr>
      <w:tr>
        <w:tc>
          <w:tcPr>
            <w:tcW w:type="dxa" w:w="2232"/>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Earth-top irradiance</w:t>
            </w:r>
          </w:p>
        </w:tc>
        <w:tc>
          <w:tcPr>
            <w:tcW w:type="dxa" w:w="2880"/>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~1,361 W/m²</w:t>
            </w:r>
          </w:p>
        </w:tc>
        <w:tc>
          <w:tcPr>
            <w:tcW w:type="dxa" w:w="4248"/>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Varies slightly with orbit and solar activity.</w:t>
            </w:r>
          </w:p>
        </w:tc>
      </w:tr>
      <w:tr>
        <w:tc>
          <w:tcPr>
            <w:tcW w:type="dxa" w:w="2232"/>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Global geometric mean</w:t>
            </w:r>
          </w:p>
        </w:tc>
        <w:tc>
          <w:tcPr>
            <w:tcW w:type="dxa" w:w="2880"/>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~340 W/m²</w:t>
            </w:r>
          </w:p>
        </w:tc>
        <w:tc>
          <w:tcPr>
            <w:tcW w:type="dxa" w:w="4248"/>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Before reflection; divides disk interception over spherical area.</w:t>
            </w:r>
          </w:p>
        </w:tc>
      </w:tr>
    </w:tbl>
    <w:p>
      <w:pPr>
        <w:spacing w:after="20"/>
      </w:pPr>
    </w:p>
    <w:p>
      <w:pPr>
        <w:pStyle w:val="Heading1"/>
        <w:keepNext/>
      </w:pPr>
      <w:r>
        <w:t>Appendix B — Complete audit of the requested Shah category</w:t>
      </w:r>
    </w:p>
    <w:p>
      <w:r>
        <w:rPr>
          <w:i w:val="0"/>
        </w:rPr>
        <w:t>The category page was audited in full on 2 September 2026. The following list preserves all twenty-three entries then displayed, newest first. The final phrase summarizes each item’s relevance to the oath project; it is this report’s synthesis, not the site’s subtitle. [3]</w:t>
      </w:r>
    </w:p>
    <w:p>
      <w:pPr>
        <w:spacing w:after="100"/>
      </w:pPr>
      <w:r>
        <w:rPr>
          <w:rFonts w:ascii="Calibri" w:hAnsi="Calibri" w:eastAsia="Calibri" w:cs="Calibri"/>
          <w:b/>
          <w:color w:val="B88A2A"/>
          <w:sz w:val="18"/>
        </w:rPr>
        <w:t xml:space="preserve">20 Aug 2026 — </w:t>
      </w:r>
      <w:r>
        <w:rPr>
          <w:rFonts w:ascii="Calibri" w:hAnsi="Calibri" w:eastAsia="Calibri" w:cs="Calibri"/>
          <w:b/>
          <w:color w:val="1F4D78"/>
          <w:sz w:val="18"/>
        </w:rPr>
        <w:t xml:space="preserve">The Stars That Recede, the Night That Departs, the Dawn That Breathes. </w:t>
      </w:r>
      <w:r>
        <w:rPr>
          <w:rFonts w:ascii="Calibri" w:hAnsi="Calibri" w:eastAsia="Calibri" w:cs="Calibri"/>
          <w:color w:val="1E2933"/>
          <w:sz w:val="18"/>
        </w:rPr>
        <w:t>Q 81:15–19; classical ambiguity, atmospheric dawn, revelation.</w:t>
      </w:r>
    </w:p>
    <w:p>
      <w:pPr>
        <w:spacing w:after="100"/>
      </w:pPr>
      <w:r>
        <w:rPr>
          <w:rFonts w:ascii="Calibri" w:hAnsi="Calibri" w:eastAsia="Calibri" w:cs="Calibri"/>
          <w:b/>
          <w:color w:val="B88A2A"/>
          <w:sz w:val="18"/>
        </w:rPr>
        <w:t xml:space="preserve">20 Aug 2026 — </w:t>
      </w:r>
      <w:r>
        <w:rPr>
          <w:rFonts w:ascii="Calibri" w:hAnsi="Calibri" w:eastAsia="Calibri" w:cs="Calibri"/>
          <w:b/>
          <w:color w:val="1F4D78"/>
          <w:sz w:val="18"/>
        </w:rPr>
        <w:t xml:space="preserve">The Stars as Witnesses. </w:t>
      </w:r>
      <w:r>
        <w:rPr>
          <w:rFonts w:ascii="Calibri" w:hAnsi="Calibri" w:eastAsia="Calibri" w:cs="Calibri"/>
          <w:color w:val="1E2933"/>
          <w:sz w:val="18"/>
        </w:rPr>
        <w:t>Celestial bodies as evidentiary witnesses.</w:t>
      </w:r>
    </w:p>
    <w:p>
      <w:pPr>
        <w:spacing w:after="100"/>
      </w:pPr>
      <w:r>
        <w:rPr>
          <w:rFonts w:ascii="Calibri" w:hAnsi="Calibri" w:eastAsia="Calibri" w:cs="Calibri"/>
          <w:b/>
          <w:color w:val="B88A2A"/>
          <w:sz w:val="18"/>
        </w:rPr>
        <w:t xml:space="preserve">11 Aug 2026 — </w:t>
      </w:r>
      <w:r>
        <w:rPr>
          <w:rFonts w:ascii="Calibri" w:hAnsi="Calibri" w:eastAsia="Calibri" w:cs="Calibri"/>
          <w:b/>
          <w:color w:val="1F4D78"/>
          <w:sz w:val="18"/>
        </w:rPr>
        <w:t xml:space="preserve">And by This Secure City. </w:t>
      </w:r>
      <w:r>
        <w:rPr>
          <w:rFonts w:ascii="Calibri" w:hAnsi="Calibri" w:eastAsia="Calibri" w:cs="Calibri"/>
          <w:color w:val="1E2933"/>
          <w:sz w:val="18"/>
        </w:rPr>
        <w:t>Sacred geography, covenant, and security.</w:t>
      </w:r>
    </w:p>
    <w:p>
      <w:pPr>
        <w:spacing w:after="100"/>
      </w:pPr>
      <w:r>
        <w:rPr>
          <w:rFonts w:ascii="Calibri" w:hAnsi="Calibri" w:eastAsia="Calibri" w:cs="Calibri"/>
          <w:b/>
          <w:color w:val="B88A2A"/>
          <w:sz w:val="18"/>
        </w:rPr>
        <w:t xml:space="preserve">5 Aug 2026 — </w:t>
      </w:r>
      <w:r>
        <w:rPr>
          <w:rFonts w:ascii="Calibri" w:hAnsi="Calibri" w:eastAsia="Calibri" w:cs="Calibri"/>
          <w:b/>
          <w:color w:val="1F4D78"/>
          <w:sz w:val="18"/>
        </w:rPr>
        <w:t xml:space="preserve">By All That You See and All That You See Not. </w:t>
      </w:r>
      <w:r>
        <w:rPr>
          <w:rFonts w:ascii="Calibri" w:hAnsi="Calibri" w:eastAsia="Calibri" w:cs="Calibri"/>
          <w:color w:val="1E2933"/>
          <w:sz w:val="18"/>
        </w:rPr>
        <w:t>Q 69:38–43; the visible/unseen epistemic bridge.</w:t>
      </w:r>
    </w:p>
    <w:p>
      <w:pPr>
        <w:spacing w:after="100"/>
      </w:pPr>
      <w:r>
        <w:rPr>
          <w:rFonts w:ascii="Calibri" w:hAnsi="Calibri" w:eastAsia="Calibri" w:cs="Calibri"/>
          <w:b/>
          <w:color w:val="B88A2A"/>
          <w:sz w:val="18"/>
        </w:rPr>
        <w:t xml:space="preserve">22 Jul 2026 — </w:t>
      </w:r>
      <w:r>
        <w:rPr>
          <w:rFonts w:ascii="Calibri" w:hAnsi="Calibri" w:eastAsia="Calibri" w:cs="Calibri"/>
          <w:b/>
          <w:color w:val="1F4D78"/>
          <w:sz w:val="18"/>
        </w:rPr>
        <w:t xml:space="preserve">The Sanctuary in the Court of Creation. </w:t>
      </w:r>
      <w:r>
        <w:rPr>
          <w:rFonts w:ascii="Calibri" w:hAnsi="Calibri" w:eastAsia="Calibri" w:cs="Calibri"/>
          <w:color w:val="1E2933"/>
          <w:sz w:val="18"/>
        </w:rPr>
        <w:t>The sanctuary summoned within a wider created order.</w:t>
      </w:r>
    </w:p>
    <w:p>
      <w:pPr>
        <w:spacing w:after="100"/>
      </w:pPr>
      <w:r>
        <w:rPr>
          <w:rFonts w:ascii="Calibri" w:hAnsi="Calibri" w:eastAsia="Calibri" w:cs="Calibri"/>
          <w:b/>
          <w:color w:val="B88A2A"/>
          <w:sz w:val="18"/>
        </w:rPr>
        <w:t xml:space="preserve">22 Jul 2026 — </w:t>
      </w:r>
      <w:r>
        <w:rPr>
          <w:rFonts w:ascii="Calibri" w:hAnsi="Calibri" w:eastAsia="Calibri" w:cs="Calibri"/>
          <w:b/>
          <w:color w:val="1F4D78"/>
          <w:sz w:val="18"/>
        </w:rPr>
        <w:t xml:space="preserve">Three Oaths on the Sacred Precinct. </w:t>
      </w:r>
      <w:r>
        <w:rPr>
          <w:rFonts w:ascii="Calibri" w:hAnsi="Calibri" w:eastAsia="Calibri" w:cs="Calibri"/>
          <w:color w:val="1E2933"/>
          <w:sz w:val="18"/>
        </w:rPr>
        <w:t>Kaaba, Mecca, and total reality as witness.</w:t>
      </w:r>
    </w:p>
    <w:p>
      <w:pPr>
        <w:spacing w:after="100"/>
      </w:pPr>
      <w:r>
        <w:rPr>
          <w:rFonts w:ascii="Calibri" w:hAnsi="Calibri" w:eastAsia="Calibri" w:cs="Calibri"/>
          <w:b/>
          <w:color w:val="B88A2A"/>
          <w:sz w:val="18"/>
        </w:rPr>
        <w:t xml:space="preserve">14 Jul 2026 — </w:t>
      </w:r>
      <w:r>
        <w:rPr>
          <w:rFonts w:ascii="Calibri" w:hAnsi="Calibri" w:eastAsia="Calibri" w:cs="Calibri"/>
          <w:b/>
          <w:color w:val="1F4D78"/>
          <w:sz w:val="18"/>
        </w:rPr>
        <w:t xml:space="preserve">The Jurative Architecture of the Cosmos. </w:t>
      </w:r>
      <w:r>
        <w:rPr>
          <w:rFonts w:ascii="Calibri" w:hAnsi="Calibri" w:eastAsia="Calibri" w:cs="Calibri"/>
          <w:color w:val="1E2933"/>
          <w:sz w:val="18"/>
        </w:rPr>
        <w:t>Q 51:1–23; oath sequence as cumulative argument.</w:t>
      </w:r>
    </w:p>
    <w:p>
      <w:pPr>
        <w:spacing w:after="100"/>
      </w:pPr>
      <w:r>
        <w:rPr>
          <w:rFonts w:ascii="Calibri" w:hAnsi="Calibri" w:eastAsia="Calibri" w:cs="Calibri"/>
          <w:b/>
          <w:color w:val="B88A2A"/>
          <w:sz w:val="18"/>
        </w:rPr>
        <w:t xml:space="preserve">14 Jul 2026 — </w:t>
      </w:r>
      <w:r>
        <w:rPr>
          <w:rFonts w:ascii="Calibri" w:hAnsi="Calibri" w:eastAsia="Calibri" w:cs="Calibri"/>
          <w:b/>
          <w:color w:val="1F4D78"/>
          <w:sz w:val="18"/>
        </w:rPr>
        <w:t xml:space="preserve">Research Dossier on Qur’an 51:1–23. </w:t>
      </w:r>
      <w:r>
        <w:rPr>
          <w:rFonts w:ascii="Calibri" w:hAnsi="Calibri" w:eastAsia="Calibri" w:cs="Calibri"/>
          <w:color w:val="1E2933"/>
          <w:sz w:val="18"/>
        </w:rPr>
        <w:t>Source architecture for winds, provision, and eschatology.</w:t>
      </w:r>
    </w:p>
    <w:p>
      <w:pPr>
        <w:spacing w:after="100"/>
      </w:pPr>
      <w:r>
        <w:rPr>
          <w:rFonts w:ascii="Calibri" w:hAnsi="Calibri" w:eastAsia="Calibri" w:cs="Calibri"/>
          <w:b/>
          <w:color w:val="B88A2A"/>
          <w:sz w:val="18"/>
        </w:rPr>
        <w:t xml:space="preserve">13 Jul 2026 — </w:t>
      </w:r>
      <w:r>
        <w:rPr>
          <w:rFonts w:ascii="Calibri" w:hAnsi="Calibri" w:eastAsia="Calibri" w:cs="Calibri"/>
          <w:b/>
          <w:color w:val="1F4D78"/>
          <w:sz w:val="18"/>
        </w:rPr>
        <w:t xml:space="preserve">The Lord of Every Sunrise and Sunset. </w:t>
      </w:r>
      <w:r>
        <w:rPr>
          <w:rFonts w:ascii="Calibri" w:hAnsi="Calibri" w:eastAsia="Calibri" w:cs="Calibri"/>
          <w:color w:val="1E2933"/>
          <w:sz w:val="18"/>
        </w:rPr>
        <w:t>Plural horizons, Earth geometry, divine self-oath, resurrection.</w:t>
      </w:r>
    </w:p>
    <w:p>
      <w:pPr>
        <w:spacing w:after="100"/>
      </w:pPr>
      <w:r>
        <w:rPr>
          <w:rFonts w:ascii="Calibri" w:hAnsi="Calibri" w:eastAsia="Calibri" w:cs="Calibri"/>
          <w:b/>
          <w:color w:val="B88A2A"/>
          <w:sz w:val="18"/>
        </w:rPr>
        <w:t xml:space="preserve">13 Jul 2026 — </w:t>
      </w:r>
      <w:r>
        <w:rPr>
          <w:rFonts w:ascii="Calibri" w:hAnsi="Calibri" w:eastAsia="Calibri" w:cs="Calibri"/>
          <w:b/>
          <w:color w:val="1F4D78"/>
          <w:sz w:val="18"/>
        </w:rPr>
        <w:t xml:space="preserve">The Oath by All That Is Seen and Unseen. </w:t>
      </w:r>
      <w:r>
        <w:rPr>
          <w:rFonts w:ascii="Calibri" w:hAnsi="Calibri" w:eastAsia="Calibri" w:cs="Calibri"/>
          <w:color w:val="1E2933"/>
          <w:sz w:val="18"/>
        </w:rPr>
        <w:t>Comprehensive witness and revelation.</w:t>
      </w:r>
    </w:p>
    <w:p>
      <w:pPr>
        <w:spacing w:after="100"/>
      </w:pPr>
      <w:r>
        <w:rPr>
          <w:rFonts w:ascii="Calibri" w:hAnsi="Calibri" w:eastAsia="Calibri" w:cs="Calibri"/>
          <w:b/>
          <w:color w:val="B88A2A"/>
          <w:sz w:val="18"/>
        </w:rPr>
        <w:t xml:space="preserve">5 Jul 2026 — </w:t>
      </w:r>
      <w:r>
        <w:rPr>
          <w:rFonts w:ascii="Calibri" w:hAnsi="Calibri" w:eastAsia="Calibri" w:cs="Calibri"/>
          <w:b/>
          <w:color w:val="1F4D78"/>
          <w:sz w:val="18"/>
        </w:rPr>
        <w:t xml:space="preserve">Scientific, Philosophical, and Theological Commentary on Surah al-Inshiqaq. </w:t>
      </w:r>
      <w:r>
        <w:rPr>
          <w:rFonts w:ascii="Calibri" w:hAnsi="Calibri" w:eastAsia="Calibri" w:cs="Calibri"/>
          <w:color w:val="1E2933"/>
          <w:sz w:val="18"/>
        </w:rPr>
        <w:t>Twilight, night, Moon, and stage-after-stage transformation.</w:t>
      </w:r>
    </w:p>
    <w:p>
      <w:pPr>
        <w:spacing w:after="100"/>
      </w:pPr>
      <w:r>
        <w:rPr>
          <w:rFonts w:ascii="Calibri" w:hAnsi="Calibri" w:eastAsia="Calibri" w:cs="Calibri"/>
          <w:b/>
          <w:color w:val="B88A2A"/>
          <w:sz w:val="18"/>
        </w:rPr>
        <w:t xml:space="preserve">5 Jul 2026 — </w:t>
      </w:r>
      <w:r>
        <w:rPr>
          <w:rFonts w:ascii="Calibri" w:hAnsi="Calibri" w:eastAsia="Calibri" w:cs="Calibri"/>
          <w:b/>
          <w:color w:val="1F4D78"/>
          <w:sz w:val="18"/>
        </w:rPr>
        <w:t xml:space="preserve">The Informational Cosmology of Surah al-Inshiqaq. </w:t>
      </w:r>
      <w:r>
        <w:rPr>
          <w:rFonts w:ascii="Calibri" w:hAnsi="Calibri" w:eastAsia="Calibri" w:cs="Calibri"/>
          <w:color w:val="1E2933"/>
          <w:sz w:val="18"/>
        </w:rPr>
        <w:t>Four-books framing of cosmic and moral information.</w:t>
      </w:r>
    </w:p>
    <w:p>
      <w:pPr>
        <w:spacing w:after="100"/>
      </w:pPr>
      <w:r>
        <w:rPr>
          <w:rFonts w:ascii="Calibri" w:hAnsi="Calibri" w:eastAsia="Calibri" w:cs="Calibri"/>
          <w:b/>
          <w:color w:val="B88A2A"/>
          <w:sz w:val="18"/>
        </w:rPr>
        <w:t xml:space="preserve">22 Apr 2026 — </w:t>
      </w:r>
      <w:r>
        <w:rPr>
          <w:rFonts w:ascii="Calibri" w:hAnsi="Calibri" w:eastAsia="Calibri" w:cs="Calibri"/>
          <w:b/>
          <w:color w:val="1F4D78"/>
          <w:sz w:val="18"/>
        </w:rPr>
        <w:t xml:space="preserve">Ninety Oaths and the Last Laugh of al-Ghazali. </w:t>
      </w:r>
      <w:r>
        <w:rPr>
          <w:rFonts w:ascii="Calibri" w:hAnsi="Calibri" w:eastAsia="Calibri" w:cs="Calibri"/>
          <w:color w:val="1E2933"/>
          <w:sz w:val="18"/>
        </w:rPr>
        <w:t>Oaths joined to occasionalism and continuous divine agency.</w:t>
      </w:r>
    </w:p>
    <w:p>
      <w:pPr>
        <w:spacing w:after="100"/>
      </w:pPr>
      <w:r>
        <w:rPr>
          <w:rFonts w:ascii="Calibri" w:hAnsi="Calibri" w:eastAsia="Calibri" w:cs="Calibri"/>
          <w:b/>
          <w:color w:val="B88A2A"/>
          <w:sz w:val="18"/>
        </w:rPr>
        <w:t xml:space="preserve">22 Apr 2026 — </w:t>
      </w:r>
      <w:r>
        <w:rPr>
          <w:rFonts w:ascii="Calibri" w:hAnsi="Calibri" w:eastAsia="Calibri" w:cs="Calibri"/>
          <w:b/>
          <w:color w:val="1F4D78"/>
          <w:sz w:val="18"/>
        </w:rPr>
        <w:t xml:space="preserve">The Architecture of Divine Volition. </w:t>
      </w:r>
      <w:r>
        <w:rPr>
          <w:rFonts w:ascii="Calibri" w:hAnsi="Calibri" w:eastAsia="Calibri" w:cs="Calibri"/>
          <w:color w:val="1E2933"/>
          <w:sz w:val="18"/>
        </w:rPr>
        <w:t>Created causes as ontological exhibits of divine volition.</w:t>
      </w:r>
    </w:p>
    <w:p>
      <w:pPr>
        <w:spacing w:after="100"/>
      </w:pPr>
      <w:r>
        <w:rPr>
          <w:rFonts w:ascii="Calibri" w:hAnsi="Calibri" w:eastAsia="Calibri" w:cs="Calibri"/>
          <w:b/>
          <w:color w:val="B88A2A"/>
          <w:sz w:val="18"/>
        </w:rPr>
        <w:t xml:space="preserve">22 Apr 2026 — </w:t>
      </w:r>
      <w:r>
        <w:rPr>
          <w:rFonts w:ascii="Calibri" w:hAnsi="Calibri" w:eastAsia="Calibri" w:cs="Calibri"/>
          <w:b/>
          <w:color w:val="1F4D78"/>
          <w:sz w:val="18"/>
        </w:rPr>
        <w:t xml:space="preserve">A Linguistic and Theological Analysis of Jurative Particles. </w:t>
      </w:r>
      <w:r>
        <w:rPr>
          <w:rFonts w:ascii="Calibri" w:hAnsi="Calibri" w:eastAsia="Calibri" w:cs="Calibri"/>
          <w:color w:val="1E2933"/>
          <w:sz w:val="18"/>
        </w:rPr>
        <w:t>Wa, ba, ta; particle, witness, and oath-answer.</w:t>
      </w:r>
    </w:p>
    <w:p>
      <w:pPr>
        <w:spacing w:after="100"/>
      </w:pPr>
      <w:r>
        <w:rPr>
          <w:rFonts w:ascii="Calibri" w:hAnsi="Calibri" w:eastAsia="Calibri" w:cs="Calibri"/>
          <w:b/>
          <w:color w:val="B88A2A"/>
          <w:sz w:val="18"/>
        </w:rPr>
        <w:t xml:space="preserve">22 Apr 2026 — </w:t>
      </w:r>
      <w:r>
        <w:rPr>
          <w:rFonts w:ascii="Calibri" w:hAnsi="Calibri" w:eastAsia="Calibri" w:cs="Calibri"/>
          <w:b/>
          <w:color w:val="1F4D78"/>
          <w:sz w:val="18"/>
        </w:rPr>
        <w:t xml:space="preserve">Oaths in the Qur’an: A Catalogue by Particle. </w:t>
      </w:r>
      <w:r>
        <w:rPr>
          <w:rFonts w:ascii="Calibri" w:hAnsi="Calibri" w:eastAsia="Calibri" w:cs="Calibri"/>
          <w:color w:val="1E2933"/>
          <w:sz w:val="18"/>
        </w:rPr>
        <w:t>A corpus-level inventory of explicit oath forms.</w:t>
      </w:r>
    </w:p>
    <w:p>
      <w:pPr>
        <w:spacing w:after="100"/>
      </w:pPr>
      <w:r>
        <w:rPr>
          <w:rFonts w:ascii="Calibri" w:hAnsi="Calibri" w:eastAsia="Calibri" w:cs="Calibri"/>
          <w:b/>
          <w:color w:val="B88A2A"/>
          <w:sz w:val="18"/>
        </w:rPr>
        <w:t xml:space="preserve">6 Apr 2026 — </w:t>
      </w:r>
      <w:r>
        <w:rPr>
          <w:rFonts w:ascii="Calibri" w:hAnsi="Calibri" w:eastAsia="Calibri" w:cs="Calibri"/>
          <w:b/>
          <w:color w:val="1F4D78"/>
          <w:sz w:val="18"/>
        </w:rPr>
        <w:t xml:space="preserve">The Architecture of Darkness. </w:t>
      </w:r>
      <w:r>
        <w:rPr>
          <w:rFonts w:ascii="Calibri" w:hAnsi="Calibri" w:eastAsia="Calibri" w:cs="Calibri"/>
          <w:color w:val="1E2933"/>
          <w:sz w:val="18"/>
        </w:rPr>
        <w:t>Night oaths across physical, psychological, and theological registers.</w:t>
      </w:r>
    </w:p>
    <w:p>
      <w:pPr>
        <w:spacing w:after="100"/>
      </w:pPr>
      <w:r>
        <w:rPr>
          <w:rFonts w:ascii="Calibri" w:hAnsi="Calibri" w:eastAsia="Calibri" w:cs="Calibri"/>
          <w:b/>
          <w:color w:val="B88A2A"/>
          <w:sz w:val="18"/>
        </w:rPr>
        <w:t xml:space="preserve">16 Mar 2026 — </w:t>
      </w:r>
      <w:r>
        <w:rPr>
          <w:rFonts w:ascii="Calibri" w:hAnsi="Calibri" w:eastAsia="Calibri" w:cs="Calibri"/>
          <w:b/>
          <w:color w:val="1F4D78"/>
          <w:sz w:val="18"/>
        </w:rPr>
        <w:t xml:space="preserve">Seen and Unseen: Surah Haqqah. </w:t>
      </w:r>
      <w:r>
        <w:rPr>
          <w:rFonts w:ascii="Calibri" w:hAnsi="Calibri" w:eastAsia="Calibri" w:cs="Calibri"/>
          <w:color w:val="1E2933"/>
          <w:sz w:val="18"/>
        </w:rPr>
        <w:t>Witness, hidden reality, and revelation.</w:t>
      </w:r>
    </w:p>
    <w:p>
      <w:pPr>
        <w:spacing w:after="100"/>
      </w:pPr>
      <w:r>
        <w:rPr>
          <w:rFonts w:ascii="Calibri" w:hAnsi="Calibri" w:eastAsia="Calibri" w:cs="Calibri"/>
          <w:b/>
          <w:color w:val="B88A2A"/>
          <w:sz w:val="18"/>
        </w:rPr>
        <w:t xml:space="preserve">7 Mar 2026 — </w:t>
      </w:r>
      <w:r>
        <w:rPr>
          <w:rFonts w:ascii="Calibri" w:hAnsi="Calibri" w:eastAsia="Calibri" w:cs="Calibri"/>
          <w:b/>
          <w:color w:val="1F4D78"/>
          <w:sz w:val="18"/>
        </w:rPr>
        <w:t xml:space="preserve">Night and Day as Divine Testimony. </w:t>
      </w:r>
      <w:r>
        <w:rPr>
          <w:rFonts w:ascii="Calibri" w:hAnsi="Calibri" w:eastAsia="Calibri" w:cs="Calibri"/>
          <w:color w:val="1E2933"/>
          <w:sz w:val="18"/>
        </w:rPr>
        <w:t>Complete night/day corpus and concealment/disclosure grammar.</w:t>
      </w:r>
    </w:p>
    <w:p>
      <w:pPr>
        <w:spacing w:after="100"/>
      </w:pPr>
      <w:r>
        <w:rPr>
          <w:rFonts w:ascii="Calibri" w:hAnsi="Calibri" w:eastAsia="Calibri" w:cs="Calibri"/>
          <w:b/>
          <w:color w:val="B88A2A"/>
          <w:sz w:val="18"/>
        </w:rPr>
        <w:t xml:space="preserve">21 May 2025 — </w:t>
      </w:r>
      <w:r>
        <w:rPr>
          <w:rFonts w:ascii="Calibri" w:hAnsi="Calibri" w:eastAsia="Calibri" w:cs="Calibri"/>
          <w:b/>
          <w:color w:val="1F4D78"/>
          <w:sz w:val="18"/>
        </w:rPr>
        <w:t xml:space="preserve">Quranic Oaths by the Sun. </w:t>
      </w:r>
      <w:r>
        <w:rPr>
          <w:rFonts w:ascii="Calibri" w:hAnsi="Calibri" w:eastAsia="Calibri" w:cs="Calibri"/>
          <w:color w:val="1E2933"/>
          <w:sz w:val="18"/>
        </w:rPr>
        <w:t>Classical readings, fusion, fine-tuning, and modern reflection.</w:t>
      </w:r>
    </w:p>
    <w:p>
      <w:pPr>
        <w:spacing w:after="100"/>
      </w:pPr>
      <w:r>
        <w:rPr>
          <w:rFonts w:ascii="Calibri" w:hAnsi="Calibri" w:eastAsia="Calibri" w:cs="Calibri"/>
          <w:b/>
          <w:color w:val="B88A2A"/>
          <w:sz w:val="18"/>
        </w:rPr>
        <w:t xml:space="preserve">19 May 2025 — </w:t>
      </w:r>
      <w:r>
        <w:rPr>
          <w:rFonts w:ascii="Calibri" w:hAnsi="Calibri" w:eastAsia="Calibri" w:cs="Calibri"/>
          <w:b/>
          <w:color w:val="1F4D78"/>
          <w:sz w:val="18"/>
        </w:rPr>
        <w:t xml:space="preserve">Oaths in the Qur’an: Nature’s Testimony. </w:t>
      </w:r>
      <w:r>
        <w:rPr>
          <w:rFonts w:ascii="Calibri" w:hAnsi="Calibri" w:eastAsia="Calibri" w:cs="Calibri"/>
          <w:color w:val="1E2933"/>
          <w:sz w:val="18"/>
        </w:rPr>
        <w:t>Tawhid, resurrection, and revelation as three evidentiary aims.</w:t>
      </w:r>
    </w:p>
    <w:p>
      <w:pPr>
        <w:spacing w:after="100"/>
      </w:pPr>
      <w:r>
        <w:rPr>
          <w:rFonts w:ascii="Calibri" w:hAnsi="Calibri" w:eastAsia="Calibri" w:cs="Calibri"/>
          <w:b/>
          <w:color w:val="B88A2A"/>
          <w:sz w:val="18"/>
        </w:rPr>
        <w:t xml:space="preserve">30 Apr 2025 — </w:t>
      </w:r>
      <w:r>
        <w:rPr>
          <w:rFonts w:ascii="Calibri" w:hAnsi="Calibri" w:eastAsia="Calibri" w:cs="Calibri"/>
          <w:b/>
          <w:color w:val="1F4D78"/>
          <w:sz w:val="18"/>
        </w:rPr>
        <w:t xml:space="preserve">Oaths by Natural Phenomena in the Qur’an. </w:t>
      </w:r>
      <w:r>
        <w:rPr>
          <w:rFonts w:ascii="Calibri" w:hAnsi="Calibri" w:eastAsia="Calibri" w:cs="Calibri"/>
          <w:color w:val="1E2933"/>
          <w:sz w:val="18"/>
        </w:rPr>
        <w:t>Phenomenon-by-phenomenon scientific and theological catalogue.</w:t>
      </w:r>
    </w:p>
    <w:p>
      <w:pPr>
        <w:spacing w:after="100"/>
      </w:pPr>
      <w:r>
        <w:rPr>
          <w:rFonts w:ascii="Calibri" w:hAnsi="Calibri" w:eastAsia="Calibri" w:cs="Calibri"/>
          <w:b/>
          <w:color w:val="B88A2A"/>
          <w:sz w:val="18"/>
        </w:rPr>
        <w:t xml:space="preserve">28 Apr 2025 — </w:t>
      </w:r>
      <w:r>
        <w:rPr>
          <w:rFonts w:ascii="Calibri" w:hAnsi="Calibri" w:eastAsia="Calibri" w:cs="Calibri"/>
          <w:b/>
          <w:color w:val="1F4D78"/>
          <w:sz w:val="18"/>
        </w:rPr>
        <w:t xml:space="preserve">The Quranic Oath at the Beginning of Surah al-Dhariyat. </w:t>
      </w:r>
      <w:r>
        <w:rPr>
          <w:rFonts w:ascii="Calibri" w:hAnsi="Calibri" w:eastAsia="Calibri" w:cs="Calibri"/>
          <w:color w:val="1E2933"/>
          <w:sz w:val="18"/>
        </w:rPr>
        <w:t>Seen regularity deployed toward promised unseen truth.</w:t>
      </w:r>
    </w:p>
    <w:p>
      <w:pPr>
        <w:pStyle w:val="Heading1"/>
        <w:keepNext/>
      </w:pPr>
      <w:r>
        <w:t>Appendix C — Research confidence and open questions</w:t>
      </w:r>
    </w:p>
    <w:tbl>
      <w:tblPr>
        <w:tblW w:type="auto" w:w="0"/>
        <w:jc w:val="center"/>
        <w:tblLayout w:type="fixed"/>
        <w:tblLook w:firstColumn="1" w:firstRow="1" w:lastColumn="0" w:lastRow="0" w:noHBand="0" w:noVBand="1" w:val="04A0"/>
        <w:tblBorders>
          <w:top w:val="single" w:sz="4" w:space="0" w:color="D9E1E8"/>
          <w:left w:val="single" w:sz="4" w:space="0" w:color="D9E1E8"/>
          <w:bottom w:val="single" w:sz="4" w:space="0" w:color="D9E1E8"/>
          <w:right w:val="single" w:sz="4" w:space="0" w:color="D9E1E8"/>
          <w:insideH w:val="single" w:sz="4" w:space="0" w:color="D9E1E8"/>
          <w:insideV w:val="single" w:sz="4" w:space="0" w:color="D9E1E8"/>
        </w:tblBorders>
      </w:tblPr>
      <w:tblGrid>
        <w:gridCol w:w="3120"/>
        <w:gridCol w:w="3120"/>
        <w:gridCol w:w="3120"/>
      </w:tblGrid>
      <w:tr>
        <w:trPr>
          <w:tblHeader w:val="true"/>
        </w:trPr>
        <w:tc>
          <w:tcPr>
            <w:tcW w:type="dxa" w:w="1944"/>
            <w:shd w:fill="F4F6F9"/>
            <w:tcMar>
              <w:top w:w="80" w:type="dxa"/>
              <w:start w:w="120" w:type="dxa"/>
              <w:bottom w:w="80" w:type="dxa"/>
              <w:end w:w="120" w:type="dxa"/>
            </w:tcMar>
            <w:vAlign w:val="center"/>
          </w:tcPr>
          <w:p>
            <w:r>
              <w:rPr>
                <w:rFonts w:ascii="Calibri" w:hAnsi="Calibri" w:eastAsia="Calibri" w:cs="Calibri"/>
                <w:b/>
                <w:color w:val="1F4D78"/>
                <w:sz w:val="17"/>
              </w:rPr>
              <w:t>Claim class</w:t>
            </w:r>
          </w:p>
        </w:tc>
        <w:tc>
          <w:tcPr>
            <w:tcW w:type="dxa" w:w="2880"/>
            <w:shd w:fill="F4F6F9"/>
            <w:tcMar>
              <w:top w:w="80" w:type="dxa"/>
              <w:start w:w="120" w:type="dxa"/>
              <w:bottom w:w="80" w:type="dxa"/>
              <w:end w:w="120" w:type="dxa"/>
            </w:tcMar>
            <w:vAlign w:val="center"/>
          </w:tcPr>
          <w:p>
            <w:r>
              <w:rPr>
                <w:rFonts w:ascii="Calibri" w:hAnsi="Calibri" w:eastAsia="Calibri" w:cs="Calibri"/>
                <w:b/>
                <w:color w:val="1F4D78"/>
                <w:sz w:val="17"/>
              </w:rPr>
              <w:t>Confidence</w:t>
            </w:r>
          </w:p>
        </w:tc>
        <w:tc>
          <w:tcPr>
            <w:tcW w:type="dxa" w:w="4536"/>
            <w:shd w:fill="F4F6F9"/>
            <w:tcMar>
              <w:top w:w="80" w:type="dxa"/>
              <w:start w:w="120" w:type="dxa"/>
              <w:bottom w:w="80" w:type="dxa"/>
              <w:end w:w="120" w:type="dxa"/>
            </w:tcMar>
            <w:vAlign w:val="center"/>
          </w:tcPr>
          <w:p>
            <w:r>
              <w:rPr>
                <w:rFonts w:ascii="Calibri" w:hAnsi="Calibri" w:eastAsia="Calibri" w:cs="Calibri"/>
                <w:b/>
                <w:color w:val="1F4D78"/>
                <w:sz w:val="17"/>
              </w:rPr>
              <w:t>Examples</w:t>
            </w:r>
          </w:p>
        </w:tc>
      </w:tr>
      <w:tr>
        <w:tc>
          <w:tcPr>
            <w:tcW w:type="dxa" w:w="194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Very high</w:t>
            </w:r>
          </w:p>
        </w:tc>
        <w:tc>
          <w:tcPr>
            <w:tcW w:type="dxa" w:w="2880"/>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Direct measurement / mature theory</w:t>
            </w:r>
          </w:p>
        </w:tc>
        <w:tc>
          <w:tcPr>
            <w:tcW w:type="dxa" w:w="4536"/>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Solar distance, mass, radius, luminosity, spectrum, pp-chain dominance, day-night geometry.</w:t>
            </w:r>
          </w:p>
        </w:tc>
      </w:tr>
      <w:tr>
        <w:tc>
          <w:tcPr>
            <w:tcW w:type="dxa" w:w="194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High</w:t>
            </w:r>
          </w:p>
        </w:tc>
        <w:tc>
          <w:tcPr>
            <w:tcW w:type="dxa" w:w="2880"/>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Strong model-observation agreement</w:t>
            </w:r>
          </w:p>
        </w:tc>
        <w:tc>
          <w:tcPr>
            <w:tcW w:type="dxa" w:w="4536"/>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Solar age, interior structure from helioseismology, main-sequence future, white-dwarf endpoint.</w:t>
            </w:r>
          </w:p>
        </w:tc>
      </w:tr>
      <w:tr>
        <w:tc>
          <w:tcPr>
            <w:tcW w:type="dxa" w:w="194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Moderate / model-dependent</w:t>
            </w:r>
          </w:p>
        </w:tc>
        <w:tc>
          <w:tcPr>
            <w:tcW w:type="dxa" w:w="2880"/>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Sensitive to climate or stellar assumptions</w:t>
            </w:r>
          </w:p>
        </w:tc>
        <w:tc>
          <w:tcPr>
            <w:tcW w:type="dxa" w:w="4536"/>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Exact future habitability limit; detailed giant-phase timetable; Earth engulfment.</w:t>
            </w:r>
          </w:p>
        </w:tc>
      </w:tr>
      <w:tr>
        <w:tc>
          <w:tcPr>
            <w:tcW w:type="dxa" w:w="194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Active research</w:t>
            </w:r>
          </w:p>
        </w:tc>
        <w:tc>
          <w:tcPr>
            <w:tcW w:type="dxa" w:w="2880"/>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Mechanism incomplete</w:t>
            </w:r>
          </w:p>
        </w:tc>
        <w:tc>
          <w:tcPr>
            <w:tcW w:type="dxa" w:w="4536"/>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Coronal heating, detailed solar dynamo prediction, extreme-event forecasting.</w:t>
            </w:r>
          </w:p>
        </w:tc>
      </w:tr>
      <w:tr>
        <w:tc>
          <w:tcPr>
            <w:tcW w:type="dxa" w:w="194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Philosophical / theological</w:t>
            </w:r>
          </w:p>
        </w:tc>
        <w:tc>
          <w:tcPr>
            <w:tcW w:type="dxa" w:w="2880"/>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Not settled by measurement alone</w:t>
            </w:r>
          </w:p>
        </w:tc>
        <w:tc>
          <w:tcPr>
            <w:tcW w:type="dxa" w:w="4536"/>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Design, providence, occasionalism, the metaphysical force of natural law.</w:t>
            </w:r>
          </w:p>
        </w:tc>
      </w:tr>
      <w:tr>
        <w:tc>
          <w:tcPr>
            <w:tcW w:type="dxa" w:w="1944"/>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Hermeneutic</w:t>
            </w:r>
          </w:p>
        </w:tc>
        <w:tc>
          <w:tcPr>
            <w:tcW w:type="dxa" w:w="2880"/>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Controlled by language, context, and method</w:t>
            </w:r>
          </w:p>
        </w:tc>
        <w:tc>
          <w:tcPr>
            <w:tcW w:type="dxa" w:w="4536"/>
            <w:tcMar>
              <w:top w:w="80" w:type="dxa"/>
              <w:start w:w="120" w:type="dxa"/>
              <w:bottom w:w="80" w:type="dxa"/>
              <w:end w:w="120" w:type="dxa"/>
            </w:tcMar>
            <w:vAlign w:val="top"/>
          </w:tcPr>
          <w:p>
            <w:pPr>
              <w:spacing w:after="0" w:line="269" w:lineRule="auto"/>
            </w:pPr>
            <w:r>
              <w:rPr>
                <w:rFonts w:ascii="Calibri" w:hAnsi="Calibri" w:eastAsia="Calibri" w:cs="Calibri"/>
                <w:color w:val="1E2933"/>
                <w:sz w:val="17"/>
              </w:rPr>
              <w:t>Whether a modern scientific parallel is meaning, application, or resonance.</w:t>
            </w:r>
          </w:p>
        </w:tc>
      </w:tr>
    </w:tbl>
    <w:p>
      <w:pPr>
        <w:spacing w:after="20"/>
      </w:pPr>
    </w:p>
    <w:p>
      <w:pPr>
        <w:pStyle w:val="Heading1"/>
        <w:keepNext/>
      </w:pPr>
      <w:r>
        <w:t>Source notes</w:t>
      </w:r>
    </w:p>
    <w:p>
      <w:r>
        <w:rPr>
          <w:i w:val="0"/>
        </w:rPr>
        <w:t>Primary scientific agencies and peer-reviewed sources were preferred. Web pages were accessed 2 September 2026. Qur’anic translations are presented for comparison; Arabic remains primary. Multiple source numbers in brackets indicate convergent support rather than a claim that every cited item states every sentence in the paragraph.</w:t>
      </w:r>
    </w:p>
    <w:p>
      <w:pPr>
        <w:spacing w:after="40" w:line="240" w:lineRule="auto"/>
        <w:ind w:left="259" w:hanging="259"/>
      </w:pPr>
      <w:r>
        <w:rPr>
          <w:rFonts w:ascii="Calibri" w:hAnsi="Calibri" w:eastAsia="Calibri" w:cs="Calibri"/>
          <w:color w:val="1E2933"/>
          <w:sz w:val="18"/>
        </w:rPr>
        <w:t xml:space="preserve">[1] The Qur’an: Arabic text, translations, and verse context. </w:t>
      </w:r>
      <w:hyperlink r:id="rId11">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[2] Hamid al-Din Farahi, A Study of the Qur’anic Oaths. </w:t>
      </w:r>
      <w:hyperlink r:id="rId12">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[3] Zia H. Shah MD, Qur’anic Oaths category (complete category audit). </w:t>
      </w:r>
      <w:hyperlink r:id="rId13">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[4] Zia H. Shah MD, Night and Day as Divine Testimony in Qur’anic Oaths. </w:t>
      </w:r>
      <w:hyperlink r:id="rId14">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[5] Zia H. Shah MD, Quranic Oaths by the Sun. </w:t>
      </w:r>
      <w:hyperlink r:id="rId15">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[6] The Stars That Recede … the Dawn That Breathes (presented for Zia H. Shah MD). </w:t>
      </w:r>
      <w:hyperlink r:id="rId16">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[7] The Lord of Every Sunrise and Sunset (presented for Zia H. Shah MD). </w:t>
      </w:r>
      <w:hyperlink r:id="rId17">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[8] Zia H. Shah MD, Oaths in the Qur’an: Nature’s Testimony. </w:t>
      </w:r>
      <w:hyperlink r:id="rId18">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[9] Ninety Oaths and the Last Laugh of al-Ghazali. </w:t>
      </w:r>
      <w:hyperlink r:id="rId19">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[10] NASA, Our Sun: Facts. </w:t>
      </w:r>
      <w:hyperlink r:id="rId20">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[11] NASA Marshall Solar Physics, The Solar Interior. </w:t>
      </w:r>
      <w:hyperlink r:id="rId21">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[12] American Physical Society, What Makes the Stars Shine?. </w:t>
      </w:r>
      <w:hyperlink r:id="rId22">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[13] American Physical Society, Elemental Accounting of the Solar Interior. </w:t>
      </w:r>
      <w:hyperlink r:id="rId23">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[14] NASA HEASARC, Seeing Inside the Sun: solar neutrino oscillations. </w:t>
      </w:r>
      <w:hyperlink r:id="rId24">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[15] NASA, Solar Irradiance Science. </w:t>
      </w:r>
      <w:hyperlink r:id="rId25">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[16] NASA, Solar System Facts. </w:t>
      </w:r>
      <w:hyperlink r:id="rId26">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[17] NASA, About the Planets. </w:t>
      </w:r>
      <w:hyperlink r:id="rId27">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[18] NASA, Kuiper Belt. </w:t>
      </w:r>
      <w:hyperlink r:id="rId28">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[19] NASA, Oort Cloud Facts. </w:t>
      </w:r>
      <w:hyperlink r:id="rId29">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[20] NASA, The Habitable Zone. </w:t>
      </w:r>
      <w:hyperlink r:id="rId30">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[21] NASA, Earth’s Magnetosphere. </w:t>
      </w:r>
      <w:hyperlink r:id="rId31">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[22] NOAA Space Weather Prediction Center, Earth’s Magnetosphere. </w:t>
      </w:r>
      <w:hyperlink r:id="rId32">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[23] NASA, What Is Earth’s Atmosphere?. </w:t>
      </w:r>
      <w:hyperlink r:id="rId33">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[24] NASA, Heliosphere. </w:t>
      </w:r>
      <w:hyperlink r:id="rId34">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[25] NOAA, Coronal Mass Ejections and Solar Flares. </w:t>
      </w:r>
      <w:hyperlink r:id="rId35">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[26] NASA, Types of Stars. </w:t>
      </w:r>
      <w:hyperlink r:id="rId36">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[27] NASA, Cosmic History. </w:t>
      </w:r>
      <w:hyperlink r:id="rId37">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[28] NASA History, Spots, Waves and Wind: A Solar Science Timeline. </w:t>
      </w:r>
      <w:hyperlink r:id="rId38">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[29] Feulner, The Faint Young Sun Problem, Reviews of Geophysics (2012). </w:t>
      </w:r>
      <w:hyperlink r:id="rId39">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[30] Wolf and Toon, The Evolution of Habitable Climates under the Brightening Sun. </w:t>
      </w:r>
      <w:hyperlink r:id="rId40">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[31] Schröder and Smith, Distant Future of the Sun and Earth Revisited. </w:t>
      </w:r>
      <w:hyperlink r:id="rId41">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[32] Esseldeurs et al., The Fate of Earth During the Sun’s Giant Phases (2026 preprint). </w:t>
      </w:r>
      <w:hyperlink r:id="rId42">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[33] NASA, Aging into Gianthood. </w:t>
      </w:r>
      <w:hyperlink r:id="rId43">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[34] NASA, Stars in an Exoplanet World. </w:t>
      </w:r>
      <w:hyperlink r:id="rId44">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[35] Nobel Prize 2017, Molecular Mechanisms Controlling Circadian Rhythm. </w:t>
      </w:r>
      <w:hyperlink r:id="rId45">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[36] UNESCO Astronomy and World Heritage, Islamic Astronomy. </w:t>
      </w:r>
      <w:hyperlink r:id="rId46">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[37] Metropolitan Museum of Art, Astronomy and Astrology in the Medieval Islamic World. </w:t>
      </w:r>
      <w:hyperlink r:id="rId47">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[38] Dutra, Aryabhata and Axial Rotation of Earth. </w:t>
      </w:r>
      <w:hyperlink r:id="rId48">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[39] Encyclopaedia Iranica, Astrology and Astronomy in Iran. </w:t>
      </w:r>
      <w:hyperlink r:id="rId49">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[40] NASA, Ancient Chinese Eclipse Records. </w:t>
      </w:r>
      <w:hyperlink r:id="rId50">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[41] Library of Congress, Ancient Greek Astronomy and Cosmology. </w:t>
      </w:r>
      <w:hyperlink r:id="rId51">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[42] Kasting et al., Remote Life-Detection Criteria and Habitable-Zone Boundaries. </w:t>
      </w:r>
      <w:hyperlink r:id="rId52">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[43] NASA, Rayleigh scattering glossary. </w:t>
      </w:r>
      <w:hyperlink r:id="rId53">
        <w:r>
          <w:rPr>
            <w:color w:val="2E74B5"/>
            <w:rFonts w:ascii="Calibri" w:hAnsi="Calibri" w:cs="Calibri"/>
            <w:sz w:val="18"/>
          </w:rPr>
          <w:t>Open source</w:t>
        </w:r>
      </w:hyperlink>
    </w:p>
    <w:p>
      <w:pPr>
        <w:spacing w:after="40" w:line="240" w:lineRule="auto"/>
        <w:ind w:left="259" w:hanging="259"/>
      </w:pPr>
      <w:r>
        <w:rPr>
          <w:rFonts w:ascii="Calibri" w:hAnsi="Calibri" w:eastAsia="Calibri" w:cs="Calibri"/>
          <w:color w:val="1E2933"/>
          <w:sz w:val="18"/>
        </w:rPr>
        <w:t xml:space="preserve">[44] Haqq-Misra and Wolf, Maximum Lifetime of the Vegetative Biosphere (2026). </w:t>
      </w:r>
      <w:hyperlink r:id="rId54">
        <w:r>
          <w:rPr>
            <w:color w:val="2E74B5"/>
            <w:rFonts w:ascii="Calibri" w:hAnsi="Calibri" w:cs="Calibri"/>
            <w:sz w:val="18"/>
          </w:rPr>
          <w:t>Open source</w:t>
        </w:r>
      </w:hyperlink>
    </w:p>
    <w:sectPr w:rsidR="00FC693F" w:rsidRPr="0006063C" w:rsidSect="00034616">
      <w:headerReference w:type="default" r:id="rId9"/>
      <w:footerReference w:type="default" r:id="rId10"/>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eastAsia="Calibri" w:cs="Calibri"/>
        <w:color w:val="5B6873"/>
        <w:sz w:val="17"/>
      </w:rPr>
      <w:t>Deep Research monograph  •  2 September 2026</w:t>
    </w:r>
    <w:r>
      <w:t xml:space="preserve">          </w:t>
    </w:r>
    <w:r>
      <w:rPr>
        <w:rFonts w:ascii="Calibri" w:hAnsi="Calibri" w:eastAsia="Calibri" w:cs="Calibri"/>
        <w:color w:val="5B6873"/>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8" w:space="3" w:color="2E74B5"/>
      </w:pBdr>
    </w:pPr>
    <w:r>
      <w:rPr>
        <w:rFonts w:ascii="Calibri" w:hAnsi="Calibri" w:eastAsia="Calibri" w:cs="Calibri"/>
        <w:b/>
        <w:color w:val="5B6873"/>
        <w:sz w:val="17"/>
      </w:rPr>
      <w:t>BY THE SUN, THE DAWN, AND THE DAY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320" w:lineRule="auto"/>
      <w:jc w:val="both"/>
    </w:pPr>
    <w:rPr>
      <w:rFonts w:ascii="Calibri" w:hAnsi="Calibri" w:cs="Calibri"/>
      <w:color w:val="1E29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abicVerse">
    <w:name w:val="Arabic Verse"/>
    <w:pPr>
      <w:spacing w:before="120" w:after="160" w:line="300" w:lineRule="auto"/>
      <w:jc w:val="center"/>
    </w:pPr>
    <w:rPr>
      <w:rFonts w:ascii="DejaVu Sans" w:hAnsi="DejaVu Sans" w:cs="DejaVu Sans"/>
      <w:color w:val="1F4D78"/>
      <w:sz w:val="3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quran.com/" TargetMode="External"/><Relationship Id="rId12" Type="http://schemas.openxmlformats.org/officeDocument/2006/relationships/hyperlink" Target="https://archive.org/download/292487-tafsir-e-bismillah-va-sura-e-fatiha-1/281274766-A-Study-of-the-Quranic-Oaths.pdf" TargetMode="External"/><Relationship Id="rId13" Type="http://schemas.openxmlformats.org/officeDocument/2006/relationships/hyperlink" Target="https://thequran.love/category/quranic-oaths/" TargetMode="External"/><Relationship Id="rId14" Type="http://schemas.openxmlformats.org/officeDocument/2006/relationships/hyperlink" Target="https://thequran.love/2026/03/07/night-and-day-as-divine-testimony-in-quranic-oaths/" TargetMode="External"/><Relationship Id="rId15" Type="http://schemas.openxmlformats.org/officeDocument/2006/relationships/hyperlink" Target="https://thequran.love/2025/05/21/quranic-oaths-by-the-sun-classical-insights-and-modern-scientific-reflections/" TargetMode="External"/><Relationship Id="rId16" Type="http://schemas.openxmlformats.org/officeDocument/2006/relationships/hyperlink" Target="https://thequran.love/2026/08/20/the-stars-that-recede-the-night-that-departs-the-dawn-that-breathes-a-scientific-philosophical-and-theological-commentary-on-qur%CA%BEan-8115-19/" TargetMode="External"/><Relationship Id="rId17" Type="http://schemas.openxmlformats.org/officeDocument/2006/relationships/hyperlink" Target="https://thequran.love/2026/07/13/the-lord-of-every-sunrise-and-sunset/" TargetMode="External"/><Relationship Id="rId18" Type="http://schemas.openxmlformats.org/officeDocument/2006/relationships/hyperlink" Target="https://thequran.love/2025/05/19/oaths-in-the-quran-natures-testimony-to-tawhid-resurrection-and-revelation/" TargetMode="External"/><Relationship Id="rId19" Type="http://schemas.openxmlformats.org/officeDocument/2006/relationships/hyperlink" Target="https://thequran.love/2026/04/22/ninety-oaths-and-the-last-laugh-of-al-ghazali/" TargetMode="External"/><Relationship Id="rId20" Type="http://schemas.openxmlformats.org/officeDocument/2006/relationships/hyperlink" Target="https://science.nasa.gov/sun/facts/" TargetMode="External"/><Relationship Id="rId21" Type="http://schemas.openxmlformats.org/officeDocument/2006/relationships/hyperlink" Target="https://solarscience.msfc.nasa.gov/interior.shtml" TargetMode="External"/><Relationship Id="rId22" Type="http://schemas.openxmlformats.org/officeDocument/2006/relationships/hyperlink" Target="https://link.aps.org/doi/10.1103/PhysRevFocus.21.3" TargetMode="External"/><Relationship Id="rId23" Type="http://schemas.openxmlformats.org/officeDocument/2006/relationships/hyperlink" Target="https://physics.aps.org/articles/v15/190" TargetMode="External"/><Relationship Id="rId24" Type="http://schemas.openxmlformats.org/officeDocument/2006/relationships/hyperlink" Target="https://heasarc.gsfc.nasa.gov/docs/objects/heapow/archive/solar_system/superk_sun.html" TargetMode="External"/><Relationship Id="rId25" Type="http://schemas.openxmlformats.org/officeDocument/2006/relationships/hyperlink" Target="https://earth.gsfc.nasa.gov/climate/projects/solar-irradiance/science" TargetMode="External"/><Relationship Id="rId26" Type="http://schemas.openxmlformats.org/officeDocument/2006/relationships/hyperlink" Target="https://science.nasa.gov/solar-system/solar-system-facts/" TargetMode="External"/><Relationship Id="rId27" Type="http://schemas.openxmlformats.org/officeDocument/2006/relationships/hyperlink" Target="https://science.nasa.gov/solar-system/planets/" TargetMode="External"/><Relationship Id="rId28" Type="http://schemas.openxmlformats.org/officeDocument/2006/relationships/hyperlink" Target="https://science.nasa.gov/solar-system/kuiper-belt/" TargetMode="External"/><Relationship Id="rId29" Type="http://schemas.openxmlformats.org/officeDocument/2006/relationships/hyperlink" Target="https://science.nasa.gov/solar-system/oort-cloud/facts/" TargetMode="External"/><Relationship Id="rId30" Type="http://schemas.openxmlformats.org/officeDocument/2006/relationships/hyperlink" Target="https://science.nasa.gov/exoplanets/habitable-zone/" TargetMode="External"/><Relationship Id="rId31" Type="http://schemas.openxmlformats.org/officeDocument/2006/relationships/hyperlink" Target="https://science.nasa.gov/science-research/earth-science/earths-magnetosphere-protecting-our-planet-from-harmful-space-energy/" TargetMode="External"/><Relationship Id="rId32" Type="http://schemas.openxmlformats.org/officeDocument/2006/relationships/hyperlink" Target="https://www.swpc.noaa.gov/phenomena/earths-magnetosphere" TargetMode="External"/><Relationship Id="rId33" Type="http://schemas.openxmlformats.org/officeDocument/2006/relationships/hyperlink" Target="https://www.nasa.gov/general/what-is-earths-atmosphere/" TargetMode="External"/><Relationship Id="rId34" Type="http://schemas.openxmlformats.org/officeDocument/2006/relationships/hyperlink" Target="https://science.nasa.gov/heliophysics/focus-areas/heliosphere/" TargetMode="External"/><Relationship Id="rId35" Type="http://schemas.openxmlformats.org/officeDocument/2006/relationships/hyperlink" Target="https://www.swpc.noaa.gov/phenomena/coronal-mass-ejections" TargetMode="External"/><Relationship Id="rId36" Type="http://schemas.openxmlformats.org/officeDocument/2006/relationships/hyperlink" Target="https://science.nasa.gov/universe/stars/types/" TargetMode="External"/><Relationship Id="rId37" Type="http://schemas.openxmlformats.org/officeDocument/2006/relationships/hyperlink" Target="https://science.nasa.gov/universe/overview/" TargetMode="External"/><Relationship Id="rId38" Type="http://schemas.openxmlformats.org/officeDocument/2006/relationships/hyperlink" Target="https://www.nasa.gov/history/spots-waves-and-wind-a-solar-science-timeline-full-text/" TargetMode="External"/><Relationship Id="rId39" Type="http://schemas.openxmlformats.org/officeDocument/2006/relationships/hyperlink" Target="https://agupubs.onlinelibrary.wiley.com/doi/full/10.1029/2011RG000375" TargetMode="External"/><Relationship Id="rId40" Type="http://schemas.openxmlformats.org/officeDocument/2006/relationships/hyperlink" Target="https://agupubs.onlinelibrary.wiley.com/doi/full/10.1002/2015JD023302" TargetMode="External"/><Relationship Id="rId41" Type="http://schemas.openxmlformats.org/officeDocument/2006/relationships/hyperlink" Target="https://academic.oup.com/mnras/article/386/1/155/977315" TargetMode="External"/><Relationship Id="rId42" Type="http://schemas.openxmlformats.org/officeDocument/2006/relationships/hyperlink" Target="https://arxiv.org/html/2606.19575v1" TargetMode="External"/><Relationship Id="rId43" Type="http://schemas.openxmlformats.org/officeDocument/2006/relationships/hyperlink" Target="https://science.nasa.gov/exoplanets/resources/life-and-death/chapter-6/" TargetMode="External"/><Relationship Id="rId44" Type="http://schemas.openxmlformats.org/officeDocument/2006/relationships/hyperlink" Target="https://science.nasa.gov/exoplanets/stars/" TargetMode="External"/><Relationship Id="rId45" Type="http://schemas.openxmlformats.org/officeDocument/2006/relationships/hyperlink" Target="https://www.nobelprize.org/prizes/medicine/2017/advanced-information/" TargetMode="External"/><Relationship Id="rId46" Type="http://schemas.openxmlformats.org/officeDocument/2006/relationships/hyperlink" Target="https://web.astronomicalheritage.net/show-theme?idtheme=15" TargetMode="External"/><Relationship Id="rId47" Type="http://schemas.openxmlformats.org/officeDocument/2006/relationships/hyperlink" Target="https://www.metmuseum.org/essays/astronomy-and-astrology-in-the-medieval-islamic-world" TargetMode="External"/><Relationship Id="rId48" Type="http://schemas.openxmlformats.org/officeDocument/2006/relationships/hyperlink" Target="https://www.ias.ac.in/article/fulltext/reso/011/05/0058-0072" TargetMode="External"/><Relationship Id="rId49" Type="http://schemas.openxmlformats.org/officeDocument/2006/relationships/hyperlink" Target="https://www.iranicaonline.org/articles/astrology-and-astronomy-in-iran/" TargetMode="External"/><Relationship Id="rId50" Type="http://schemas.openxmlformats.org/officeDocument/2006/relationships/hyperlink" Target="https://science.gsfc.nasa.gov/attic/sunearthday.nasa.gov/2009eclipse/ancienteclipses.php" TargetMode="External"/><Relationship Id="rId51" Type="http://schemas.openxmlformats.org/officeDocument/2006/relationships/hyperlink" Target="https://www.loc.gov/collections/finding-our-place-in-the-cosmos-with-carl-sagan/articles-and-essays/modeling-the-cosmos/ancient-greek-astronomy-and-cosmology" TargetMode="External"/><Relationship Id="rId52" Type="http://schemas.openxmlformats.org/officeDocument/2006/relationships/hyperlink" Target="https://www.pnas.org/doi/10.1073/pnas.1309107110" TargetMode="External"/><Relationship Id="rId53" Type="http://schemas.openxmlformats.org/officeDocument/2006/relationships/hyperlink" Target="https://science.nasa.gov/universe/glossary/" TargetMode="External"/><Relationship Id="rId54" Type="http://schemas.openxmlformats.org/officeDocument/2006/relationships/hyperlink" Target="https://agupubs.onlinelibrary.wiley.com/doi/10.1029/2025JD0455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 the Sun, the Dawn, and the Day</dc:title>
  <dc:subject>Qur’anic solar oaths, heliophysics, cosmology, philosophy, and theology</dc:subject>
  <dc:creator>Prepared for Zia H. Shah, MD</dc:creator>
  <cp:keywords>Quran, Sun, dawn, day, oaths, fusion, solar system, cosmology, theology</cp:keywords>
  <dc:description>generated by python-docx</dc:description>
  <cp:lastModifiedBy/>
  <cp:revision>1</cp:revision>
  <dcterms:created xsi:type="dcterms:W3CDTF">2013-12-23T23:15:00Z</dcterms:created>
  <dcterms:modified xsi:type="dcterms:W3CDTF">2013-12-23T23:15:00Z</dcterms:modified>
  <cp:category/>
</cp:coreProperties>
</file>