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760" w:after="280"/>
        <w:jc w:val="center"/>
        <w:widowControl w:val="1"/>
      </w:pPr>
      <w:r>
        <w:rPr>
          <w:rFonts w:ascii="Calibri" w:hAnsi="Calibri" w:cs="Calibri"/>
          <w:b/>
          <w:color w:val="2E74B5"/>
          <w:sz w:val="20"/>
        </w:rPr>
        <w:t>THEMATIC QUR’ANIC COMMENTARY</w:t>
      </w:r>
    </w:p>
    <w:p>
      <w:pPr>
        <w:spacing w:after="200"/>
        <w:jc w:val="center"/>
        <w:widowControl w:val="1"/>
      </w:pPr>
      <w:r>
        <w:rPr>
          <w:rFonts w:ascii="Calibri" w:hAnsi="Calibri" w:cs="Calibri"/>
          <w:b/>
          <w:color w:val="203748"/>
          <w:sz w:val="60"/>
        </w:rPr>
        <w:t>The Kingdom, the Test,</w:t>
        <w:br/>
        <w:t>and the Spring</w:t>
      </w:r>
    </w:p>
    <w:p>
      <w:pPr>
        <w:spacing w:after="640"/>
        <w:jc w:val="center"/>
        <w:widowControl w:val="1"/>
      </w:pPr>
      <w:r>
        <w:rPr>
          <w:rFonts w:ascii="Calibri" w:hAnsi="Calibri" w:cs="Calibri"/>
          <w:i/>
          <w:color w:val="1F4D78"/>
          <w:sz w:val="30"/>
        </w:rPr>
        <w:t>A Scientific, Philosophical, and Theological</w:t>
        <w:br/>
        <w:t>Commentary on Surah al-Mulk</w:t>
      </w:r>
    </w:p>
    <w:p>
      <w:pPr>
        <w:spacing w:after="120"/>
        <w:jc w:val="center"/>
        <w:widowControl w:val="1"/>
      </w:pPr>
      <w:r>
        <w:rPr>
          <w:rFonts w:ascii="Calibri" w:hAnsi="Calibri" w:cs="Calibri"/>
          <w:color w:val="666666"/>
          <w:sz w:val="21"/>
        </w:rPr>
        <w:t>Classical and contemporary tafsīr in conversation with the writings of Zia H. Shah, MD</w:t>
      </w:r>
    </w:p>
    <w:p>
      <w:pPr>
        <w:spacing w:before="1500" w:after="0"/>
        <w:jc w:val="center"/>
        <w:widowControl w:val="1"/>
      </w:pPr>
      <w:r>
        <w:rPr>
          <w:rFonts w:ascii="Calibri" w:hAnsi="Calibri" w:cs="Calibri"/>
          <w:b/>
          <w:color w:val="203748"/>
          <w:sz w:val="22"/>
        </w:rPr>
        <w:t>Surah 67 • Thirty Verses</w:t>
      </w:r>
    </w:p>
    <w:p>
      <w:pPr>
        <w:widowControl w:val="1"/>
      </w:pPr>
      <w:r>
        <w:br w:type="page"/>
      </w:r>
    </w:p>
    <w:p>
      <w:pPr>
        <w:pStyle w:val="Heading1"/>
        <w:widowControl w:val="1"/>
      </w:pPr>
      <w:r>
        <w:t>Abstract</w:t>
      </w:r>
    </w:p>
    <w:p>
      <w:pPr>
        <w:widowControl w:val="1"/>
      </w:pPr>
      <w:r>
        <w:rPr>
          <w:rFonts w:ascii="Calibri" w:hAnsi="Calibri" w:cs="Calibri"/>
        </w:rPr>
        <w:t xml:space="preserve">Surah al-Mulk is a compact theology of reality. Its thirty verses begin with God’s absolute sovereignty, the creation of death and life as a moral trial, and the ordered beauty of the heavens; they end with an elemental question: if our water were to sink beyond reach, who could restore flowing water? Between those poles, the surah moves repeatedly from the cosmic to the intimate, from the visible to the hidden, and from present providence to future resurrection. The God who holds the kingdom in His hand also knows what breasts conceal (vv. 13–14), makes the earth traversable and provides its nourishment (v. 15), holds birds aloft under the name </w:t>
      </w:r>
      <w:r>
        <w:rPr>
          <w:rFonts w:ascii="Calibri" w:hAnsi="Calibri" w:cs="Calibri"/>
          <w:i/>
        </w:rPr>
        <w:t>al-Raḥmān</w:t>
      </w:r>
      <w:r>
        <w:rPr>
          <w:rFonts w:ascii="Calibri" w:hAnsi="Calibri" w:cs="Calibri"/>
        </w:rPr>
        <w:t xml:space="preserve"> (v. 19), grants hearing, sight, and hearts (v. 23), disperses humanity through the earth and promises to gather it again (v. 24), and finally confronts it with its dependence on accessible water (v. 30). The surah’s scientific significance lies not in encoding technical theories but in directing disciplined attention toward an intelligible, life-permitting, and precariously sustained world. Philosophically, it joins empirical observation to rational and moral inference, rebuking those who neither listen nor reason. Theologically, it presents providence and judgment as two aspects of one sovereignty: life’s gifts make gratitude possible, freedom makes testing meaningful, revelation makes accountability just, and the first creation makes the promised new creation intelligible. Classical commentators—especially al-Ṭabarī, al-Rāzī, al-Qurṭubī, and Ibn Kathīr—supply the linguistic, rational, and transmitted foundations; contemporary commentators deepen the surah’s coherence and existential force. Read alongside the writings of Zia H. Shah, MD, the surah becomes a particularly luminous meeting place of the “book of revelation” and the “book of nature,” while retaining the crucial distinction between scientific description, philosophical inference, and revealed eschatological promise.</w:t>
      </w:r>
    </w:p>
    <w:p>
      <w:pPr>
        <w:pStyle w:val="Heading1"/>
        <w:widowControl w:val="1"/>
      </w:pPr>
      <w:r>
        <w:t>The surah as a single argument</w:t>
      </w:r>
    </w:p>
    <w:p>
      <w:pPr>
        <w:widowControl w:val="1"/>
      </w:pPr>
      <w:r>
        <w:rPr>
          <w:rFonts w:ascii="Calibri" w:hAnsi="Calibri" w:cs="Calibri"/>
        </w:rPr>
        <w:t xml:space="preserve">Surah al-Mulk is generally regarded as an early Makkan surah. It contains no extended narrative and very little historical particularity. Its method is direct: it addresses the human being beneath every civilization—the creature who looks upward, walks the earth, watches birds, depends on food and water, possesses hearing and sight, fears death, and wonders whether life has a final accounting. A well-known report states that a surah of thirty verses intercedes for its companion until he is forgiven, identifying it as </w:t>
      </w:r>
      <w:r>
        <w:rPr>
          <w:rFonts w:ascii="Calibri" w:hAnsi="Calibri" w:cs="Calibri"/>
          <w:i/>
        </w:rPr>
        <w:t>Tabāraka alladhī bi-yadihi al-mulk</w:t>
      </w:r>
      <w:r>
        <w:rPr>
          <w:rFonts w:ascii="Calibri" w:hAnsi="Calibri" w:cs="Calibri"/>
        </w:rPr>
        <w:t xml:space="preserve"> (Jāmiʿ al-Tirmidhī 2891; Sunan Abī Dāwūd 1400). The tradition is fitting: the surah “intercedes” not as a charm detached from meaning, but as a worldview repeatedly recited until sovereignty, gratitude, responsibility, and resurrection become habits of perception.</w:t>
      </w:r>
    </w:p>
    <w:p>
      <w:pPr>
        <w:widowControl w:val="1"/>
      </w:pPr>
      <w:r>
        <w:rPr>
          <w:rFonts w:ascii="Calibri" w:hAnsi="Calibri" w:cs="Calibri"/>
        </w:rPr>
        <w:t>The chapter’s progression may be outlined as follows:</w:t>
      </w:r>
    </w:p>
    <w:tbl>
      <w:tblPr>
        <w:tblStyle w:val="TableGrid"/>
        <w:tblW w:type="dxa" w:w="9360"/>
        <w:jc w:val="left"/>
        <w:tblLayout w:type="fixed"/>
        <w:tblLook w:firstColumn="1" w:firstRow="1" w:lastColumn="0" w:lastRow="0" w:noHBand="0" w:noVBand="1" w:val="04A0"/>
        <w:tblInd w:w="120" w:type="dxa"/>
        <w:tblCellMar>
          <w:top w:w="80" w:type="dxa"/>
          <w:start w:w="120" w:type="dxa"/>
          <w:bottom w:w="80" w:type="dxa"/>
          <w:end w:w="120" w:type="dxa"/>
        </w:tblCellMar>
      </w:tblPr>
      <w:tblGrid>
        <w:gridCol w:w="1100"/>
        <w:gridCol w:w="2860"/>
        <w:gridCol w:w="5400"/>
      </w:tblGrid>
      <w:tr>
        <w:trPr>
          <w:tblHeader w:val="true"/>
        </w:trPr>
        <w:tc>
          <w:tcPr>
            <w:tcW w:type="dxa" w:w="1100"/>
            <w:shd w:fill="F4F6F9"/>
            <w:vAlign w:val="center"/>
          </w:tcPr>
          <w:p>
            <w:pPr>
              <w:spacing w:before="0" w:after="0" w:line="276" w:lineRule="auto"/>
              <w:jc w:val="left"/>
            </w:pPr>
            <w:r>
              <w:rPr>
                <w:rFonts w:ascii="Calibri" w:hAnsi="Calibri" w:cs="Calibri"/>
                <w:b/>
                <w:color w:val="203748"/>
                <w:sz w:val="18"/>
              </w:rPr>
            </w:r>
            <w:r>
              <w:rPr>
                <w:rFonts w:ascii="Calibri" w:hAnsi="Calibri" w:cs="Calibri"/>
                <w:b/>
                <w:color w:val="203748"/>
                <w:sz w:val="18"/>
              </w:rPr>
              <w:t>Verses</w:t>
            </w:r>
          </w:p>
        </w:tc>
        <w:tc>
          <w:tcPr>
            <w:tcW w:type="dxa" w:w="2860"/>
            <w:shd w:fill="F4F6F9"/>
            <w:vAlign w:val="center"/>
          </w:tcPr>
          <w:p>
            <w:pPr>
              <w:spacing w:before="0" w:after="0" w:line="276" w:lineRule="auto"/>
              <w:jc w:val="left"/>
            </w:pPr>
            <w:r>
              <w:rPr>
                <w:rFonts w:ascii="Calibri" w:hAnsi="Calibri" w:cs="Calibri"/>
                <w:b/>
                <w:color w:val="203748"/>
                <w:sz w:val="18"/>
              </w:rPr>
            </w:r>
            <w:r>
              <w:rPr>
                <w:rFonts w:ascii="Calibri" w:hAnsi="Calibri" w:cs="Calibri"/>
                <w:b/>
                <w:color w:val="203748"/>
                <w:sz w:val="18"/>
              </w:rPr>
              <w:t>Dominant scene</w:t>
            </w:r>
          </w:p>
        </w:tc>
        <w:tc>
          <w:tcPr>
            <w:tcW w:type="dxa" w:w="5400"/>
            <w:shd w:fill="F4F6F9"/>
            <w:vAlign w:val="center"/>
          </w:tcPr>
          <w:p>
            <w:pPr>
              <w:spacing w:before="0" w:after="0" w:line="276" w:lineRule="auto"/>
              <w:jc w:val="left"/>
            </w:pPr>
            <w:r>
              <w:rPr>
                <w:rFonts w:ascii="Calibri" w:hAnsi="Calibri" w:cs="Calibri"/>
                <w:b/>
                <w:color w:val="203748"/>
                <w:sz w:val="18"/>
              </w:rPr>
            </w:r>
            <w:r>
              <w:rPr>
                <w:rFonts w:ascii="Calibri" w:hAnsi="Calibri" w:cs="Calibri"/>
                <w:b/>
                <w:color w:val="203748"/>
                <w:sz w:val="18"/>
              </w:rPr>
              <w:t>Thematic work</w:t>
            </w:r>
          </w:p>
        </w:tc>
      </w:tr>
      <w:tr>
        <w:tc>
          <w:tcPr>
            <w:tcW w:type="dxa" w:w="1100"/>
            <w:vAlign w:val="center"/>
          </w:tcPr>
          <w:p>
            <w:pPr>
              <w:spacing w:before="0" w:after="0" w:line="276" w:lineRule="auto"/>
              <w:jc w:val="left"/>
            </w:pPr>
            <w:r>
              <w:rPr>
                <w:rFonts w:ascii="Calibri" w:hAnsi="Calibri" w:cs="Calibri"/>
                <w:b w:val="0"/>
                <w:sz w:val="18"/>
              </w:rPr>
            </w:r>
            <w:r>
              <w:rPr>
                <w:rFonts w:ascii="Calibri" w:hAnsi="Calibri" w:cs="Calibri"/>
                <w:b w:val="0"/>
                <w:sz w:val="18"/>
              </w:rPr>
              <w:t>1–5</w:t>
            </w:r>
          </w:p>
        </w:tc>
        <w:tc>
          <w:tcPr>
            <w:tcW w:type="dxa" w:w="2860"/>
            <w:vAlign w:val="center"/>
          </w:tcPr>
          <w:p>
            <w:pPr>
              <w:spacing w:before="0" w:after="0" w:line="276" w:lineRule="auto"/>
              <w:jc w:val="left"/>
            </w:pPr>
            <w:r>
              <w:rPr>
                <w:rFonts w:ascii="Calibri" w:hAnsi="Calibri" w:cs="Calibri"/>
                <w:b w:val="0"/>
                <w:sz w:val="18"/>
              </w:rPr>
            </w:r>
            <w:r>
              <w:rPr>
                <w:rFonts w:ascii="Calibri" w:hAnsi="Calibri" w:cs="Calibri"/>
                <w:b w:val="0"/>
                <w:sz w:val="18"/>
              </w:rPr>
              <w:t>Sovereignty, death and life, layered heavens, lamps</w:t>
            </w:r>
          </w:p>
        </w:tc>
        <w:tc>
          <w:tcPr>
            <w:tcW w:type="dxa" w:w="5400"/>
            <w:vAlign w:val="center"/>
          </w:tcPr>
          <w:p>
            <w:pPr>
              <w:spacing w:before="0" w:after="0" w:line="276" w:lineRule="auto"/>
              <w:jc w:val="left"/>
            </w:pPr>
            <w:r>
              <w:rPr>
                <w:rFonts w:ascii="Calibri" w:hAnsi="Calibri" w:cs="Calibri"/>
                <w:b w:val="0"/>
                <w:sz w:val="18"/>
              </w:rPr>
            </w:r>
            <w:r>
              <w:rPr>
                <w:rFonts w:ascii="Calibri" w:hAnsi="Calibri" w:cs="Calibri"/>
                <w:b w:val="0"/>
                <w:sz w:val="18"/>
              </w:rPr>
              <w:t>Establishes divine rule, moral purpose, cosmic order, and the duty to look repeatedly</w:t>
            </w:r>
          </w:p>
        </w:tc>
      </w:tr>
      <w:tr>
        <w:tc>
          <w:tcPr>
            <w:tcW w:type="dxa" w:w="1100"/>
            <w:vAlign w:val="center"/>
          </w:tcPr>
          <w:p>
            <w:pPr>
              <w:spacing w:before="0" w:after="0" w:line="276" w:lineRule="auto"/>
              <w:jc w:val="left"/>
            </w:pPr>
            <w:r>
              <w:rPr>
                <w:rFonts w:ascii="Calibri" w:hAnsi="Calibri" w:cs="Calibri"/>
                <w:b w:val="0"/>
                <w:sz w:val="18"/>
              </w:rPr>
            </w:r>
            <w:r>
              <w:rPr>
                <w:rFonts w:ascii="Calibri" w:hAnsi="Calibri" w:cs="Calibri"/>
                <w:b w:val="0"/>
                <w:sz w:val="18"/>
              </w:rPr>
              <w:t>6–11</w:t>
            </w:r>
          </w:p>
        </w:tc>
        <w:tc>
          <w:tcPr>
            <w:tcW w:type="dxa" w:w="2860"/>
            <w:vAlign w:val="center"/>
          </w:tcPr>
          <w:p>
            <w:pPr>
              <w:spacing w:before="0" w:after="0" w:line="276" w:lineRule="auto"/>
              <w:jc w:val="left"/>
            </w:pPr>
            <w:r>
              <w:rPr>
                <w:rFonts w:ascii="Calibri" w:hAnsi="Calibri" w:cs="Calibri"/>
                <w:b w:val="0"/>
                <w:sz w:val="18"/>
              </w:rPr>
            </w:r>
            <w:r>
              <w:rPr>
                <w:rFonts w:ascii="Calibri" w:hAnsi="Calibri" w:cs="Calibri"/>
                <w:b w:val="0"/>
                <w:sz w:val="18"/>
              </w:rPr>
              <w:t>Hell, warning, confession</w:t>
            </w:r>
          </w:p>
        </w:tc>
        <w:tc>
          <w:tcPr>
            <w:tcW w:type="dxa" w:w="5400"/>
            <w:vAlign w:val="center"/>
          </w:tcPr>
          <w:p>
            <w:pPr>
              <w:spacing w:before="0" w:after="0" w:line="276" w:lineRule="auto"/>
              <w:jc w:val="left"/>
            </w:pPr>
            <w:r>
              <w:rPr>
                <w:rFonts w:ascii="Calibri" w:hAnsi="Calibri" w:cs="Calibri"/>
                <w:b w:val="0"/>
                <w:sz w:val="18"/>
              </w:rPr>
            </w:r>
            <w:r>
              <w:rPr>
                <w:rFonts w:ascii="Calibri" w:hAnsi="Calibri" w:cs="Calibri"/>
                <w:b w:val="0"/>
                <w:sz w:val="18"/>
              </w:rPr>
              <w:t>Shows the end of refusing revelation and failing to listen or reason</w:t>
            </w:r>
          </w:p>
        </w:tc>
      </w:tr>
      <w:tr>
        <w:tc>
          <w:tcPr>
            <w:tcW w:type="dxa" w:w="1100"/>
            <w:vAlign w:val="center"/>
          </w:tcPr>
          <w:p>
            <w:pPr>
              <w:spacing w:before="0" w:after="0" w:line="276" w:lineRule="auto"/>
              <w:jc w:val="left"/>
            </w:pPr>
            <w:r>
              <w:rPr>
                <w:rFonts w:ascii="Calibri" w:hAnsi="Calibri" w:cs="Calibri"/>
                <w:b w:val="0"/>
                <w:sz w:val="18"/>
              </w:rPr>
            </w:r>
            <w:r>
              <w:rPr>
                <w:rFonts w:ascii="Calibri" w:hAnsi="Calibri" w:cs="Calibri"/>
                <w:b w:val="0"/>
                <w:sz w:val="18"/>
              </w:rPr>
              <w:t>12–15</w:t>
            </w:r>
          </w:p>
        </w:tc>
        <w:tc>
          <w:tcPr>
            <w:tcW w:type="dxa" w:w="2860"/>
            <w:vAlign w:val="center"/>
          </w:tcPr>
          <w:p>
            <w:pPr>
              <w:spacing w:before="0" w:after="0" w:line="276" w:lineRule="auto"/>
              <w:jc w:val="left"/>
            </w:pPr>
            <w:r>
              <w:rPr>
                <w:rFonts w:ascii="Calibri" w:hAnsi="Calibri" w:cs="Calibri"/>
                <w:b w:val="0"/>
                <w:sz w:val="18"/>
              </w:rPr>
            </w:r>
            <w:r>
              <w:rPr>
                <w:rFonts w:ascii="Calibri" w:hAnsi="Calibri" w:cs="Calibri"/>
                <w:b w:val="0"/>
                <w:sz w:val="18"/>
              </w:rPr>
              <w:t>Unseen reverence, hidden speech, Creator’s knowledge, habitable earth</w:t>
            </w:r>
          </w:p>
        </w:tc>
        <w:tc>
          <w:tcPr>
            <w:tcW w:type="dxa" w:w="5400"/>
            <w:vAlign w:val="center"/>
          </w:tcPr>
          <w:p>
            <w:pPr>
              <w:spacing w:before="0" w:after="0" w:line="276" w:lineRule="auto"/>
              <w:jc w:val="left"/>
            </w:pPr>
            <w:r>
              <w:rPr>
                <w:rFonts w:ascii="Calibri" w:hAnsi="Calibri" w:cs="Calibri"/>
                <w:b w:val="0"/>
                <w:sz w:val="18"/>
              </w:rPr>
            </w:r>
            <w:r>
              <w:rPr>
                <w:rFonts w:ascii="Calibri" w:hAnsi="Calibri" w:cs="Calibri"/>
                <w:b w:val="0"/>
                <w:sz w:val="18"/>
              </w:rPr>
              <w:t>Joins omniscience to mercy, work, provision, and resurrection</w:t>
            </w:r>
          </w:p>
        </w:tc>
      </w:tr>
      <w:tr>
        <w:tc>
          <w:tcPr>
            <w:tcW w:type="dxa" w:w="1100"/>
            <w:vAlign w:val="center"/>
          </w:tcPr>
          <w:p>
            <w:pPr>
              <w:spacing w:before="0" w:after="0" w:line="276" w:lineRule="auto"/>
              <w:jc w:val="left"/>
            </w:pPr>
            <w:r>
              <w:rPr>
                <w:rFonts w:ascii="Calibri" w:hAnsi="Calibri" w:cs="Calibri"/>
                <w:b w:val="0"/>
                <w:sz w:val="18"/>
              </w:rPr>
            </w:r>
            <w:r>
              <w:rPr>
                <w:rFonts w:ascii="Calibri" w:hAnsi="Calibri" w:cs="Calibri"/>
                <w:b w:val="0"/>
                <w:sz w:val="18"/>
              </w:rPr>
              <w:t>16–22</w:t>
            </w:r>
          </w:p>
        </w:tc>
        <w:tc>
          <w:tcPr>
            <w:tcW w:type="dxa" w:w="2860"/>
            <w:vAlign w:val="center"/>
          </w:tcPr>
          <w:p>
            <w:pPr>
              <w:spacing w:before="0" w:after="0" w:line="276" w:lineRule="auto"/>
              <w:jc w:val="left"/>
            </w:pPr>
            <w:r>
              <w:rPr>
                <w:rFonts w:ascii="Calibri" w:hAnsi="Calibri" w:cs="Calibri"/>
                <w:b w:val="0"/>
                <w:sz w:val="18"/>
              </w:rPr>
            </w:r>
            <w:r>
              <w:rPr>
                <w:rFonts w:ascii="Calibri" w:hAnsi="Calibri" w:cs="Calibri"/>
                <w:b w:val="0"/>
                <w:sz w:val="18"/>
              </w:rPr>
              <w:t>Earthquake, storm, birds, armies, provision, upright and fallen walking</w:t>
            </w:r>
          </w:p>
        </w:tc>
        <w:tc>
          <w:tcPr>
            <w:tcW w:type="dxa" w:w="5400"/>
            <w:vAlign w:val="center"/>
          </w:tcPr>
          <w:p>
            <w:pPr>
              <w:spacing w:before="0" w:after="0" w:line="276" w:lineRule="auto"/>
              <w:jc w:val="left"/>
            </w:pPr>
            <w:r>
              <w:rPr>
                <w:rFonts w:ascii="Calibri" w:hAnsi="Calibri" w:cs="Calibri"/>
                <w:b w:val="0"/>
                <w:sz w:val="18"/>
              </w:rPr>
            </w:r>
            <w:r>
              <w:rPr>
                <w:rFonts w:ascii="Calibri" w:hAnsi="Calibri" w:cs="Calibri"/>
                <w:b w:val="0"/>
                <w:sz w:val="18"/>
              </w:rPr>
              <w:t>Exposes creaturely fragility and presents providence as continuous sustaining</w:t>
            </w:r>
          </w:p>
        </w:tc>
      </w:tr>
      <w:tr>
        <w:tc>
          <w:tcPr>
            <w:tcW w:type="dxa" w:w="1100"/>
            <w:vAlign w:val="center"/>
          </w:tcPr>
          <w:p>
            <w:pPr>
              <w:spacing w:before="0" w:after="0" w:line="276" w:lineRule="auto"/>
              <w:jc w:val="left"/>
            </w:pPr>
            <w:r>
              <w:rPr>
                <w:rFonts w:ascii="Calibri" w:hAnsi="Calibri" w:cs="Calibri"/>
                <w:b w:val="0"/>
                <w:sz w:val="18"/>
              </w:rPr>
            </w:r>
            <w:r>
              <w:rPr>
                <w:rFonts w:ascii="Calibri" w:hAnsi="Calibri" w:cs="Calibri"/>
                <w:b w:val="0"/>
                <w:sz w:val="18"/>
              </w:rPr>
              <w:t>23–24</w:t>
            </w:r>
          </w:p>
        </w:tc>
        <w:tc>
          <w:tcPr>
            <w:tcW w:type="dxa" w:w="2860"/>
            <w:vAlign w:val="center"/>
          </w:tcPr>
          <w:p>
            <w:pPr>
              <w:spacing w:before="0" w:after="0" w:line="276" w:lineRule="auto"/>
              <w:jc w:val="left"/>
            </w:pPr>
            <w:r>
              <w:rPr>
                <w:rFonts w:ascii="Calibri" w:hAnsi="Calibri" w:cs="Calibri"/>
                <w:b w:val="0"/>
                <w:sz w:val="18"/>
              </w:rPr>
            </w:r>
            <w:r>
              <w:rPr>
                <w:rFonts w:ascii="Calibri" w:hAnsi="Calibri" w:cs="Calibri"/>
                <w:b w:val="0"/>
                <w:sz w:val="18"/>
              </w:rPr>
              <w:t>Hearing, sight, hearts, human multiplication and gathering</w:t>
            </w:r>
          </w:p>
        </w:tc>
        <w:tc>
          <w:tcPr>
            <w:tcW w:type="dxa" w:w="5400"/>
            <w:vAlign w:val="center"/>
          </w:tcPr>
          <w:p>
            <w:pPr>
              <w:spacing w:before="0" w:after="0" w:line="276" w:lineRule="auto"/>
              <w:jc w:val="left"/>
            </w:pPr>
            <w:r>
              <w:rPr>
                <w:rFonts w:ascii="Calibri" w:hAnsi="Calibri" w:cs="Calibri"/>
                <w:b w:val="0"/>
                <w:sz w:val="18"/>
              </w:rPr>
            </w:r>
            <w:r>
              <w:rPr>
                <w:rFonts w:ascii="Calibri" w:hAnsi="Calibri" w:cs="Calibri"/>
                <w:b w:val="0"/>
                <w:sz w:val="18"/>
              </w:rPr>
              <w:t>Turns from signs outside us to signs within us and from first creation to resurrection</w:t>
            </w:r>
          </w:p>
        </w:tc>
      </w:tr>
      <w:tr>
        <w:tc>
          <w:tcPr>
            <w:tcW w:type="dxa" w:w="1100"/>
            <w:vAlign w:val="center"/>
          </w:tcPr>
          <w:p>
            <w:pPr>
              <w:spacing w:before="0" w:after="0" w:line="276" w:lineRule="auto"/>
              <w:jc w:val="left"/>
            </w:pPr>
            <w:r>
              <w:rPr>
                <w:rFonts w:ascii="Calibri" w:hAnsi="Calibri" w:cs="Calibri"/>
                <w:b w:val="0"/>
                <w:sz w:val="18"/>
              </w:rPr>
            </w:r>
            <w:r>
              <w:rPr>
                <w:rFonts w:ascii="Calibri" w:hAnsi="Calibri" w:cs="Calibri"/>
                <w:b w:val="0"/>
                <w:sz w:val="18"/>
              </w:rPr>
              <w:t>25–30</w:t>
            </w:r>
          </w:p>
        </w:tc>
        <w:tc>
          <w:tcPr>
            <w:tcW w:type="dxa" w:w="2860"/>
            <w:vAlign w:val="center"/>
          </w:tcPr>
          <w:p>
            <w:pPr>
              <w:spacing w:before="0" w:after="0" w:line="276" w:lineRule="auto"/>
              <w:jc w:val="left"/>
            </w:pPr>
            <w:r>
              <w:rPr>
                <w:rFonts w:ascii="Calibri" w:hAnsi="Calibri" w:cs="Calibri"/>
                <w:b w:val="0"/>
                <w:sz w:val="18"/>
              </w:rPr>
            </w:r>
            <w:r>
              <w:rPr>
                <w:rFonts w:ascii="Calibri" w:hAnsi="Calibri" w:cs="Calibri"/>
                <w:b w:val="0"/>
                <w:sz w:val="18"/>
              </w:rPr>
              <w:t>The promised judgment, the Prophet’s limited commission, trust, water</w:t>
            </w:r>
          </w:p>
        </w:tc>
        <w:tc>
          <w:tcPr>
            <w:tcW w:type="dxa" w:w="5400"/>
            <w:vAlign w:val="center"/>
          </w:tcPr>
          <w:p>
            <w:pPr>
              <w:spacing w:before="0" w:after="0" w:line="276" w:lineRule="auto"/>
              <w:jc w:val="left"/>
            </w:pPr>
            <w:r>
              <w:rPr>
                <w:rFonts w:ascii="Calibri" w:hAnsi="Calibri" w:cs="Calibri"/>
                <w:b w:val="0"/>
                <w:sz w:val="18"/>
              </w:rPr>
            </w:r>
            <w:r>
              <w:rPr>
                <w:rFonts w:ascii="Calibri" w:hAnsi="Calibri" w:cs="Calibri"/>
                <w:b w:val="0"/>
                <w:sz w:val="18"/>
              </w:rPr>
              <w:t xml:space="preserve">Rejects demands for a timetable, centers </w:t>
            </w:r>
            <w:r>
              <w:rPr>
                <w:rFonts w:ascii="Calibri" w:hAnsi="Calibri" w:cs="Calibri"/>
                <w:b w:val="0"/>
                <w:i/>
                <w:sz w:val="18"/>
              </w:rPr>
              <w:t>al-Raḥmān</w:t>
            </w:r>
            <w:r>
              <w:rPr>
                <w:rFonts w:ascii="Calibri" w:hAnsi="Calibri" w:cs="Calibri"/>
                <w:b w:val="0"/>
                <w:sz w:val="18"/>
              </w:rPr>
              <w:t>, and ends with radical dependence</w:t>
            </w:r>
          </w:p>
        </w:tc>
      </w:tr>
    </w:tbl>
    <w:p>
      <w:pPr>
        <w:spacing w:before="80" w:after="80"/>
        <w:widowControl w:val="1"/>
      </w:pPr>
    </w:p>
    <w:p>
      <w:pPr>
        <w:widowControl w:val="1"/>
      </w:pPr>
      <w:r>
        <w:rPr>
          <w:rFonts w:ascii="Calibri" w:hAnsi="Calibri" w:cs="Calibri"/>
        </w:rPr>
        <w:t>This is not necessarily a rigid chiasm, but it is unmistakably woven. Verse 23’s gift of hearing answers verse 10’s confession, “If only we had listened or reasoned.” Verse 24’s scattering or multiplication of humanity across the earth is reversed by its gathering to God. Verse 21’s general question—who could provide if God withheld provision?—becomes the concrete hydrological question of verse 30. The humbled sight of verse 4 anticipates the stricken faces of verse 27. Above all, the opening declaration that all dominion lies in God’s hand finds its final demonstration in a glass of water no empire can ultimately guarantee.</w:t>
      </w:r>
    </w:p>
    <w:p>
      <w:pPr>
        <w:pStyle w:val="Heading1"/>
        <w:widowControl w:val="1"/>
      </w:pPr>
      <w:r>
        <w:t>I. Verses 1–2: sovereignty gives life its moral shape</w:t>
      </w:r>
    </w:p>
    <w:p>
      <w:pPr>
        <w:pStyle w:val="Epigraph"/>
        <w:jc w:val="right"/>
        <w:bidi w:val="1"/>
        <w:widowControl w:val="1"/>
      </w:pPr>
      <w:r>
        <w:rPr>
          <w:rFonts w:ascii="DejaVu Sans" w:hAnsi="DejaVu Sans" w:cs="DejaVu Sans"/>
          <w:b/>
          <w:color w:val="203748"/>
          <w:sz w:val="26"/>
          <w:rtl w:val="1"/>
        </w:rPr>
        <w:t>تَبَارَكَ الَّذِي بِيَدِهِ الْمُلْكُ وَهُوَ عَلَىٰ كُلِّ شَيْءٍ قَدِيرٌ</w:t>
      </w:r>
    </w:p>
    <w:p>
      <w:pPr>
        <w:pStyle w:val="Epigraph"/>
        <w:jc w:val="right"/>
        <w:bidi w:val="1"/>
        <w:widowControl w:val="1"/>
      </w:pPr>
      <w:r>
        <w:rPr>
          <w:rFonts w:ascii="DejaVu Sans" w:hAnsi="DejaVu Sans" w:cs="DejaVu Sans"/>
          <w:b/>
          <w:color w:val="203748"/>
          <w:sz w:val="26"/>
          <w:rtl w:val="1"/>
        </w:rPr>
        <w:t>الَّذِي خَلَقَ الْمَوْتَ وَالْحَيَاةَ لِيَبْلُوَكُمْ أَيُّكُمْ أَحْسَنُ عَمَلًا وَهُوَ الْعَزِيزُ الْغَفُورُ</w:t>
      </w:r>
    </w:p>
    <w:p>
      <w:pPr>
        <w:widowControl w:val="1"/>
      </w:pPr>
      <w:r>
        <w:rPr>
          <w:rFonts w:ascii="Calibri" w:hAnsi="Calibri" w:cs="Calibri"/>
        </w:rPr>
        <w:t>Blessed and exalted is the One in whose hand lies all dominion, who has power over everything; who created death and life to test which of you is best in action—He is the Mighty, the Ever-Forgiving. (67:1–2, translation following the sense of M. A. S. Abdel Haleem)</w:t>
      </w:r>
    </w:p>
    <w:p>
      <w:pPr>
        <w:widowControl w:val="1"/>
      </w:pPr>
      <w:r>
        <w:rPr>
          <w:rFonts w:ascii="Calibri" w:hAnsi="Calibri" w:cs="Calibri"/>
        </w:rPr>
        <w:t xml:space="preserve">The opening word, </w:t>
      </w:r>
      <w:r>
        <w:rPr>
          <w:rFonts w:ascii="Calibri" w:hAnsi="Calibri" w:cs="Calibri"/>
          <w:i/>
        </w:rPr>
        <w:t>tabāraka</w:t>
      </w:r>
      <w:r>
        <w:rPr>
          <w:rFonts w:ascii="Calibri" w:hAnsi="Calibri" w:cs="Calibri"/>
        </w:rPr>
        <w:t>, is richer than a generic “blessed.” Al-Qurṭubī gathers within it exaltation, permanence, abundance of good, and inexhaustible beneficence. “In His hand” is not anatomy but sovereignty expressed in the language of immediate possession and unconstrained disposal. Kings possess fragments of territory for a few years; God possesses existence, causality, life, death, provision, judgment, and the future itself. The verse therefore begins by dismantling every illusion of autonomous ownership.</w:t>
      </w:r>
    </w:p>
    <w:p>
      <w:pPr>
        <w:widowControl w:val="1"/>
      </w:pPr>
      <w:r>
        <w:rPr>
          <w:rFonts w:ascii="Calibri" w:hAnsi="Calibri" w:cs="Calibri"/>
        </w:rPr>
        <w:t xml:space="preserve">Verse 2 immediately prevents sovereignty from being imagined as arbitrary force. The King creates death and life “to test” moral agents, and He is both </w:t>
      </w:r>
      <w:r>
        <w:rPr>
          <w:rFonts w:ascii="Calibri" w:hAnsi="Calibri" w:cs="Calibri"/>
          <w:i/>
        </w:rPr>
        <w:t>al-ʿAzīz</w:t>
      </w:r>
      <w:r>
        <w:rPr>
          <w:rFonts w:ascii="Calibri" w:hAnsi="Calibri" w:cs="Calibri"/>
        </w:rPr>
        <w:t xml:space="preserve"> and </w:t>
      </w:r>
      <w:r>
        <w:rPr>
          <w:rFonts w:ascii="Calibri" w:hAnsi="Calibri" w:cs="Calibri"/>
          <w:i/>
        </w:rPr>
        <w:t>al-Ghafūr</w:t>
      </w:r>
      <w:r>
        <w:rPr>
          <w:rFonts w:ascii="Calibri" w:hAnsi="Calibri" w:cs="Calibri"/>
        </w:rPr>
        <w:t>: invincibly just and abundantly forgiving. A contemporary Shiʿi commentary similarly emphasizes that might is paired with forgiveness, so divine majesty is never severed from compassion. Judgment and mercy are not embarrassed additions to power; they reveal what perfect power is for.</w:t>
      </w:r>
    </w:p>
    <w:p>
      <w:pPr>
        <w:widowControl w:val="1"/>
      </w:pPr>
      <w:r>
        <w:rPr>
          <w:rFonts w:ascii="Calibri" w:hAnsi="Calibri" w:cs="Calibri"/>
        </w:rPr>
        <w:t xml:space="preserve">The order “death and life” is arresting. Classical commentators proposed several explanations: non-life precedes embodied life; death is nearer to the audience’s anxious awareness; or death opens into the truer life of the hereafter. Whatever the preferred explanation, death is said to be </w:t>
      </w:r>
      <w:r>
        <w:rPr>
          <w:rFonts w:ascii="Calibri" w:hAnsi="Calibri" w:cs="Calibri"/>
          <w:i/>
        </w:rPr>
        <w:t>created</w:t>
      </w:r>
      <w:r>
        <w:rPr>
          <w:rFonts w:ascii="Calibri" w:hAnsi="Calibri" w:cs="Calibri"/>
        </w:rPr>
        <w:t>. It is neither a rival power nor an accidental hole in God’s government. The surah consequently refuses both nihilism and sentimentality. Life is genuinely fragile, death is genuinely grave, yet neither is outside meaning.</w:t>
      </w:r>
    </w:p>
    <w:p>
      <w:pPr>
        <w:widowControl w:val="1"/>
      </w:pPr>
      <w:r>
        <w:rPr>
          <w:rFonts w:ascii="Calibri" w:hAnsi="Calibri" w:cs="Calibri"/>
        </w:rPr>
        <w:t xml:space="preserve">The test concerns who is </w:t>
      </w:r>
      <w:r>
        <w:rPr>
          <w:rFonts w:ascii="Calibri" w:hAnsi="Calibri" w:cs="Calibri"/>
          <w:i/>
        </w:rPr>
        <w:t>aḥsanu ʿamalan</w:t>
      </w:r>
      <w:r>
        <w:rPr>
          <w:rFonts w:ascii="Calibri" w:hAnsi="Calibri" w:cs="Calibri"/>
        </w:rPr>
        <w:t>—best in deed—not merely who accumulates the most deeds. Classical piety often glossed the best deed as the most sincere and most correct. The phrase joins inward orientation to outward action. It also preserves moral freedom. A “test” whose responses are morally insignificant would be theatrical. The surah presupposes responsible agency while affirming that the arena, powers, opportunities, and final judgment belong to God.</w:t>
      </w:r>
    </w:p>
    <w:p>
      <w:pPr>
        <w:widowControl w:val="1"/>
      </w:pPr>
      <w:r>
        <w:rPr>
          <w:rFonts w:ascii="Calibri" w:hAnsi="Calibri" w:cs="Calibri"/>
        </w:rPr>
        <w:t>Philosophically, this single verse supplies a teleology: life is not only a biochemical interval between conception and death but a morally charged history. Science can investigate the mechanisms of birth, aging, disease, and dying. It cannot, by its experimental method alone, decide whether the whole sequence is a test or whether justice extends beyond death. Those are metaphysical and revelatory claims. Yet science can enlarge our sense of what is being claimed: a conscious creature, formed through cosmic and biological history, is capable of truth, love, cruelty, repentance, and self-transcendence. Surah al-Mulk says that this moral drama is not incidental to the universe’s purpose.</w:t>
      </w:r>
    </w:p>
    <w:p>
      <w:pPr>
        <w:pStyle w:val="Heading1"/>
        <w:widowControl w:val="1"/>
      </w:pPr>
      <w:r>
        <w:t>II. Verses 3–5: the heavens, repeated looking, and the discipline of wonder</w:t>
      </w:r>
    </w:p>
    <w:p>
      <w:pPr>
        <w:pStyle w:val="Epigraph"/>
        <w:jc w:val="right"/>
        <w:bidi w:val="1"/>
        <w:widowControl w:val="1"/>
      </w:pPr>
      <w:r>
        <w:rPr>
          <w:rFonts w:ascii="DejaVu Sans" w:hAnsi="DejaVu Sans" w:cs="DejaVu Sans"/>
          <w:b/>
          <w:color w:val="203748"/>
          <w:sz w:val="26"/>
          <w:rtl w:val="1"/>
        </w:rPr>
        <w:t>الَّذِي خَلَقَ سَبْعَ سَمَاوَاتٍ طِبَاقًا مَا تَرَىٰ فِي خَلْقِ الرَّحْمَٰنِ مِنْ تَفَاوُتٍ فَارْجِعِ الْبَصَرَ هَلْ تَرَىٰ مِنْ فُطُورٍ ۝ ثُمَّ ارْجِعِ الْبَصَرَ كَرَّتَيْنِ يَنْقَلِبْ إِلَيْكَ الْبَصَرُ خَاسِئًا وَهُوَ حَسِيرٌ</w:t>
      </w:r>
    </w:p>
    <w:p>
      <w:pPr>
        <w:widowControl w:val="1"/>
      </w:pPr>
      <w:r>
        <w:rPr>
          <w:rFonts w:ascii="Calibri" w:hAnsi="Calibri" w:cs="Calibri"/>
        </w:rPr>
        <w:t>He created seven heavens, one above another. You will see no incoherence in the creation of the Lord of Mercy. Look again: can you see any rupture? Look again and yet again; your sight will return humbled and exhausted. (67:3–4)</w:t>
      </w:r>
    </w:p>
    <w:p>
      <w:pPr>
        <w:widowControl w:val="1"/>
      </w:pPr>
      <w:r>
        <w:rPr>
          <w:rFonts w:ascii="Calibri" w:hAnsi="Calibri" w:cs="Calibri"/>
        </w:rPr>
        <w:t xml:space="preserve">The movement is from moral history to cosmic order. The same sovereignty that makes life a test makes the cosmos an intelligible arena for that test. </w:t>
      </w:r>
      <w:r>
        <w:rPr>
          <w:rFonts w:ascii="Calibri" w:hAnsi="Calibri" w:cs="Calibri"/>
          <w:i/>
        </w:rPr>
        <w:t>Ṭibāqan</w:t>
      </w:r>
      <w:r>
        <w:rPr>
          <w:rFonts w:ascii="Calibri" w:hAnsi="Calibri" w:cs="Calibri"/>
        </w:rPr>
        <w:t xml:space="preserve"> conveys layering, correspondence, or one order fitted above another. “Seven heavens” belongs to the Qur’an’s own cosmological vocabulary. Classical exegetes generally affirmed real created heavens, while differing over their exact character. A modern commentary should resist two opposite errors: reducing the phrase to a discarded ancient astronomy, or confidently equating each “heaven” with a modern object such as an atmosphere, galaxy, dimension, or universe. The text’s durable claim is hierarchical vastness and ordered totality; its theological force does not depend on a speculative one-to-one map.</w:t>
      </w:r>
    </w:p>
    <w:p>
      <w:pPr>
        <w:widowControl w:val="1"/>
      </w:pPr>
      <w:r>
        <w:rPr>
          <w:rFonts w:ascii="Calibri" w:hAnsi="Calibri" w:cs="Calibri"/>
        </w:rPr>
        <w:t xml:space="preserve">The key term </w:t>
      </w:r>
      <w:r>
        <w:rPr>
          <w:rFonts w:ascii="Calibri" w:hAnsi="Calibri" w:cs="Calibri"/>
          <w:i/>
        </w:rPr>
        <w:t>tafāwut</w:t>
      </w:r>
      <w:r>
        <w:rPr>
          <w:rFonts w:ascii="Calibri" w:hAnsi="Calibri" w:cs="Calibri"/>
        </w:rPr>
        <w:t xml:space="preserve"> denotes incongruity, dislocation, or a failure of parts to cohere. It does not assert that creation contains no predation, pain, supernovae, mutation, extinction, earthquake, or entropy. The surah itself will soon mention violent earth and destructive winds. Its claim is not that every local event is pleasant, but that creation as God’s work is not a botched or rivalrous order. The world is sufficiently regular to be inhabited, investigated, and morally navigated.</w:t>
      </w:r>
    </w:p>
    <w:p>
      <w:pPr>
        <w:widowControl w:val="1"/>
      </w:pPr>
      <w:r>
        <w:rPr>
          <w:rFonts w:ascii="Calibri" w:hAnsi="Calibri" w:cs="Calibri"/>
        </w:rPr>
        <w:t xml:space="preserve">Al-Rāzī draws an epistemologically important lesson from the command to look again: a single glance may mislead, so observation should be repeated until judgment is warranted. This is not a seventh-century statement of modern experimental method, but it is profoundly congenial to a scientific temperament. The Qur’an does not protect its theological vision by forbidding inspection; it issues an imperative to inspect. The eye returns </w:t>
      </w:r>
      <w:r>
        <w:rPr>
          <w:rFonts w:ascii="Calibri" w:hAnsi="Calibri" w:cs="Calibri"/>
          <w:i/>
        </w:rPr>
        <w:t>khāsiʾan</w:t>
      </w:r>
      <w:r>
        <w:rPr>
          <w:rFonts w:ascii="Calibri" w:hAnsi="Calibri" w:cs="Calibri"/>
        </w:rPr>
        <w:t xml:space="preserve">—rebuffed or humbled—and </w:t>
      </w:r>
      <w:r>
        <w:rPr>
          <w:rFonts w:ascii="Calibri" w:hAnsi="Calibri" w:cs="Calibri"/>
          <w:i/>
        </w:rPr>
        <w:t>ḥasīr</w:t>
      </w:r>
      <w:r>
        <w:rPr>
          <w:rFonts w:ascii="Calibri" w:hAnsi="Calibri" w:cs="Calibri"/>
        </w:rPr>
        <w:t>—wearied. Human inquiry is honored and its limits are acknowledged in the same breath.</w:t>
      </w:r>
    </w:p>
    <w:p>
      <w:pPr>
        <w:widowControl w:val="1"/>
      </w:pPr>
      <w:r>
        <w:rPr>
          <w:rFonts w:ascii="Calibri" w:hAnsi="Calibri" w:cs="Calibri"/>
        </w:rPr>
        <w:t>Modern cosmology has disclosed an order far beyond the unaided eye: mathematically describable laws, long-lived stars, nucleosynthesis that produces the elements of planets and bodies, gravitational structure, and a cosmic history in which complexity becomes possible. NASA notes that the elements making Earth were formed across stellar life cycles, while astrobiology treats liquid water, energy, nutrients, atmosphere, planetary size, climate, and other interacting conditions as relevant to habitability. Philosophers and physicists continue to debate “fine-tuning”: whether life-permitting laws, constants, and initial conditions favor design, a multiverse, deeper necessity, selection effects, or some combination. The data do not mechanically yield theology; the inference is philosophical. Nevertheless, the existence of an intelligible and life-permitting order is precisely the kind of reality verses 3–4 summon the reader to examine.</w:t>
      </w:r>
    </w:p>
    <w:p>
      <w:pPr>
        <w:widowControl w:val="1"/>
      </w:pPr>
      <w:r>
        <w:rPr>
          <w:rFonts w:ascii="Calibri" w:hAnsi="Calibri" w:cs="Calibri"/>
        </w:rPr>
        <w:t xml:space="preserve">Zia H. Shah’s writings on these verses rightly emphasize the “book of nature” alongside the written Book. On this approach, repeated looking includes telescopes, equations, laboratory experiments, and critical peer review. Scientific discoveries are not replacements for revelation, nor should each discovery be pressed into a premature claim of prediction. They are expanded acts of </w:t>
      </w:r>
      <w:r>
        <w:rPr>
          <w:rFonts w:ascii="Calibri" w:hAnsi="Calibri" w:cs="Calibri"/>
          <w:i/>
        </w:rPr>
        <w:t>naẓar</w:t>
      </w:r>
      <w:r>
        <w:rPr>
          <w:rFonts w:ascii="Calibri" w:hAnsi="Calibri" w:cs="Calibri"/>
        </w:rPr>
        <w:t>: ways of seeing more of the creation to which revelation has already directed attention. His strongest hermeneutical principle is therefore one of resonance rather than forced concordism: scientific findings may illuminate the reach of an āyah without becoming its only possible meaning.</w:t>
      </w:r>
    </w:p>
    <w:p>
      <w:pPr>
        <w:widowControl w:val="1"/>
      </w:pPr>
      <w:r>
        <w:rPr>
          <w:rFonts w:ascii="Calibri" w:hAnsi="Calibri" w:cs="Calibri"/>
        </w:rPr>
        <w:t>Verse 5 adds beauty and boundary:</w:t>
      </w:r>
    </w:p>
    <w:p>
      <w:pPr>
        <w:pStyle w:val="Epigraph"/>
        <w:jc w:val="center"/>
        <w:widowControl w:val="1"/>
      </w:pPr>
      <w:r>
        <w:rPr>
          <w:rFonts w:ascii="Calibri" w:hAnsi="Calibri" w:cs="Calibri"/>
          <w:i/>
          <w:color w:val="203748"/>
          <w:sz w:val="21"/>
        </w:rPr>
        <w:t>We adorned the lowest heaven with lamps and made them means of repelling devils, for whom We have prepared the punishment of the Blaze. (67:5, sense)</w:t>
      </w:r>
    </w:p>
    <w:p>
      <w:pPr>
        <w:widowControl w:val="1"/>
      </w:pPr>
      <w:r>
        <w:rPr>
          <w:rFonts w:ascii="Calibri" w:hAnsi="Calibri" w:cs="Calibri"/>
        </w:rPr>
        <w:t xml:space="preserve">The “lamps” evoke the stars as seen from earth: sources of light, orientation, beauty, and awe. Modern astronomy distinguishes stars—distant, self-luminous bodies—from meteors, the luminous atmospheric phenomena popularly called shooting stars. Classical scholars were not uniformly naïve about this distinction. Al-Rāzī explicitly argues that the fixed stellar bodies need not themselves be hurled; he reports the view that fiery fragments or </w:t>
      </w:r>
      <w:r>
        <w:rPr>
          <w:rFonts w:ascii="Calibri" w:hAnsi="Calibri" w:cs="Calibri"/>
          <w:i/>
        </w:rPr>
        <w:t>shihāb</w:t>
      </w:r>
      <w:r>
        <w:rPr>
          <w:rFonts w:ascii="Calibri" w:hAnsi="Calibri" w:cs="Calibri"/>
        </w:rPr>
        <w:t xml:space="preserve"> are meant, and he also records a moralized reading in which celestial signs confound human “devils” who claim occult astrological knowledge. The metaphysical language of devils and guarded heaven is not something astronomy can verify or falsify by observing chemical spectra. Science describes physical phenomena; revelation interprets visible and invisible order within a larger moral cosmos. Responsible commentary should preserve that distinction rather than identifying stars, meteors, angels, or devils with one another as if the verse were a technical astronomy manual.</w:t>
      </w:r>
    </w:p>
    <w:p>
      <w:pPr>
        <w:widowControl w:val="1"/>
      </w:pPr>
      <w:r>
        <w:rPr>
          <w:rFonts w:ascii="Calibri" w:hAnsi="Calibri" w:cs="Calibri"/>
        </w:rPr>
        <w:t>The transition from the lamps to the Blaze is also rhetorical. A universe enjoyed only as spectacle but never read as sign can become evidence against the observer. Beauty invites gratitude; order invites thought; warning makes refusal consequential.</w:t>
      </w:r>
    </w:p>
    <w:p>
      <w:pPr>
        <w:pStyle w:val="Heading1"/>
        <w:widowControl w:val="1"/>
      </w:pPr>
      <w:r>
        <w:t>III. Verses 6–12: the tragedy of faculties unused</w:t>
      </w:r>
    </w:p>
    <w:p>
      <w:pPr>
        <w:widowControl w:val="1"/>
      </w:pPr>
      <w:r>
        <w:rPr>
          <w:rFonts w:ascii="Calibri" w:hAnsi="Calibri" w:cs="Calibri"/>
        </w:rPr>
        <w:t>The surah now moves from the serene heavens to the roar of Hell. Those thrown into it hear a dreadful inhaling as it boils. Its keepers ask whether a warner came, and the condemned admit that they rejected the warning. Their decisive confession is:</w:t>
      </w:r>
    </w:p>
    <w:p>
      <w:pPr>
        <w:pStyle w:val="Epigraph"/>
        <w:jc w:val="center"/>
        <w:widowControl w:val="1"/>
      </w:pPr>
      <w:r>
        <w:rPr>
          <w:rFonts w:ascii="Calibri" w:hAnsi="Calibri" w:cs="Calibri"/>
          <w:i/>
          <w:color w:val="203748"/>
          <w:sz w:val="21"/>
        </w:rPr>
        <w:t>“If only we had listened or reasoned, we would not be among the inhabitants of the Blaze.” (67:10, sense)</w:t>
      </w:r>
    </w:p>
    <w:p>
      <w:pPr>
        <w:widowControl w:val="1"/>
      </w:pPr>
      <w:r>
        <w:rPr>
          <w:rFonts w:ascii="Calibri" w:hAnsi="Calibri" w:cs="Calibri"/>
        </w:rPr>
        <w:t xml:space="preserve">This verse rejects the false opposition between revelation and reason. They failed to </w:t>
      </w:r>
      <w:r>
        <w:rPr>
          <w:rFonts w:ascii="Calibri" w:hAnsi="Calibri" w:cs="Calibri"/>
          <w:i/>
        </w:rPr>
        <w:t>listen</w:t>
      </w:r>
      <w:r>
        <w:rPr>
          <w:rFonts w:ascii="Calibri" w:hAnsi="Calibri" w:cs="Calibri"/>
        </w:rPr>
        <w:t xml:space="preserve">—to receive testimony, warning, and moral address—and failed to </w:t>
      </w:r>
      <w:r>
        <w:rPr>
          <w:rFonts w:ascii="Calibri" w:hAnsi="Calibri" w:cs="Calibri"/>
          <w:i/>
        </w:rPr>
        <w:t>reason</w:t>
      </w:r>
      <w:r>
        <w:rPr>
          <w:rFonts w:ascii="Calibri" w:hAnsi="Calibri" w:cs="Calibri"/>
        </w:rPr>
        <w:t>—to judge the signs and implications. The Qur’anic path is neither credulity without thought nor autonomous rationalism deaf to revelation. It is morally serious listening joined to disciplined understanding.</w:t>
      </w:r>
    </w:p>
    <w:p>
      <w:pPr>
        <w:widowControl w:val="1"/>
      </w:pPr>
      <w:r>
        <w:rPr>
          <w:rFonts w:ascii="Calibri" w:hAnsi="Calibri" w:cs="Calibri"/>
        </w:rPr>
        <w:t>The confession also anticipates verse 23, where God says that He gave humanity hearing, sight, and hearts. The afterlife scene therefore exposes not an arbitrary sentence but the waste of provided epistemic capacities. Hearing was present, but there was no receptive listening; intelligence was present, but it was conscripted into evasion. The surah’s anthropology is moral: faculties become virtues only when used truthfully.</w:t>
      </w:r>
    </w:p>
    <w:p>
      <w:pPr>
        <w:widowControl w:val="1"/>
      </w:pPr>
      <w:r>
        <w:rPr>
          <w:rFonts w:ascii="Calibri" w:hAnsi="Calibri" w:cs="Calibri"/>
        </w:rPr>
        <w:t>Verse 11 says they acknowledge their sin, but recognition has arrived after the test. This parallels another visual correspondence. In verse 4, the gaze returns humbled after honestly surveying creation. In verse 27, when judgment draws near, the faces of the deniers become distressed. There are two humblings: the voluntary humility of inquiry before the signs, and the involuntary humiliation of certainty when the unseen has become seen. The surah urges the first so that the second may be escaped.</w:t>
      </w:r>
    </w:p>
    <w:p>
      <w:pPr>
        <w:widowControl w:val="1"/>
      </w:pPr>
      <w:r>
        <w:rPr>
          <w:rFonts w:ascii="Calibri" w:hAnsi="Calibri" w:cs="Calibri"/>
        </w:rPr>
        <w:t xml:space="preserve">Verse 12 then turns to the apparently opposite group: “Those who fear their Lord in the unseen have forgiveness and a great reward.” The phrase </w:t>
      </w:r>
      <w:r>
        <w:rPr>
          <w:rFonts w:ascii="Calibri" w:hAnsi="Calibri" w:cs="Calibri"/>
          <w:i/>
        </w:rPr>
        <w:t>bi-l-ghayb</w:t>
      </w:r>
      <w:r>
        <w:rPr>
          <w:rFonts w:ascii="Calibri" w:hAnsi="Calibri" w:cs="Calibri"/>
        </w:rPr>
        <w:t xml:space="preserve"> can indicate reverence for the unseen God, reverence when one is unseen by other people, or faith before the realities of judgment become visible. All three senses converge. Moral character is what a person does when social surveillance disappears; faith is trust responsive to evidence yet not coercively overwhelmed by sight; divine knowledge ensures that hidden goodness is not lost.</w:t>
      </w:r>
    </w:p>
    <w:p>
      <w:pPr>
        <w:widowControl w:val="1"/>
      </w:pPr>
      <w:r>
        <w:rPr>
          <w:rFonts w:ascii="Calibri" w:hAnsi="Calibri" w:cs="Calibri"/>
        </w:rPr>
        <w:t>The afterlife in Surah al-Mulk is thus not an isolated dogma inserted between nature verses. It is the moral completion of the chapter’s account of creation. If conscious moral agents are tested, if warnings are given, if hidden actions matter, and if perfect sovereignty belongs to a just and forgiving God, then death cannot be the final erasure of meaning. Nature does not experimentally demonstrate resurrection, but the first creation makes re-creation conceivable, moral experience makes judgment fitting, and revelation makes the promise explicit.</w:t>
      </w:r>
    </w:p>
    <w:p>
      <w:pPr>
        <w:pStyle w:val="Heading1"/>
        <w:widowControl w:val="1"/>
      </w:pPr>
      <w:r>
        <w:t>IV. Verses 13–14: the Creator knows the hidden creature</w:t>
      </w:r>
    </w:p>
    <w:p>
      <w:pPr>
        <w:pStyle w:val="Epigraph"/>
        <w:jc w:val="right"/>
        <w:bidi w:val="1"/>
        <w:widowControl w:val="1"/>
      </w:pPr>
      <w:r>
        <w:rPr>
          <w:rFonts w:ascii="DejaVu Sans" w:hAnsi="DejaVu Sans" w:cs="DejaVu Sans"/>
          <w:b/>
          <w:color w:val="203748"/>
          <w:sz w:val="26"/>
          <w:rtl w:val="1"/>
        </w:rPr>
        <w:t>أَلَا يَعْلَمُ مَنْ خَلَقَ وَهُوَ اللَّطِيفُ الْخَبِيرُ</w:t>
      </w:r>
    </w:p>
    <w:p>
      <w:pPr>
        <w:widowControl w:val="1"/>
      </w:pPr>
      <w:r>
        <w:rPr>
          <w:rFonts w:ascii="Calibri" w:hAnsi="Calibri" w:cs="Calibri"/>
        </w:rPr>
        <w:t>How could the One who created not know, when He is the Most Subtle, the All-Aware? (67:14)</w:t>
      </w:r>
    </w:p>
    <w:p>
      <w:pPr>
        <w:widowControl w:val="1"/>
      </w:pPr>
      <w:r>
        <w:rPr>
          <w:rFonts w:ascii="Calibri" w:hAnsi="Calibri" w:cs="Calibri"/>
        </w:rPr>
        <w:t>The rhetorical question follows the declaration that God knows whether speech is concealed or voiced and knows what lies within breasts. Al-Ṭabarī reads it plainly: how could the Lord fail to know the creation He made, including their deeds? The Arabic can carry the intertwined senses “Does He who created not know?” and “Does He not know those whom He created?” Creator and created knowledge meet in a single compact sentence.</w:t>
      </w:r>
    </w:p>
    <w:p>
      <w:pPr>
        <w:widowControl w:val="1"/>
      </w:pPr>
      <w:r>
        <w:rPr>
          <w:rFonts w:ascii="Calibri" w:hAnsi="Calibri" w:cs="Calibri"/>
        </w:rPr>
        <w:t>This is more than an analogy with a craftsman who knows an artifact. Human makers assemble material they did not create and are often surprised by their inventions. God, in Qur’anic theology, creates the entity, its powers, its relations, its temporal history, and the very possibility of its inward life. Divine knowledge is therefore not surveillance gathered from outside. It is immediate knowledge of the creature’s entire reality.</w:t>
      </w:r>
    </w:p>
    <w:p>
      <w:pPr>
        <w:widowControl w:val="1"/>
      </w:pPr>
      <w:r>
        <w:rPr>
          <w:rFonts w:ascii="Calibri" w:hAnsi="Calibri" w:cs="Calibri"/>
        </w:rPr>
        <w:t xml:space="preserve">The two names prevent this omniscience from becoming cold. </w:t>
      </w:r>
      <w:r>
        <w:rPr>
          <w:rFonts w:ascii="Calibri" w:hAnsi="Calibri" w:cs="Calibri"/>
          <w:i/>
        </w:rPr>
        <w:t>Al-Laṭīf</w:t>
      </w:r>
      <w:r>
        <w:rPr>
          <w:rFonts w:ascii="Calibri" w:hAnsi="Calibri" w:cs="Calibri"/>
        </w:rPr>
        <w:t xml:space="preserve"> can mean the Subtle One whose agency penetrates what is imperceptible, and the Gentle One whose beneficence reaches creatures by pathways they scarcely notice. </w:t>
      </w:r>
      <w:r>
        <w:rPr>
          <w:rFonts w:ascii="Calibri" w:hAnsi="Calibri" w:cs="Calibri"/>
          <w:i/>
        </w:rPr>
        <w:t>Al-Khabīr</w:t>
      </w:r>
      <w:r>
        <w:rPr>
          <w:rFonts w:ascii="Calibri" w:hAnsi="Calibri" w:cs="Calibri"/>
        </w:rPr>
        <w:t xml:space="preserve"> is the One fully acquainted with inner and outer reality. Verse 14 is a hinge in the surah: the One who knows hidden motives is the One who has subtly furnished a livable earth, the air in which birds fly, sensory faculties, social existence, and hidden stores of water.</w:t>
      </w:r>
    </w:p>
    <w:p>
      <w:pPr>
        <w:widowControl w:val="1"/>
      </w:pPr>
      <w:r>
        <w:rPr>
          <w:rFonts w:ascii="Calibri" w:hAnsi="Calibri" w:cs="Calibri"/>
        </w:rPr>
        <w:t>Modern neuroscience maps the neural pathways of perception, memory, affect, decision, and self-representation with increasing sophistication. It has not produced a universally accepted account of why neural processing is accompanied by subjective experience. This “explanatory gap” should not be converted into a simplistic “God of the gaps,” but neither should a philosophical materialism be mislabeled as a scientific discovery. Verse 14 locates consciousness and hidden intention within the knowledge of the Creator. Shah’s work on consciousness develops this as one of the inward signs: the book of nature includes not only galaxies and genomes but the first-person fact that there is something it is like to see, hear, understand, choose, regret, and worship.</w:t>
      </w:r>
    </w:p>
    <w:p>
      <w:pPr>
        <w:pStyle w:val="Heading1"/>
        <w:widowControl w:val="1"/>
      </w:pPr>
      <w:r>
        <w:t>V. Verses 15–18: the tame earth, human work, and creaturely insecurity</w:t>
      </w:r>
    </w:p>
    <w:p>
      <w:pPr>
        <w:widowControl w:val="1"/>
      </w:pPr>
      <w:r>
        <w:rPr>
          <w:rFonts w:ascii="Calibri" w:hAnsi="Calibri" w:cs="Calibri"/>
        </w:rPr>
        <w:t>Verse 15 is one of the Qur’an’s most balanced statements of providence:</w:t>
      </w:r>
    </w:p>
    <w:p>
      <w:pPr>
        <w:pStyle w:val="Epigraph"/>
        <w:jc w:val="center"/>
        <w:widowControl w:val="1"/>
      </w:pPr>
      <w:r>
        <w:rPr>
          <w:rFonts w:ascii="Calibri" w:hAnsi="Calibri" w:cs="Calibri"/>
          <w:i/>
          <w:color w:val="203748"/>
          <w:sz w:val="21"/>
        </w:rPr>
        <w:t>“It is He who made the earth manageable for you, so walk in its regions and eat from His provision; to Him is the resurrection.” (67:15, sense)</w:t>
      </w:r>
    </w:p>
    <w:p>
      <w:pPr>
        <w:widowControl w:val="1"/>
      </w:pPr>
      <w:r>
        <w:rPr>
          <w:rFonts w:ascii="Calibri" w:hAnsi="Calibri" w:cs="Calibri"/>
        </w:rPr>
        <w:t xml:space="preserve">The earth is </w:t>
      </w:r>
      <w:r>
        <w:rPr>
          <w:rFonts w:ascii="Calibri" w:hAnsi="Calibri" w:cs="Calibri"/>
          <w:i/>
        </w:rPr>
        <w:t>dhalūl</w:t>
      </w:r>
      <w:r>
        <w:rPr>
          <w:rFonts w:ascii="Calibri" w:hAnsi="Calibri" w:cs="Calibri"/>
        </w:rPr>
        <w:t xml:space="preserve">: made tractable, serviceable, or like an animal rendered gentle enough to bear a rider. Yet it is not called dead or valueless. Humans are commanded to walk its </w:t>
      </w:r>
      <w:r>
        <w:rPr>
          <w:rFonts w:ascii="Calibri" w:hAnsi="Calibri" w:cs="Calibri"/>
          <w:i/>
        </w:rPr>
        <w:t>manākib</w:t>
      </w:r>
      <w:r>
        <w:rPr>
          <w:rFonts w:ascii="Calibri" w:hAnsi="Calibri" w:cs="Calibri"/>
        </w:rPr>
        <w:t>—its shoulders, slopes, or broad regions—and to eat. Providence does not cancel effort. Agriculture, travel, trade, medicine, engineering, and scientific inquiry are among the forms that “walking” can take. The food is still “His provision” because human work operates within inherited realities: soil, sunlight, water, atmospheric chemistry, biological metabolism, social cooperation, intelligence, and time.</w:t>
      </w:r>
    </w:p>
    <w:p>
      <w:pPr>
        <w:widowControl w:val="1"/>
      </w:pPr>
      <w:r>
        <w:rPr>
          <w:rFonts w:ascii="Calibri" w:hAnsi="Calibri" w:cs="Calibri"/>
        </w:rPr>
        <w:t xml:space="preserve">The scientific expansion of this verse is planetary habitability. Earth’s usefulness to embodied life depends on many interacting systems: a suitable stellar energy supply, long-term liquid water, an atmosphere with life-compatible pressure and temperature ranges, nutrient cycles, climate feedbacks, and geological processes. NASA’s habitability materials emphasize that liquid water, energy, nutrients, atmosphere, climate, planetary size, and magnetic and geological conditions interact; no single variable is the whole story. The word </w:t>
      </w:r>
      <w:r>
        <w:rPr>
          <w:rFonts w:ascii="Calibri" w:hAnsi="Calibri" w:cs="Calibri"/>
          <w:i/>
        </w:rPr>
        <w:t>dhalūl</w:t>
      </w:r>
      <w:r>
        <w:rPr>
          <w:rFonts w:ascii="Calibri" w:hAnsi="Calibri" w:cs="Calibri"/>
        </w:rPr>
        <w:t xml:space="preserve"> becomes newly vivid when Earth is compared with the known environments of Venus, Mars, and airless worlds. Our planet is active and sometimes dangerous, yet remarkably traversable and fruitful.</w:t>
      </w:r>
    </w:p>
    <w:p>
      <w:pPr>
        <w:widowControl w:val="1"/>
      </w:pPr>
      <w:r>
        <w:rPr>
          <w:rFonts w:ascii="Calibri" w:hAnsi="Calibri" w:cs="Calibri"/>
        </w:rPr>
        <w:t>The end of the verse—“to Him is the resurrection”—interrupts every fantasy that dominion over nature has transferred to humanity. The earth is workplace, provision, trust, and temporary field of action; it is not the final homeland. Economic activity without resurrection easily becomes extraction without accountability. Resurrection without walking the earth can become piety without service. The verse holds the two together.</w:t>
      </w:r>
    </w:p>
    <w:p>
      <w:pPr>
        <w:widowControl w:val="1"/>
      </w:pPr>
      <w:r>
        <w:rPr>
          <w:rFonts w:ascii="Calibri" w:hAnsi="Calibri" w:cs="Calibri"/>
        </w:rPr>
        <w:t>Verses 16–18 then unsettle complacency: can people be sure the earth will not convulse beneath them, or that a stone-bearing wind will not strike? Earlier peoples also denied and learned the reality of warning. Classical exegesis reads these verses as threats to obstinate rejecters. A contemporary application should not declare every earthquake, storm, or disaster a specific punishment upon its victims; the Qur’an itself does not authorize observers to make such confident moral diagnoses. The universal lesson is vulnerability. The ground feels stable because innumerable conditions ordinarily remain stable. Providence is most often experienced not as spectacular interruption but as the dependable continuity we habitually overlook.</w:t>
      </w:r>
    </w:p>
    <w:p>
      <w:pPr>
        <w:pStyle w:val="Heading1"/>
        <w:widowControl w:val="1"/>
      </w:pPr>
      <w:r>
        <w:t>VI. Verse 19: the bird, the law, and the Merciful Holding</w:t>
      </w:r>
    </w:p>
    <w:p>
      <w:pPr>
        <w:pStyle w:val="Epigraph"/>
        <w:jc w:val="right"/>
        <w:bidi w:val="1"/>
        <w:widowControl w:val="1"/>
      </w:pPr>
      <w:r>
        <w:rPr>
          <w:rFonts w:ascii="DejaVu Sans" w:hAnsi="DejaVu Sans" w:cs="DejaVu Sans"/>
          <w:b/>
          <w:color w:val="203748"/>
          <w:sz w:val="26"/>
          <w:rtl w:val="1"/>
        </w:rPr>
        <w:t>أَوَلَمْ يَرَوْا إِلَى الطَّيْرِ فَوْقَهُمْ صَافَّاتٍ وَيَقْبِضْنَ ۚ مَا يُمْسِكُهُنَّ إِلَّا الرَّحْمَٰنُ ۚ إِنَّهُ بِكُلِّ شَيْءٍ بَصِيرٌ</w:t>
      </w:r>
    </w:p>
    <w:p>
      <w:pPr>
        <w:widowControl w:val="1"/>
      </w:pPr>
      <w:r>
        <w:rPr>
          <w:rFonts w:ascii="Calibri" w:hAnsi="Calibri" w:cs="Calibri"/>
        </w:rPr>
        <w:t>Have they not seen the birds above them, spreading their wings and drawing them in? None holds them up except the Lord of Mercy; He sees everything. (67:19)</w:t>
      </w:r>
    </w:p>
    <w:p>
      <w:pPr>
        <w:widowControl w:val="1"/>
      </w:pPr>
      <w:r>
        <w:rPr>
          <w:rFonts w:ascii="Calibri" w:hAnsi="Calibri" w:cs="Calibri"/>
        </w:rPr>
        <w:t xml:space="preserve">Al-Ṭabarī explains </w:t>
      </w:r>
      <w:r>
        <w:rPr>
          <w:rFonts w:ascii="Calibri" w:hAnsi="Calibri" w:cs="Calibri"/>
          <w:i/>
        </w:rPr>
        <w:t>ṣāffāt</w:t>
      </w:r>
      <w:r>
        <w:rPr>
          <w:rFonts w:ascii="Calibri" w:hAnsi="Calibri" w:cs="Calibri"/>
        </w:rPr>
        <w:t xml:space="preserve"> as extending the wings and </w:t>
      </w:r>
      <w:r>
        <w:rPr>
          <w:rFonts w:ascii="Calibri" w:hAnsi="Calibri" w:cs="Calibri"/>
          <w:i/>
        </w:rPr>
        <w:t>yaqbiḍna</w:t>
      </w:r>
      <w:r>
        <w:rPr>
          <w:rFonts w:ascii="Calibri" w:hAnsi="Calibri" w:cs="Calibri"/>
        </w:rPr>
        <w:t xml:space="preserve"> as folding or drawing them in at times. The shift from a participle describing the sustained spread to a finite verb describing intermittent contraction produces a remarkably alive image: glide and wingbeat, extension and recovery. It asks no specialized equipment—only attention.</w:t>
      </w:r>
    </w:p>
    <w:p>
      <w:pPr>
        <w:widowControl w:val="1"/>
      </w:pPr>
      <w:r>
        <w:rPr>
          <w:rFonts w:ascii="Calibri" w:hAnsi="Calibri" w:cs="Calibri"/>
        </w:rPr>
        <w:t>Bird flight is not simple. Wings generate lift while also producing drag; their changing shape controls airflow, thrust, turning, braking, and stability. Flight feathers form strong, lightweight, interlocking surfaces, and the tail assists steering. Bone architecture, muscles, respiration, metabolism, sensory integration, and learned or instinctive control must work together. Hummingbirds intensify the wonder through rapid wingbeats and hovering; migratory birds add navigation, endurance, and energy management. Shah’s essays on hummingbirds, godwits, and avian flight use such discoveries to widen the field of the Qur’anic invitation.</w:t>
      </w:r>
    </w:p>
    <w:p>
      <w:pPr>
        <w:widowControl w:val="1"/>
      </w:pPr>
      <w:r>
        <w:rPr>
          <w:rFonts w:ascii="Calibri" w:hAnsi="Calibri" w:cs="Calibri"/>
        </w:rPr>
        <w:t xml:space="preserve">“None holds them except </w:t>
      </w:r>
      <w:r>
        <w:rPr>
          <w:rFonts w:ascii="Calibri" w:hAnsi="Calibri" w:cs="Calibri"/>
          <w:i/>
        </w:rPr>
        <w:t>al-Raḥmān</w:t>
      </w:r>
      <w:r>
        <w:rPr>
          <w:rFonts w:ascii="Calibri" w:hAnsi="Calibri" w:cs="Calibri"/>
        </w:rPr>
        <w:t>” does not compete with aerodynamics. Air pressure, momentum, muscular contraction, feather microstructure, and evolutionary history answer proximate questions about how birds fly. The verse asks why there is a stable, intelligible order in which such capacities can arise and remain effective, and why the whole event depends at every instant on realities the bird did not author.</w:t>
      </w:r>
    </w:p>
    <w:p>
      <w:pPr>
        <w:widowControl w:val="1"/>
      </w:pPr>
      <w:r>
        <w:rPr>
          <w:rFonts w:ascii="Calibri" w:hAnsi="Calibri" w:cs="Calibri"/>
        </w:rPr>
        <w:t>This is where Shah’s Ghazalian occasionalism is most illuminating, provided it is expressed carefully. On an occasionalist reading, created things possess no causally independent power that escapes God; what we call laws of nature describe the reliable patterns of divine action. One need not deny mechanisms to affirm the Sustainer. Aerodynamics is the grammar of the flight; providence is the reason there is a dependable grammar, a bird fitted to it, and a world in which both persist. Other Muslim philosophical traditions grant created secondary causes a stronger reality while still holding that they depend wholly upon the First Cause. Surah al-Mulk can accommodate this intramural difference: every school can affirm that the bird is not metaphysically self-supporting.</w:t>
      </w:r>
    </w:p>
    <w:p>
      <w:pPr>
        <w:widowControl w:val="1"/>
      </w:pPr>
      <w:r>
        <w:rPr>
          <w:rFonts w:ascii="Calibri" w:hAnsi="Calibri" w:cs="Calibri"/>
        </w:rPr>
        <w:t xml:space="preserve">The divine name is significant. The verse does not merely say that the All-Powerful holds the birds, but that the </w:t>
      </w:r>
      <w:r>
        <w:rPr>
          <w:rFonts w:ascii="Calibri" w:hAnsi="Calibri" w:cs="Calibri"/>
          <w:i/>
        </w:rPr>
        <w:t>Most Merciful</w:t>
      </w:r>
      <w:r>
        <w:rPr>
          <w:rFonts w:ascii="Calibri" w:hAnsi="Calibri" w:cs="Calibri"/>
        </w:rPr>
        <w:t xml:space="preserve"> does. Flight is a mercy: mobility, escape, feeding, migration, nesting, pollination, seed dispersal, and beauty. The same name appeared in verse 3—“the creation of </w:t>
      </w:r>
      <w:r>
        <w:rPr>
          <w:rFonts w:ascii="Calibri" w:hAnsi="Calibri" w:cs="Calibri"/>
          <w:i/>
        </w:rPr>
        <w:t>al-Raḥmān</w:t>
      </w:r>
      <w:r>
        <w:rPr>
          <w:rFonts w:ascii="Calibri" w:hAnsi="Calibri" w:cs="Calibri"/>
        </w:rPr>
        <w:t>.” Cosmic order and a wingbeat are two scales of merciful governance.</w:t>
      </w:r>
    </w:p>
    <w:p>
      <w:pPr>
        <w:pStyle w:val="Heading1"/>
        <w:widowControl w:val="1"/>
      </w:pPr>
      <w:r>
        <w:t>VII. Verses 20–22: false security, withheld provision, and two ways of walking</w:t>
      </w:r>
    </w:p>
    <w:p>
      <w:pPr>
        <w:widowControl w:val="1"/>
      </w:pPr>
      <w:r>
        <w:rPr>
          <w:rFonts w:ascii="Calibri" w:hAnsi="Calibri" w:cs="Calibri"/>
        </w:rPr>
        <w:t>The bird scene is followed by two questions that strip away imagined independence. What army could defend people apart from the Merciful? Who could provide if He withheld His provision? Political power and economic supply are exposed as derivative. Armies require bodies, food, water, terrain, information, morale, and natural regularities. Markets require trust, stable ecologies, productive labor, and material goods no financial instrument creates from nothing.</w:t>
      </w:r>
    </w:p>
    <w:p>
      <w:pPr>
        <w:widowControl w:val="1"/>
      </w:pPr>
      <w:r>
        <w:rPr>
          <w:rFonts w:ascii="Calibri" w:hAnsi="Calibri" w:cs="Calibri"/>
        </w:rPr>
        <w:t xml:space="preserve">Verse 21 prepares the final verse. “Provision” is first presented universally; water will later be named as the decisive instance. The rhetorical method moves from category to sacrament, from </w:t>
      </w:r>
      <w:r>
        <w:rPr>
          <w:rFonts w:ascii="Calibri" w:hAnsi="Calibri" w:cs="Calibri"/>
          <w:i/>
        </w:rPr>
        <w:t>rizq</w:t>
      </w:r>
      <w:r>
        <w:rPr>
          <w:rFonts w:ascii="Calibri" w:hAnsi="Calibri" w:cs="Calibri"/>
        </w:rPr>
        <w:t xml:space="preserve"> to the spring.</w:t>
      </w:r>
    </w:p>
    <w:p>
      <w:pPr>
        <w:widowControl w:val="1"/>
      </w:pPr>
      <w:r>
        <w:rPr>
          <w:rFonts w:ascii="Calibri" w:hAnsi="Calibri" w:cs="Calibri"/>
        </w:rPr>
        <w:t>Verse 22 changes the image to moral posture: is one who walks fallen on his face better guided, or one who walks upright on a straight path? This is not a contrast between scientific ignorance and scientific knowledge. A technically brilliant society can still walk morally inverted. The image concerns orientation: whether perception, desire, and action are ordered toward truth. It also recalls verse 15. Humanity is told to walk the earth, but there are different ways of walking it. Dominion entrusted for use must not be confused with ownership; exploration must not become rebellion; productivity must not erase gratitude.</w:t>
      </w:r>
    </w:p>
    <w:p>
      <w:pPr>
        <w:pStyle w:val="Heading1"/>
        <w:widowControl w:val="1"/>
      </w:pPr>
      <w:r>
        <w:t>VIII. Verses 23–24: the inward signs, guided evolution, and gathering</w:t>
      </w:r>
    </w:p>
    <w:p>
      <w:pPr>
        <w:pStyle w:val="Epigraph"/>
        <w:jc w:val="right"/>
        <w:bidi w:val="1"/>
        <w:widowControl w:val="1"/>
      </w:pPr>
      <w:r>
        <w:rPr>
          <w:rFonts w:ascii="DejaVu Sans" w:hAnsi="DejaVu Sans" w:cs="DejaVu Sans"/>
          <w:b/>
          <w:color w:val="203748"/>
          <w:sz w:val="26"/>
          <w:rtl w:val="1"/>
        </w:rPr>
        <w:t>قُلْ هُوَ الَّذِي أَنْشَأَكُمْ وَجَعَلَ لَكُمُ السَّمْعَ وَالْأَبْصَارَ وَالْأَفْئِدَةَ ۖ قَلِيلًا مَا تَشْكُرُونَ ۝ قُلْ هُوَ الَّذِي ذَرَأَكُمْ فِي الْأَرْضِ وَإِلَيْهِ تُحْشَرُونَ</w:t>
      </w:r>
    </w:p>
    <w:p>
      <w:pPr>
        <w:widowControl w:val="1"/>
      </w:pPr>
      <w:r>
        <w:rPr>
          <w:rFonts w:ascii="Calibri" w:hAnsi="Calibri" w:cs="Calibri"/>
        </w:rPr>
        <w:t>Say, “He is the One who brought you into being and gave you hearing, sight, and hearts—how little gratitude you show.” Say, “He is the One who multiplied and spread you through the earth, and to Him you will be gathered.” (67:23–24)</w:t>
      </w:r>
    </w:p>
    <w:p>
      <w:pPr>
        <w:widowControl w:val="1"/>
      </w:pPr>
      <w:r>
        <w:rPr>
          <w:rFonts w:ascii="Calibri" w:hAnsi="Calibri" w:cs="Calibri"/>
        </w:rPr>
        <w:t xml:space="preserve">The surah now turns the observer around. The eyes that survey the heavens are themselves created signs; the ears that receive the warning are gifts; the </w:t>
      </w:r>
      <w:r>
        <w:rPr>
          <w:rFonts w:ascii="Calibri" w:hAnsi="Calibri" w:cs="Calibri"/>
          <w:i/>
        </w:rPr>
        <w:t>afʾidah</w:t>
      </w:r>
      <w:r>
        <w:rPr>
          <w:rFonts w:ascii="Calibri" w:hAnsi="Calibri" w:cs="Calibri"/>
        </w:rPr>
        <w:t>—hearts as centers of understanding, intention, and moral response—are part of the evidence. The sequence completes the epistemology announced earlier. Verse 10 described the ruin of not listening or reasoning; verse 23 names the furnished capacities whose misuse made that ruin culpable.</w:t>
      </w:r>
    </w:p>
    <w:p>
      <w:pPr>
        <w:widowControl w:val="1"/>
      </w:pPr>
      <w:r>
        <w:rPr>
          <w:rFonts w:ascii="Calibri" w:hAnsi="Calibri" w:cs="Calibri"/>
        </w:rPr>
        <w:t>Neuroscience shows that seeing and hearing are not passive recording. Sensory organs transduce energy, neural pathways filter and integrate signals, memory and expectation shape perception, and distributed brain systems contribute to language, attention, emotion, self-awareness, and moral reasoning. Yet a complete inventory of neural correlates does not by itself explain subjective awareness or normativity—why a perception is experienced, why truth should be preferred to falsehood, or why gratitude should be owed. The Qur’an’s “heart” is not a claim that cognition occurs in the cardiac muscle; it is moral-phenomenological language for the inward center by which perception becomes understanding and commitment.</w:t>
      </w:r>
    </w:p>
    <w:p>
      <w:pPr>
        <w:widowControl w:val="1"/>
      </w:pPr>
      <w:r>
        <w:rPr>
          <w:rFonts w:ascii="Calibri" w:hAnsi="Calibri" w:cs="Calibri"/>
        </w:rPr>
        <w:t>Gratitude, therefore, is an epistemic virtue. To give thanks for sight is to look honestly; to give thanks for hearing is to listen beyond prejudice; to give thanks for the heart is to reason without corrupting reason into a servant of appetite. Gratitude culminates in the ethical use of knowledge.</w:t>
      </w:r>
    </w:p>
    <w:p>
      <w:pPr>
        <w:widowControl w:val="1"/>
      </w:pPr>
      <w:r>
        <w:rPr>
          <w:rFonts w:ascii="Calibri" w:hAnsi="Calibri" w:cs="Calibri"/>
        </w:rPr>
        <w:t xml:space="preserve">Verse 24 uses </w:t>
      </w:r>
      <w:r>
        <w:rPr>
          <w:rFonts w:ascii="Calibri" w:hAnsi="Calibri" w:cs="Calibri"/>
          <w:i/>
        </w:rPr>
        <w:t>dharaʾakum</w:t>
      </w:r>
      <w:r>
        <w:rPr>
          <w:rFonts w:ascii="Calibri" w:hAnsi="Calibri" w:cs="Calibri"/>
        </w:rPr>
        <w:t xml:space="preserve">, a verb that can carry bringing forth, multiplying, and dispersing. Classical commentators read it as God creating and spreading human beings through the earth. Modern anthropology and genetics have reconstructed a deep history of hominin evolution and migration, with </w:t>
      </w:r>
      <w:r>
        <w:rPr>
          <w:rFonts w:ascii="Calibri" w:hAnsi="Calibri" w:cs="Calibri"/>
          <w:i/>
        </w:rPr>
        <w:t>Homo sapiens</w:t>
      </w:r>
      <w:r>
        <w:rPr>
          <w:rFonts w:ascii="Calibri" w:hAnsi="Calibri" w:cs="Calibri"/>
        </w:rPr>
        <w:t xml:space="preserve"> originating in Africa and human populations eventually spreading across the globe. The verse does not specify genetic mechanisms, common ancestry, or a migration chronology, and it should not be advertised as a technical prediction. It is, however, fully at home in a guided-evolutionary reading: the Creator’s act can encompass a long, law-governed biological and cultural history rather than requiring an instantaneous manufacture detached from earthly processes.</w:t>
      </w:r>
    </w:p>
    <w:p>
      <w:pPr>
        <w:widowControl w:val="1"/>
      </w:pPr>
      <w:r>
        <w:rPr>
          <w:rFonts w:ascii="Calibri" w:hAnsi="Calibri" w:cs="Calibri"/>
        </w:rPr>
        <w:t>This is an important feature of Shah’s hermeneutic. His guided-evolution framework accepts common ancestry and reads Qur’anic verbs of origination, stages, growth, multiplication, and dispersal as compatible with divine creation through natural history. In Surah al-Mulk, the point is not to settle every dispute about Adam; it is to see that evolutionary process does not diminish providence. A history extending through billions of years may magnify the depth of the divine plan, while the emergence of conscious moral agents makes the test of verse 2 possible.</w:t>
      </w:r>
    </w:p>
    <w:p>
      <w:pPr>
        <w:widowControl w:val="1"/>
      </w:pPr>
      <w:r>
        <w:rPr>
          <w:rFonts w:ascii="Calibri" w:hAnsi="Calibri" w:cs="Calibri"/>
        </w:rPr>
        <w:t>The final clause reverses the movement: God dispersed you; to God you will be gathered. Population becomes congregation, geography becomes judgment, and natural history becomes moral history. Al-Rāzī explicitly says that the preceding signs—from animals, to human faculties, to human origination—serve to establish the reality of resurrection: the power capable of first creation is capable of restoration. This is the surah’s central philosophical bridge from providence to afterlife.</w:t>
      </w:r>
    </w:p>
    <w:p>
      <w:pPr>
        <w:pStyle w:val="Heading1"/>
        <w:widowControl w:val="1"/>
      </w:pPr>
      <w:r>
        <w:t>IX. Verses 25–29: the date is hidden, the warning is clear, and trust belongs to the Merciful</w:t>
      </w:r>
    </w:p>
    <w:p>
      <w:pPr>
        <w:widowControl w:val="1"/>
      </w:pPr>
      <w:r>
        <w:rPr>
          <w:rFonts w:ascii="Calibri" w:hAnsi="Calibri" w:cs="Calibri"/>
        </w:rPr>
        <w:t>The deniers ask when the promise will be fulfilled. The Prophet is commanded to answer that its knowledge belongs to God and that he is only a clear warner. This is a disciplined eschatology. The certainty of judgment is not permission to manufacture timetables. Revelation supplies the truth and moral urgency of the Hour, while withholding its date. The proper response is preparation, not speculation.</w:t>
      </w:r>
    </w:p>
    <w:p>
      <w:pPr>
        <w:widowControl w:val="1"/>
      </w:pPr>
      <w:r>
        <w:rPr>
          <w:rFonts w:ascii="Calibri" w:hAnsi="Calibri" w:cs="Calibri"/>
        </w:rPr>
        <w:t>When the promised reality draws near, the deniers’ faces become distressed. They are told that this is what they demanded. Their earlier demand for proof was not always an innocent request for evidence; it was often a strategy of postponement. The surah has already offered a cosmos, moral awareness, faculties of understanding, prophetic warning, and the contingency of provision. A date would not cure a will determined not to see.</w:t>
      </w:r>
    </w:p>
    <w:p>
      <w:pPr>
        <w:widowControl w:val="1"/>
      </w:pPr>
      <w:r>
        <w:rPr>
          <w:rFonts w:ascii="Calibri" w:hAnsi="Calibri" w:cs="Calibri"/>
        </w:rPr>
        <w:t>Verses 28–29 then detach the truth of the message from the worldly fate of the messenger: whether God destroys the Prophet and his companions or shows them mercy, who will protect the deniers from punishment? Truth is not defeated by the death of its witness. The Prophet’s authority is real but bounded: he warns, believes, and trusts; he does not control judgment, survival, or mercy.</w:t>
      </w:r>
    </w:p>
    <w:p>
      <w:pPr>
        <w:widowControl w:val="1"/>
      </w:pPr>
      <w:r>
        <w:rPr>
          <w:rFonts w:ascii="Calibri" w:hAnsi="Calibri" w:cs="Calibri"/>
        </w:rPr>
        <w:t xml:space="preserve">The believers’ confession is the surah’s spiritual center of gravity: “He is the Lord of Mercy; we believe in Him and place our trust in Him.” The </w:t>
      </w:r>
      <w:r>
        <w:rPr>
          <w:rFonts w:ascii="Calibri" w:hAnsi="Calibri" w:cs="Calibri"/>
          <w:i/>
        </w:rPr>
        <w:t>al-Raḥmān</w:t>
      </w:r>
      <w:r>
        <w:rPr>
          <w:rFonts w:ascii="Calibri" w:hAnsi="Calibri" w:cs="Calibri"/>
        </w:rPr>
        <w:t xml:space="preserve"> who structured the heavens and held the birds is now explicitly trusted. </w:t>
      </w:r>
      <w:r>
        <w:rPr>
          <w:rFonts w:ascii="Calibri" w:hAnsi="Calibri" w:cs="Calibri"/>
          <w:i/>
        </w:rPr>
        <w:t>Tawakkul</w:t>
      </w:r>
      <w:r>
        <w:rPr>
          <w:rFonts w:ascii="Calibri" w:hAnsi="Calibri" w:cs="Calibri"/>
        </w:rPr>
        <w:t xml:space="preserve"> is not passivity. Verse 15 commanded walking and seeking provision. Trust means acting vigorously without deifying one’s instruments, outcomes, or self.</w:t>
      </w:r>
    </w:p>
    <w:p>
      <w:pPr>
        <w:pStyle w:val="Heading1"/>
        <w:widowControl w:val="1"/>
      </w:pPr>
      <w:r>
        <w:t>X. Verse 30: all sovereignty gathered into a drop of water</w:t>
      </w:r>
    </w:p>
    <w:p>
      <w:pPr>
        <w:pStyle w:val="Epigraph"/>
        <w:jc w:val="right"/>
        <w:bidi w:val="1"/>
        <w:widowControl w:val="1"/>
      </w:pPr>
      <w:r>
        <w:rPr>
          <w:rFonts w:ascii="DejaVu Sans" w:hAnsi="DejaVu Sans" w:cs="DejaVu Sans"/>
          <w:b/>
          <w:color w:val="203748"/>
          <w:sz w:val="26"/>
          <w:rtl w:val="1"/>
        </w:rPr>
        <w:t>قُلْ أَرَأَيْتُمْ إِنْ أَصْبَحَ مَاؤُكُمْ غَوْرًا فَمَنْ يَأْتِيكُمْ بِمَاءٍ مَعِينٍ</w:t>
      </w:r>
    </w:p>
    <w:p>
      <w:pPr>
        <w:widowControl w:val="1"/>
      </w:pPr>
      <w:r>
        <w:rPr>
          <w:rFonts w:ascii="Calibri" w:hAnsi="Calibri" w:cs="Calibri"/>
        </w:rPr>
        <w:t>Say, “Consider this: if your water were to sink deep beyond reach, who could bring you flowing water?” (67:30)</w:t>
      </w:r>
    </w:p>
    <w:p>
      <w:pPr>
        <w:widowControl w:val="1"/>
      </w:pPr>
      <w:r>
        <w:rPr>
          <w:rFonts w:ascii="Calibri" w:hAnsi="Calibri" w:cs="Calibri"/>
        </w:rPr>
        <w:t xml:space="preserve">The final verse is astonishingly concrete. </w:t>
      </w:r>
      <w:r>
        <w:rPr>
          <w:rFonts w:ascii="Calibri" w:hAnsi="Calibri" w:cs="Calibri"/>
          <w:i/>
        </w:rPr>
        <w:t>Ghawran</w:t>
      </w:r>
      <w:r>
        <w:rPr>
          <w:rFonts w:ascii="Calibri" w:hAnsi="Calibri" w:cs="Calibri"/>
        </w:rPr>
        <w:t xml:space="preserve"> suggests water gone down into depth, receded, or become inaccessible. </w:t>
      </w:r>
      <w:r>
        <w:rPr>
          <w:rFonts w:ascii="Calibri" w:hAnsi="Calibri" w:cs="Calibri"/>
          <w:i/>
        </w:rPr>
        <w:t>Māʾin maʿīn</w:t>
      </w:r>
      <w:r>
        <w:rPr>
          <w:rFonts w:ascii="Calibri" w:hAnsi="Calibri" w:cs="Calibri"/>
        </w:rPr>
        <w:t xml:space="preserve"> is water flowing openly, readily reached, or springing before the eye. The surah does not end with an abstract syllogism about omnipotence. It ends at the well.</w:t>
      </w:r>
    </w:p>
    <w:p>
      <w:pPr>
        <w:widowControl w:val="1"/>
      </w:pPr>
      <w:r>
        <w:rPr>
          <w:rFonts w:ascii="Calibri" w:hAnsi="Calibri" w:cs="Calibri"/>
        </w:rPr>
        <w:t>Hydrogeology makes the image more—not less—powerful. Groundwater is generally not a vast underground lake; it occupies pores and fractures in permeable rock, sand, and gravel. Aquifers yield usable water when they can store and transmit it to springs or wells. Recharge from rain and snowmelt may take days, decades, centuries, or longer, depending on depth and geology. A region can possess water in principle yet lack accessible, fresh, renewable water in practice. Pumping can lower water tables; contamination can make supply unusable; saltwater can intrude into coastal aquifers; and ancient “fossil” groundwater can be depleted on a human timescale.</w:t>
      </w:r>
    </w:p>
    <w:p>
      <w:pPr>
        <w:widowControl w:val="1"/>
      </w:pPr>
      <w:r>
        <w:rPr>
          <w:rFonts w:ascii="Calibri" w:hAnsi="Calibri" w:cs="Calibri"/>
        </w:rPr>
        <w:t>Technology can drill, pump, desalinate, transport, recycle, and conserve. The verse does not belittle those achievements; verse 15 commands effort. It asks a deeper question: can technology create the total order on which technology depends—the hydrogen and oxygen, planetary gravity, climate, oceans, rain, porous geology, energy, intelligence, and social stability? Every engineered solution rearranges an inherited creation.</w:t>
      </w:r>
    </w:p>
    <w:p>
      <w:pPr>
        <w:widowControl w:val="1"/>
      </w:pPr>
      <w:r>
        <w:rPr>
          <w:rFonts w:ascii="Calibri" w:hAnsi="Calibri" w:cs="Calibri"/>
        </w:rPr>
        <w:t>At the planetary scale, liquid water is a central marker in the scientific search for habitability. Earth’s continuing surface water depends upon an interlocking history of temperature, atmosphere, gravity, geochemistry, and solar environment. Venus and Mars show, in different ways, that being a rocky planet near the Sun does not guarantee accessible surface water. These comparisons are not proofs that verse 30 predicted planetary science; they are modern expansions of its existential question. A world with flowing water is contingent, precious, and not self-explanatory.</w:t>
      </w:r>
    </w:p>
    <w:p>
      <w:pPr>
        <w:widowControl w:val="1"/>
      </w:pPr>
      <w:r>
        <w:rPr>
          <w:rFonts w:ascii="Calibri" w:hAnsi="Calibri" w:cs="Calibri"/>
        </w:rPr>
        <w:t>The closing verse gathers the whole surah:</w:t>
      </w:r>
    </w:p>
    <w:p>
      <w:pPr>
        <w:pStyle w:val="ListBullet"/>
        <w:widowControl w:val="1"/>
      </w:pPr>
      <w:r>
        <w:rPr>
          <w:rFonts w:ascii="Calibri" w:hAnsi="Calibri" w:cs="Calibri"/>
        </w:rPr>
        <w:t>Verse 1 says dominion is in God’s hand; verse 30 asks who else commands the spring.</w:t>
      </w:r>
    </w:p>
    <w:p>
      <w:pPr>
        <w:pStyle w:val="ListBullet"/>
        <w:widowControl w:val="1"/>
      </w:pPr>
      <w:r>
        <w:rPr>
          <w:rFonts w:ascii="Calibri" w:hAnsi="Calibri" w:cs="Calibri"/>
        </w:rPr>
        <w:t>Verse 2 says God created death and life; accessible water is among the immediate boundaries between them.</w:t>
      </w:r>
    </w:p>
    <w:p>
      <w:pPr>
        <w:pStyle w:val="ListBullet"/>
        <w:widowControl w:val="1"/>
      </w:pPr>
      <w:r>
        <w:rPr>
          <w:rFonts w:ascii="Calibri" w:hAnsi="Calibri" w:cs="Calibri"/>
        </w:rPr>
        <w:t>Verses 3–5 describe a coherent cosmic order; a life-bearing water cycle depends on cosmic and planetary order.</w:t>
      </w:r>
    </w:p>
    <w:p>
      <w:pPr>
        <w:pStyle w:val="ListBullet"/>
        <w:widowControl w:val="1"/>
      </w:pPr>
      <w:r>
        <w:rPr>
          <w:rFonts w:ascii="Calibri" w:hAnsi="Calibri" w:cs="Calibri"/>
        </w:rPr>
        <w:t>Verse 14 says the Creator knows the subtle and hidden; groundwater is a hidden provision governed through subtle pathways.</w:t>
      </w:r>
    </w:p>
    <w:p>
      <w:pPr>
        <w:pStyle w:val="ListBullet"/>
        <w:widowControl w:val="1"/>
      </w:pPr>
      <w:r>
        <w:rPr>
          <w:rFonts w:ascii="Calibri" w:hAnsi="Calibri" w:cs="Calibri"/>
        </w:rPr>
        <w:t>Verse 15 commands humanity to walk the earth and eat God’s provision; agriculture and settlement follow water.</w:t>
      </w:r>
    </w:p>
    <w:p>
      <w:pPr>
        <w:pStyle w:val="ListBullet"/>
        <w:widowControl w:val="1"/>
      </w:pPr>
      <w:r>
        <w:rPr>
          <w:rFonts w:ascii="Calibri" w:hAnsi="Calibri" w:cs="Calibri"/>
        </w:rPr>
        <w:t>Verse 19 shows the Merciful holding birds in a fitted atmosphere; verse 30 shows the Merciful sustaining embodied life through water.</w:t>
      </w:r>
    </w:p>
    <w:p>
      <w:pPr>
        <w:pStyle w:val="ListBullet"/>
        <w:widowControl w:val="1"/>
      </w:pPr>
      <w:r>
        <w:rPr>
          <w:rFonts w:ascii="Calibri" w:hAnsi="Calibri" w:cs="Calibri"/>
        </w:rPr>
        <w:t>Verses 20–21 deny that an army can independently defend or provide; no army can command rain or manufacture a hydrological world.</w:t>
      </w:r>
    </w:p>
    <w:p>
      <w:pPr>
        <w:pStyle w:val="ListBullet"/>
        <w:widowControl w:val="1"/>
      </w:pPr>
      <w:r>
        <w:rPr>
          <w:rFonts w:ascii="Calibri" w:hAnsi="Calibri" w:cs="Calibri"/>
        </w:rPr>
        <w:t>Verse 23 gives faculties of perception; verse 30 asks those faculties to consider what familiarity has made invisible.</w:t>
      </w:r>
    </w:p>
    <w:p>
      <w:pPr>
        <w:pStyle w:val="ListBullet"/>
        <w:widowControl w:val="1"/>
      </w:pPr>
      <w:r>
        <w:rPr>
          <w:rFonts w:ascii="Calibri" w:hAnsi="Calibri" w:cs="Calibri"/>
        </w:rPr>
        <w:t>Verse 24 describes humanity spread through the earth and gathered to God; every human settlement is written around water, and every generation moves toward gathering.</w:t>
      </w:r>
    </w:p>
    <w:p>
      <w:pPr>
        <w:pStyle w:val="ListBullet"/>
        <w:widowControl w:val="1"/>
      </w:pPr>
      <w:r>
        <w:rPr>
          <w:rFonts w:ascii="Calibri" w:hAnsi="Calibri" w:cs="Calibri"/>
        </w:rPr>
        <w:t xml:space="preserve">Verse 29 names the One trusted by believers as </w:t>
      </w:r>
      <w:r>
        <w:rPr>
          <w:rFonts w:ascii="Calibri" w:hAnsi="Calibri" w:cs="Calibri"/>
          <w:i/>
        </w:rPr>
        <w:t>al-Raḥmān</w:t>
      </w:r>
      <w:r>
        <w:rPr>
          <w:rFonts w:ascii="Calibri" w:hAnsi="Calibri" w:cs="Calibri"/>
        </w:rPr>
        <w:t>; verse 30 lets water disclose what that mercy has quietly meant all along.</w:t>
      </w:r>
    </w:p>
    <w:p>
      <w:pPr>
        <w:widowControl w:val="1"/>
      </w:pPr>
      <w:r>
        <w:rPr>
          <w:rFonts w:ascii="Calibri" w:hAnsi="Calibri" w:cs="Calibri"/>
        </w:rPr>
        <w:t>The question receives no verbal answer. The silence is the answer. The reader is left to supply either gratitude or evasion.</w:t>
      </w:r>
    </w:p>
    <w:p>
      <w:pPr>
        <w:pStyle w:val="Heading1"/>
        <w:widowControl w:val="1"/>
      </w:pPr>
      <w:r>
        <w:t>Providence and afterlife: not two themes but one</w:t>
      </w:r>
    </w:p>
    <w:p>
      <w:pPr>
        <w:widowControl w:val="1"/>
      </w:pPr>
      <w:r>
        <w:rPr>
          <w:rFonts w:ascii="Calibri" w:hAnsi="Calibri" w:cs="Calibri"/>
        </w:rPr>
        <w:t>Surah al-Mulk presents providence (</w:t>
      </w:r>
      <w:r>
        <w:rPr>
          <w:rFonts w:ascii="Calibri" w:hAnsi="Calibri" w:cs="Calibri"/>
          <w:i/>
        </w:rPr>
        <w:t>rubūbiyyah</w:t>
      </w:r>
      <w:r>
        <w:rPr>
          <w:rFonts w:ascii="Calibri" w:hAnsi="Calibri" w:cs="Calibri"/>
        </w:rPr>
        <w:t>, sustaining lordship) and afterlife as inseparable. Providence provides the moral arena; afterlife reveals its final meaning. The orderly heavens permit embodied existence. The manageable earth permits work. Provision permits responsibility rather than mere survival. Hearing, sight, and hearts permit knowledge and choice. Revelation permits accountable response. Hidden divine knowledge preserves the significance of deeds unseen by society. Death ends the trial, and resurrection brings the scattered actors before the Sovereign.</w:t>
      </w:r>
    </w:p>
    <w:p>
      <w:pPr>
        <w:widowControl w:val="1"/>
      </w:pPr>
      <w:r>
        <w:rPr>
          <w:rFonts w:ascii="Calibri" w:hAnsi="Calibri" w:cs="Calibri"/>
        </w:rPr>
        <w:t>This structure also clarifies what providence does not mean. It is not a promise that believers will never suffer, that natural processes will never harm, or that every worldly outcome mirrors a person’s moral worth. The surah places earthquake, storm, mortality, and persecution inside its account. Providence is the wise sustaining and governing of a world in which real agency, stable regularities, vulnerability, repentance, and moral growth are possible. The afterlife is indispensable because worldly history does not distribute suffering and reward with perfect justice.</w:t>
      </w:r>
    </w:p>
    <w:p>
      <w:pPr>
        <w:widowControl w:val="1"/>
      </w:pPr>
      <w:r>
        <w:rPr>
          <w:rFonts w:ascii="Calibri" w:hAnsi="Calibri" w:cs="Calibri"/>
        </w:rPr>
        <w:t>Shah’s “four books” framework can deepen this synthesis. The Qur’an is the book of revelation; nature is the created book of signs; providential destiny is the unfolding book in which lives and events occur; and the book of deeds is the moral record disclosed at judgment. Surah al-Mulk touches all four. Revelation commands the gaze; nature presents heavens, earth, birds, bodies, and water; providence holds and supplies; human beings write their response through deeds; resurrection gathers the books into one verdict. This is a useful contemporary synthesis so long as the categories are not collapsed: nature is not itself scripture, causal traces are not the whole moral record, and scientific explanation is not a substitute for revelation.</w:t>
      </w:r>
    </w:p>
    <w:p>
      <w:pPr>
        <w:pStyle w:val="Heading1"/>
        <w:widowControl w:val="1"/>
      </w:pPr>
      <w:r>
        <w:t>Classical and contemporary voices in conversation</w:t>
      </w:r>
    </w:p>
    <w:p>
      <w:pPr>
        <w:widowControl w:val="1"/>
      </w:pPr>
      <w:r>
        <w:rPr>
          <w:rFonts w:ascii="Calibri" w:hAnsi="Calibri" w:cs="Calibri"/>
        </w:rPr>
        <w:t>The classical commentators provide indispensable controls on modern expansion.</w:t>
      </w:r>
    </w:p>
    <w:p>
      <w:pPr>
        <w:widowControl w:val="1"/>
      </w:pPr>
      <w:r>
        <w:rPr>
          <w:rFonts w:ascii="Calibri" w:hAnsi="Calibri" w:cs="Calibri"/>
          <w:b/>
        </w:rPr>
        <w:t>Al-Ṭabarī</w:t>
      </w:r>
      <w:r>
        <w:rPr>
          <w:rFonts w:ascii="Calibri" w:hAnsi="Calibri" w:cs="Calibri"/>
        </w:rPr>
        <w:t xml:space="preserve"> anchors the language in early transmitted interpretation. His treatment of verse 14 stresses the Creator’s intimate knowledge of creatures and deeds; his treatment of verse 19 carefully observes the alternation between spread and contracted wings. His approach keeps commentary close to Arabic usage and the earliest interpretive community.</w:t>
      </w:r>
    </w:p>
    <w:p>
      <w:pPr>
        <w:widowControl w:val="1"/>
      </w:pPr>
      <w:r>
        <w:rPr>
          <w:rFonts w:ascii="Calibri" w:hAnsi="Calibri" w:cs="Calibri"/>
          <w:b/>
        </w:rPr>
        <w:t>Fakhr al-Dīn al-Rāzī</w:t>
      </w:r>
      <w:r>
        <w:rPr>
          <w:rFonts w:ascii="Calibri" w:hAnsi="Calibri" w:cs="Calibri"/>
        </w:rPr>
        <w:t xml:space="preserve"> displays the philosophical energy already present within classical tafsīr. He explores the meaning of created death, the wisdom of repeated observation, theological debates about coherence in creation, and the relation of stellar lamps to meteoric phenomena. Most importantly for the surah’s architecture, he explicitly reads the signs in animals, human faculties, and human origination as arguments for resurrection, because first creation establishes the possibility of re-creation.</w:t>
      </w:r>
    </w:p>
    <w:p>
      <w:pPr>
        <w:widowControl w:val="1"/>
      </w:pPr>
      <w:r>
        <w:rPr>
          <w:rFonts w:ascii="Calibri" w:hAnsi="Calibri" w:cs="Calibri"/>
          <w:b/>
        </w:rPr>
        <w:t>Al-Qurṭubī</w:t>
      </w:r>
      <w:r>
        <w:rPr>
          <w:rFonts w:ascii="Calibri" w:hAnsi="Calibri" w:cs="Calibri"/>
        </w:rPr>
        <w:t xml:space="preserve"> draws together lexicon, doctrine, transmitted reports, and ethical exhortation. His discussion of </w:t>
      </w:r>
      <w:r>
        <w:rPr>
          <w:rFonts w:ascii="Calibri" w:hAnsi="Calibri" w:cs="Calibri"/>
          <w:i/>
        </w:rPr>
        <w:t>tabāraka</w:t>
      </w:r>
      <w:r>
        <w:rPr>
          <w:rFonts w:ascii="Calibri" w:hAnsi="Calibri" w:cs="Calibri"/>
        </w:rPr>
        <w:t xml:space="preserve"> presents divine blessedness as exalted, enduring, and abundantly productive of good. He also preserves the traditions concerning the surah’s intercession and protection, locating its devotional reception within its theological content.</w:t>
      </w:r>
    </w:p>
    <w:p>
      <w:pPr>
        <w:widowControl w:val="1"/>
      </w:pPr>
      <w:r>
        <w:rPr>
          <w:rFonts w:ascii="Calibri" w:hAnsi="Calibri" w:cs="Calibri"/>
          <w:b/>
        </w:rPr>
        <w:t>Ibn Kathīr</w:t>
      </w:r>
      <w:r>
        <w:rPr>
          <w:rFonts w:ascii="Calibri" w:hAnsi="Calibri" w:cs="Calibri"/>
        </w:rPr>
        <w:t xml:space="preserve"> emphasizes the surah’s Makkan setting, its virtues, its cross-Qur’anic explanations, and the direct contrast between the destiny of deniers and the reward of those who fear God unseen. His commentary reinforces the surah’s role as repeated preparation for judgment.</w:t>
      </w:r>
    </w:p>
    <w:p>
      <w:pPr>
        <w:widowControl w:val="1"/>
      </w:pPr>
      <w:r>
        <w:rPr>
          <w:rFonts w:ascii="Calibri" w:hAnsi="Calibri" w:cs="Calibri"/>
        </w:rPr>
        <w:t xml:space="preserve">Among modern commentators, </w:t>
      </w:r>
      <w:r>
        <w:rPr>
          <w:rFonts w:ascii="Calibri" w:hAnsi="Calibri" w:cs="Calibri"/>
          <w:b/>
        </w:rPr>
        <w:t>Abul Aʿla Maududi</w:t>
      </w:r>
      <w:r>
        <w:rPr>
          <w:rFonts w:ascii="Calibri" w:hAnsi="Calibri" w:cs="Calibri"/>
        </w:rPr>
        <w:t xml:space="preserve"> stresses that divine sovereignty invalidates every claim of autonomous power and that the natural signs lead toward accountability. </w:t>
      </w:r>
      <w:r>
        <w:rPr>
          <w:rFonts w:ascii="Calibri" w:hAnsi="Calibri" w:cs="Calibri"/>
          <w:b/>
        </w:rPr>
        <w:t>Sayyid Qutb</w:t>
      </w:r>
      <w:r>
        <w:rPr>
          <w:rFonts w:ascii="Calibri" w:hAnsi="Calibri" w:cs="Calibri"/>
        </w:rPr>
        <w:t xml:space="preserve"> is especially attentive to the surah’s living scenes—the upward gaze, the roaring fire, the shaking earth, the flying bird, the two walkers, the distressed face—through which doctrine becomes an experience of the heart. </w:t>
      </w:r>
      <w:r>
        <w:rPr>
          <w:rFonts w:ascii="Calibri" w:hAnsi="Calibri" w:cs="Calibri"/>
          <w:b/>
        </w:rPr>
        <w:t>Muhammad al-Ghazali</w:t>
      </w:r>
      <w:r>
        <w:rPr>
          <w:rFonts w:ascii="Calibri" w:hAnsi="Calibri" w:cs="Calibri"/>
        </w:rPr>
        <w:t xml:space="preserve">, in his thematic commentary, reads the chapter as a unified confrontation with materialism: rational attention to life’s purpose and the surrounding signs should produce faith in the hereafter, responsible use of earthly resources, and freedom from false securities. A contemporary Shiʿi commentary in </w:t>
      </w:r>
      <w:r>
        <w:rPr>
          <w:rFonts w:ascii="Calibri" w:hAnsi="Calibri" w:cs="Calibri"/>
          <w:i/>
        </w:rPr>
        <w:t>An Enlightening Commentary into the Light of the Holy Qur’an</w:t>
      </w:r>
      <w:r>
        <w:rPr>
          <w:rFonts w:ascii="Calibri" w:hAnsi="Calibri" w:cs="Calibri"/>
        </w:rPr>
        <w:t xml:space="preserve"> likewise underscores the recurring union of power and mercy, warning and forgiveness.</w:t>
      </w:r>
    </w:p>
    <w:p>
      <w:pPr>
        <w:widowControl w:val="1"/>
      </w:pPr>
      <w:r>
        <w:rPr>
          <w:rFonts w:ascii="Calibri" w:hAnsi="Calibri" w:cs="Calibri"/>
        </w:rPr>
        <w:t>These voices differ in method, theology, and emphasis, but converge on the surah’s central movement: the created order is sign, provision is trust, reason and revelation cooperate, and sovereignty entails judgment.</w:t>
      </w:r>
    </w:p>
    <w:p>
      <w:pPr>
        <w:pStyle w:val="Heading1"/>
        <w:widowControl w:val="1"/>
      </w:pPr>
      <w:r>
        <w:t>A disciplined scientific hermeneutic</w:t>
      </w:r>
    </w:p>
    <w:p>
      <w:pPr>
        <w:widowControl w:val="1"/>
      </w:pPr>
      <w:r>
        <w:rPr>
          <w:rFonts w:ascii="Calibri" w:hAnsi="Calibri" w:cs="Calibri"/>
        </w:rPr>
        <w:t>Scientific commentary on the Qur’an is strongest when it distinguishes three levels.</w:t>
      </w:r>
    </w:p>
    <w:p>
      <w:pPr>
        <w:widowControl w:val="1"/>
      </w:pPr>
      <w:r>
        <w:rPr>
          <w:rFonts w:ascii="Calibri" w:hAnsi="Calibri" w:cs="Calibri"/>
        </w:rPr>
        <w:t xml:space="preserve">First is the </w:t>
      </w:r>
      <w:r>
        <w:rPr>
          <w:rFonts w:ascii="Calibri" w:hAnsi="Calibri" w:cs="Calibri"/>
          <w:b/>
        </w:rPr>
        <w:t>textual level</w:t>
      </w:r>
      <w:r>
        <w:rPr>
          <w:rFonts w:ascii="Calibri" w:hAnsi="Calibri" w:cs="Calibri"/>
        </w:rPr>
        <w:t>: what the Arabic words, rhetoric, sequence, and classical reception reasonably signify. At this level, birds spread and contract their wings; the earth is made traversable; human faculties are gifts; water may become inaccessible.</w:t>
      </w:r>
    </w:p>
    <w:p>
      <w:pPr>
        <w:widowControl w:val="1"/>
      </w:pPr>
      <w:r>
        <w:rPr>
          <w:rFonts w:ascii="Calibri" w:hAnsi="Calibri" w:cs="Calibri"/>
        </w:rPr>
        <w:t xml:space="preserve">Second is the </w:t>
      </w:r>
      <w:r>
        <w:rPr>
          <w:rFonts w:ascii="Calibri" w:hAnsi="Calibri" w:cs="Calibri"/>
          <w:b/>
        </w:rPr>
        <w:t>scientific level</w:t>
      </w:r>
      <w:r>
        <w:rPr>
          <w:rFonts w:ascii="Calibri" w:hAnsi="Calibri" w:cs="Calibri"/>
        </w:rPr>
        <w:t>: what disciplined inquiry currently says about cosmology, habitability, aerodynamics, neuroscience, evolution, migration, and groundwater. Scientific accounts remain corrigible and should be represented with their uncertainties.</w:t>
      </w:r>
    </w:p>
    <w:p>
      <w:pPr>
        <w:widowControl w:val="1"/>
      </w:pPr>
      <w:r>
        <w:rPr>
          <w:rFonts w:ascii="Calibri" w:hAnsi="Calibri" w:cs="Calibri"/>
        </w:rPr>
        <w:t xml:space="preserve">Third is the </w:t>
      </w:r>
      <w:r>
        <w:rPr>
          <w:rFonts w:ascii="Calibri" w:hAnsi="Calibri" w:cs="Calibri"/>
          <w:b/>
        </w:rPr>
        <w:t>philosophical-theological level</w:t>
      </w:r>
      <w:r>
        <w:rPr>
          <w:rFonts w:ascii="Calibri" w:hAnsi="Calibri" w:cs="Calibri"/>
        </w:rPr>
        <w:t>: what may be inferred about intelligibility, contingency, purpose, value, providence, and God. Fine-tuning may contribute to a design argument, but design is not a measurement read directly from a telescope. Neural dependence may illuminate embodiment, but it does not by itself settle the metaphysics of consciousness. Evolution may describe biological history, but it does not decide whether that history is unguided or providential. Hydrology explains how water moves; it does not answer why there is a life-permitting world or what gratitude demands.</w:t>
      </w:r>
    </w:p>
    <w:p>
      <w:pPr>
        <w:widowControl w:val="1"/>
      </w:pPr>
      <w:r>
        <w:rPr>
          <w:rFonts w:ascii="Calibri" w:hAnsi="Calibri" w:cs="Calibri"/>
        </w:rPr>
        <w:t>Surah al-Mulk invites all three levels without confusing them. It asks the eye to look, the ear to listen, the heart to understand, and the person to act. That is a more durable harmony of Qur’an and science than a catalog of fragile “miracle” claims.</w:t>
      </w:r>
    </w:p>
    <w:p>
      <w:pPr>
        <w:pStyle w:val="Heading1"/>
        <w:widowControl w:val="1"/>
      </w:pPr>
      <w:r>
        <w:t>Thematic Epilogue: from the farthest heaven to the nearest cup</w:t>
      </w:r>
    </w:p>
    <w:p>
      <w:pPr>
        <w:widowControl w:val="1"/>
      </w:pPr>
      <w:r>
        <w:rPr>
          <w:rFonts w:ascii="Calibri" w:hAnsi="Calibri" w:cs="Calibri"/>
        </w:rPr>
        <w:t>Surah al-Mulk opens above us and closes within us. At first the reader stands beneath layered heavens, confronted by a dominion too vast to possess and an order too deep to exhaust. The gaze is sent out once, twice, again—until arrogance tires before creation does. Then the surah turns the gaze through judgment, conscience, hidden speech, walking feet, beating wings, listening ears, seeing eyes, thinking hearts, dispersed peoples, and anxious faces. Finally it brings the entire kingdom to the lips as water.</w:t>
      </w:r>
    </w:p>
    <w:p>
      <w:pPr>
        <w:widowControl w:val="1"/>
      </w:pPr>
      <w:r>
        <w:rPr>
          <w:rFonts w:ascii="Calibri" w:hAnsi="Calibri" w:cs="Calibri"/>
        </w:rPr>
        <w:t>The first five verses and the last are therefore one sustained revelation. The heavens are not remote from the spring. Stellar history made the elements; planetary order made liquid water possible; the manageable earth stores and releases it; living bodies require it; birds cross landscapes in search of it; civilizations gather around it; moral agents are tested in how they receive and share it. The One who created the large also gives the small, and the small may disclose the large.</w:t>
      </w:r>
    </w:p>
    <w:p>
      <w:pPr>
        <w:widowControl w:val="1"/>
      </w:pPr>
      <w:r>
        <w:rPr>
          <w:rFonts w:ascii="Calibri" w:hAnsi="Calibri" w:cs="Calibri"/>
        </w:rPr>
        <w:t>Verse 14 supplies the hidden center: the Creator knows. Verse 19 supplies the emotional center: the Merciful holds. Verse 23 supplies the human center: He gives the faculties by which signs are received. Verse 24 supplies the eschatological center: the One who spread humanity will gather it. Verse 30 supplies the existential center: nothing we call “ours” is self-grounded.</w:t>
      </w:r>
    </w:p>
    <w:p>
      <w:pPr>
        <w:widowControl w:val="1"/>
      </w:pPr>
      <w:r>
        <w:rPr>
          <w:rFonts w:ascii="Calibri" w:hAnsi="Calibri" w:cs="Calibri"/>
        </w:rPr>
        <w:t>The surah’s vision of providence is neither magical interruption nor deistic absence. God’s mercy is present in the very regularities by which stars burn, wings lift, brains perceive, soil yields, aquifers recharge, and societies live. The laws do not make the Lawgiver redundant; they make the world readable. Human action is real, but it is action inside gift. Human knowledge is honored, but it ends in humility. Human freedom matters, because life is a test. Human suffering is not the final verdict, because there is a gathering.</w:t>
      </w:r>
    </w:p>
    <w:p>
      <w:pPr>
        <w:widowControl w:val="1"/>
      </w:pPr>
      <w:r>
        <w:rPr>
          <w:rFonts w:ascii="Calibri" w:hAnsi="Calibri" w:cs="Calibri"/>
        </w:rPr>
        <w:t>And so the chapter that tradition calls an intercessor teaches the reader how to see before sight is overwhelmed by the unseen. Look while looking can become gratitude. Listen while listening can become guidance. Reason while reason can become repentance. Walk the earth, eat of God’s provision, study its patterns, protect its waters, and trust the Merciful—because the kingdom was never absent from the cup in your hand, and the road across the earth has always ended in return.</w:t>
      </w:r>
    </w:p>
    <w:p>
      <w:pPr>
        <w:pStyle w:val="Heading1"/>
        <w:pageBreakBefore/>
        <w:widowControl w:val="1"/>
      </w:pPr>
      <w:r>
        <w:t>Selected References</w:t>
      </w:r>
    </w:p>
    <w:p>
      <w:pPr>
        <w:pStyle w:val="Heading2"/>
        <w:widowControl w:val="1"/>
      </w:pPr>
      <w:r>
        <w:t>Qur’an, hadith, and tafsīr</w:t>
      </w:r>
    </w:p>
    <w:p>
      <w:pPr>
        <w:pStyle w:val="Reference"/>
        <w:numPr>
          <w:ilvl w:val="0"/>
          <w:numId w:val="10"/>
        </w:numPr>
        <w:widowControl w:val="1"/>
      </w:pPr>
      <w:r>
        <w:rPr>
          <w:rFonts w:ascii="Calibri" w:hAnsi="Calibri" w:cs="Calibri"/>
          <w:sz w:val="17"/>
        </w:rPr>
        <w:t xml:space="preserve">The Qur’an, Surah al-Mulk 67:1–30. Translation consulted: M. A. S. Abdel Haleem, </w:t>
      </w:r>
      <w:r>
        <w:rPr>
          <w:rFonts w:ascii="Calibri" w:hAnsi="Calibri" w:cs="Calibri"/>
          <w:i/>
          <w:sz w:val="17"/>
        </w:rPr>
        <w:t>The Qur’an: A New Translation</w:t>
      </w:r>
      <w:r>
        <w:rPr>
          <w:rFonts w:ascii="Calibri" w:hAnsi="Calibri" w:cs="Calibri"/>
          <w:sz w:val="17"/>
        </w:rPr>
        <w:t xml:space="preserve"> (Oxford University Press).</w:t>
      </w:r>
    </w:p>
    <w:p>
      <w:pPr>
        <w:pStyle w:val="Reference"/>
        <w:numPr>
          <w:ilvl w:val="0"/>
          <w:numId w:val="10"/>
        </w:numPr>
        <w:widowControl w:val="1"/>
      </w:pPr>
      <w:r>
        <w:rPr>
          <w:rFonts w:ascii="Calibri" w:hAnsi="Calibri" w:cs="Calibri"/>
          <w:sz w:val="17"/>
        </w:rPr>
        <w:t xml:space="preserve">Al-Ṭabarī, </w:t>
      </w:r>
      <w:r>
        <w:rPr>
          <w:rFonts w:ascii="Calibri" w:hAnsi="Calibri" w:cs="Calibri"/>
          <w:i/>
          <w:sz w:val="17"/>
        </w:rPr>
        <w:t>Jāmiʿ al-bayān</w:t>
      </w:r>
      <w:r>
        <w:rPr>
          <w:rFonts w:ascii="Calibri" w:hAnsi="Calibri" w:cs="Calibri"/>
          <w:sz w:val="17"/>
        </w:rPr>
        <w:t xml:space="preserve">, commentary on 67:14 and 67:19. Quran KSU: </w:t>
      </w:r>
      <w:hyperlink r:id="rId11">
        <w:r>
          <w:rPr>
            <w:color w:val="2E74B5"/>
            <w:u w:val="single"/>
            <w:rFonts w:ascii="Calibri" w:hAnsi="Calibri"/>
          </w:rPr>
          <w:t>View source (quran.ksu.edu.sa)</w:t>
        </w:r>
      </w:hyperlink>
      <w:r>
        <w:rPr>
          <w:rFonts w:ascii="Calibri" w:hAnsi="Calibri" w:cs="Calibri"/>
          <w:sz w:val="17"/>
        </w:rPr>
        <w:t xml:space="preserve"> and </w:t>
      </w:r>
      <w:hyperlink r:id="rId12">
        <w:r>
          <w:rPr>
            <w:color w:val="2E74B5"/>
            <w:u w:val="single"/>
            <w:rFonts w:ascii="Calibri" w:hAnsi="Calibri"/>
          </w:rPr>
          <w:t>View source (quran.ksu.edu.sa)</w:t>
        </w:r>
      </w:hyperlink>
    </w:p>
    <w:p>
      <w:pPr>
        <w:pStyle w:val="Reference"/>
        <w:numPr>
          <w:ilvl w:val="0"/>
          <w:numId w:val="10"/>
        </w:numPr>
        <w:widowControl w:val="1"/>
      </w:pPr>
      <w:r>
        <w:rPr>
          <w:rFonts w:ascii="Calibri" w:hAnsi="Calibri" w:cs="Calibri"/>
          <w:sz w:val="17"/>
        </w:rPr>
        <w:t xml:space="preserve">Fakhr al-Dīn al-Rāzī, </w:t>
      </w:r>
      <w:r>
        <w:rPr>
          <w:rFonts w:ascii="Calibri" w:hAnsi="Calibri" w:cs="Calibri"/>
          <w:i/>
          <w:sz w:val="17"/>
        </w:rPr>
        <w:t>Mafātīḥ al-ghayb</w:t>
      </w:r>
      <w:r>
        <w:rPr>
          <w:rFonts w:ascii="Calibri" w:hAnsi="Calibri" w:cs="Calibri"/>
          <w:sz w:val="17"/>
        </w:rPr>
        <w:t xml:space="preserve">, commentary on Surah al-Mulk. </w:t>
      </w:r>
      <w:hyperlink r:id="rId13">
        <w:r>
          <w:rPr>
            <w:color w:val="2E74B5"/>
            <w:u w:val="single"/>
            <w:rFonts w:ascii="Calibri" w:hAnsi="Calibri"/>
          </w:rPr>
          <w:t>View source (quranpedia.net)</w:t>
        </w:r>
      </w:hyperlink>
    </w:p>
    <w:p>
      <w:pPr>
        <w:pStyle w:val="Reference"/>
        <w:numPr>
          <w:ilvl w:val="0"/>
          <w:numId w:val="10"/>
        </w:numPr>
        <w:widowControl w:val="1"/>
      </w:pPr>
      <w:r>
        <w:rPr>
          <w:rFonts w:ascii="Calibri" w:hAnsi="Calibri" w:cs="Calibri"/>
          <w:sz w:val="17"/>
        </w:rPr>
        <w:t xml:space="preserve">Al-Qurṭubī, </w:t>
      </w:r>
      <w:r>
        <w:rPr>
          <w:rFonts w:ascii="Calibri" w:hAnsi="Calibri" w:cs="Calibri"/>
          <w:i/>
          <w:sz w:val="17"/>
        </w:rPr>
        <w:t>Al-Jāmiʿ li-aḥkām al-Qurʾān</w:t>
      </w:r>
      <w:r>
        <w:rPr>
          <w:rFonts w:ascii="Calibri" w:hAnsi="Calibri" w:cs="Calibri"/>
          <w:sz w:val="17"/>
        </w:rPr>
        <w:t xml:space="preserve">, commentary on Surah al-Mulk. </w:t>
      </w:r>
      <w:hyperlink r:id="rId14">
        <w:r>
          <w:rPr>
            <w:color w:val="2E74B5"/>
            <w:u w:val="single"/>
            <w:rFonts w:ascii="Calibri" w:hAnsi="Calibri"/>
          </w:rPr>
          <w:t>View source (quranpedia.net)</w:t>
        </w:r>
      </w:hyperlink>
    </w:p>
    <w:p>
      <w:pPr>
        <w:pStyle w:val="Reference"/>
        <w:numPr>
          <w:ilvl w:val="0"/>
          <w:numId w:val="10"/>
        </w:numPr>
        <w:widowControl w:val="1"/>
      </w:pPr>
      <w:r>
        <w:rPr>
          <w:rFonts w:ascii="Calibri" w:hAnsi="Calibri" w:cs="Calibri"/>
          <w:sz w:val="17"/>
        </w:rPr>
        <w:t xml:space="preserve">Ibn Kathīr, </w:t>
      </w:r>
      <w:r>
        <w:rPr>
          <w:rFonts w:ascii="Calibri" w:hAnsi="Calibri" w:cs="Calibri"/>
          <w:i/>
          <w:sz w:val="17"/>
        </w:rPr>
        <w:t>Tafsīr al-Qurʾān al-ʿAẓīm</w:t>
      </w:r>
      <w:r>
        <w:rPr>
          <w:rFonts w:ascii="Calibri" w:hAnsi="Calibri" w:cs="Calibri"/>
          <w:sz w:val="17"/>
        </w:rPr>
        <w:t xml:space="preserve">, commentary on Surah al-Mulk. </w:t>
      </w:r>
      <w:hyperlink r:id="rId15">
        <w:r>
          <w:rPr>
            <w:color w:val="2E74B5"/>
            <w:u w:val="single"/>
            <w:rFonts w:ascii="Calibri" w:hAnsi="Calibri"/>
          </w:rPr>
          <w:t>View source (alim.org)</w:t>
        </w:r>
      </w:hyperlink>
    </w:p>
    <w:p>
      <w:pPr>
        <w:pStyle w:val="Reference"/>
        <w:numPr>
          <w:ilvl w:val="0"/>
          <w:numId w:val="10"/>
        </w:numPr>
        <w:widowControl w:val="1"/>
      </w:pPr>
      <w:r>
        <w:rPr>
          <w:rFonts w:ascii="Calibri" w:hAnsi="Calibri" w:cs="Calibri"/>
          <w:sz w:val="17"/>
        </w:rPr>
        <w:t xml:space="preserve">Abul Aʿla Maududi, </w:t>
      </w:r>
      <w:r>
        <w:rPr>
          <w:rFonts w:ascii="Calibri" w:hAnsi="Calibri" w:cs="Calibri"/>
          <w:i/>
          <w:sz w:val="17"/>
        </w:rPr>
        <w:t>Tafhim al-Qur’an</w:t>
      </w:r>
      <w:r>
        <w:rPr>
          <w:rFonts w:ascii="Calibri" w:hAnsi="Calibri" w:cs="Calibri"/>
          <w:sz w:val="17"/>
        </w:rPr>
        <w:t xml:space="preserve">, Surah 67. </w:t>
      </w:r>
      <w:hyperlink r:id="rId16">
        <w:r>
          <w:rPr>
            <w:color w:val="2E74B5"/>
            <w:u w:val="single"/>
            <w:rFonts w:ascii="Calibri" w:hAnsi="Calibri"/>
          </w:rPr>
          <w:t>View source (islamicstudies.info)</w:t>
        </w:r>
      </w:hyperlink>
    </w:p>
    <w:p>
      <w:pPr>
        <w:pStyle w:val="Reference"/>
        <w:numPr>
          <w:ilvl w:val="0"/>
          <w:numId w:val="10"/>
        </w:numPr>
        <w:widowControl w:val="1"/>
      </w:pPr>
      <w:r>
        <w:rPr>
          <w:rFonts w:ascii="Calibri" w:hAnsi="Calibri" w:cs="Calibri"/>
          <w:sz w:val="17"/>
        </w:rPr>
        <w:t xml:space="preserve">Muhammad al-Ghazali, </w:t>
      </w:r>
      <w:r>
        <w:rPr>
          <w:rFonts w:ascii="Calibri" w:hAnsi="Calibri" w:cs="Calibri"/>
          <w:i/>
          <w:sz w:val="17"/>
        </w:rPr>
        <w:t>A Thematic Commentary on the Qur’an</w:t>
      </w:r>
      <w:r>
        <w:rPr>
          <w:rFonts w:ascii="Calibri" w:hAnsi="Calibri" w:cs="Calibri"/>
          <w:sz w:val="17"/>
        </w:rPr>
        <w:t xml:space="preserve">, Surah 67. International Institute of Islamic Thought. </w:t>
      </w:r>
      <w:hyperlink r:id="rId17">
        <w:r>
          <w:rPr>
            <w:color w:val="2E74B5"/>
            <w:u w:val="single"/>
            <w:rFonts w:ascii="Calibri" w:hAnsi="Calibri"/>
          </w:rPr>
          <w:t>View source (iiit.org)</w:t>
        </w:r>
      </w:hyperlink>
    </w:p>
    <w:p>
      <w:pPr>
        <w:pStyle w:val="Reference"/>
        <w:numPr>
          <w:ilvl w:val="0"/>
          <w:numId w:val="10"/>
        </w:numPr>
        <w:widowControl w:val="1"/>
      </w:pPr>
      <w:r>
        <w:rPr>
          <w:rFonts w:ascii="Calibri" w:hAnsi="Calibri" w:cs="Calibri"/>
          <w:i/>
          <w:sz w:val="17"/>
        </w:rPr>
        <w:t>An Enlightening Commentary into the Light of the Holy Qur’an</w:t>
      </w:r>
      <w:r>
        <w:rPr>
          <w:rFonts w:ascii="Calibri" w:hAnsi="Calibri" w:cs="Calibri"/>
          <w:sz w:val="17"/>
        </w:rPr>
        <w:t xml:space="preserve">, vol. 18, Surah al-Mulk. </w:t>
      </w:r>
      <w:hyperlink r:id="rId18">
        <w:r>
          <w:rPr>
            <w:color w:val="2E74B5"/>
            <w:u w:val="single"/>
            <w:rFonts w:ascii="Calibri" w:hAnsi="Calibri"/>
          </w:rPr>
          <w:t>View source (al-islam.org)</w:t>
        </w:r>
      </w:hyperlink>
    </w:p>
    <w:p>
      <w:pPr>
        <w:pStyle w:val="Reference"/>
        <w:numPr>
          <w:ilvl w:val="0"/>
          <w:numId w:val="10"/>
        </w:numPr>
        <w:widowControl w:val="1"/>
      </w:pPr>
      <w:r>
        <w:rPr>
          <w:rFonts w:ascii="Calibri" w:hAnsi="Calibri" w:cs="Calibri"/>
          <w:sz w:val="17"/>
        </w:rPr>
        <w:t xml:space="preserve">Jāmiʿ al-Tirmidhī 2891 and Sunan Abī Dāwūd 1400, on the intercession of the thirty-verse surah. </w:t>
      </w:r>
      <w:hyperlink r:id="rId19">
        <w:r>
          <w:rPr>
            <w:color w:val="2E74B5"/>
            <w:u w:val="single"/>
            <w:rFonts w:ascii="Calibri" w:hAnsi="Calibri"/>
          </w:rPr>
          <w:t>View source (sunnah.com)</w:t>
        </w:r>
      </w:hyperlink>
      <w:r>
        <w:rPr>
          <w:rFonts w:ascii="Calibri" w:hAnsi="Calibri" w:cs="Calibri"/>
          <w:sz w:val="17"/>
        </w:rPr>
        <w:t xml:space="preserve"> and </w:t>
      </w:r>
      <w:hyperlink r:id="rId20">
        <w:r>
          <w:rPr>
            <w:color w:val="2E74B5"/>
            <w:u w:val="single"/>
            <w:rFonts w:ascii="Calibri" w:hAnsi="Calibri"/>
          </w:rPr>
          <w:t>View source (sunnah.com)</w:t>
        </w:r>
      </w:hyperlink>
    </w:p>
    <w:p>
      <w:pPr>
        <w:pStyle w:val="Heading2"/>
        <w:widowControl w:val="1"/>
      </w:pPr>
      <w:r>
        <w:t>Science and philosophy</w:t>
      </w:r>
    </w:p>
    <w:p>
      <w:pPr>
        <w:pStyle w:val="Reference"/>
        <w:numPr>
          <w:ilvl w:val="0"/>
          <w:numId w:val="10"/>
        </w:numPr>
        <w:widowControl w:val="1"/>
      </w:pPr>
      <w:r>
        <w:rPr>
          <w:rFonts w:ascii="Calibri" w:hAnsi="Calibri" w:cs="Calibri"/>
          <w:sz w:val="17"/>
        </w:rPr>
        <w:t xml:space="preserve">Stanford Encyclopedia of Philosophy, “Fine-Tuning.” </w:t>
      </w:r>
      <w:hyperlink r:id="rId21">
        <w:r>
          <w:rPr>
            <w:color w:val="2E74B5"/>
            <w:u w:val="single"/>
            <w:rFonts w:ascii="Calibri" w:hAnsi="Calibri"/>
          </w:rPr>
          <w:t>View source (plato.stanford.edu)</w:t>
        </w:r>
      </w:hyperlink>
    </w:p>
    <w:p>
      <w:pPr>
        <w:pStyle w:val="Reference"/>
        <w:numPr>
          <w:ilvl w:val="0"/>
          <w:numId w:val="10"/>
        </w:numPr>
        <w:widowControl w:val="1"/>
      </w:pPr>
      <w:r>
        <w:rPr>
          <w:rFonts w:ascii="Calibri" w:hAnsi="Calibri" w:cs="Calibri"/>
          <w:sz w:val="17"/>
        </w:rPr>
        <w:t xml:space="preserve">NASA, “What Makes a Planet Habitable?” </w:t>
      </w:r>
      <w:hyperlink r:id="rId22">
        <w:r>
          <w:rPr>
            <w:color w:val="2E74B5"/>
            <w:u w:val="single"/>
            <w:rFonts w:ascii="Calibri" w:hAnsi="Calibri"/>
          </w:rPr>
          <w:t>View source (seec.gsfc.nasa.gov)</w:t>
        </w:r>
      </w:hyperlink>
    </w:p>
    <w:p>
      <w:pPr>
        <w:pStyle w:val="Reference"/>
        <w:numPr>
          <w:ilvl w:val="0"/>
          <w:numId w:val="10"/>
        </w:numPr>
        <w:widowControl w:val="1"/>
      </w:pPr>
      <w:r>
        <w:rPr>
          <w:rFonts w:ascii="Calibri" w:hAnsi="Calibri" w:cs="Calibri"/>
          <w:sz w:val="17"/>
        </w:rPr>
        <w:t xml:space="preserve">NASA, “Star Basics” and “Are We Really Made of Star Stuff?” </w:t>
      </w:r>
      <w:hyperlink r:id="rId23">
        <w:r>
          <w:rPr>
            <w:color w:val="2E74B5"/>
            <w:u w:val="single"/>
            <w:rFonts w:ascii="Calibri" w:hAnsi="Calibri"/>
          </w:rPr>
          <w:t>View source (science.nasa.gov)</w:t>
        </w:r>
      </w:hyperlink>
      <w:r>
        <w:rPr>
          <w:rFonts w:ascii="Calibri" w:hAnsi="Calibri" w:cs="Calibri"/>
          <w:sz w:val="17"/>
        </w:rPr>
        <w:t xml:space="preserve"> and </w:t>
      </w:r>
      <w:hyperlink r:id="rId24">
        <w:r>
          <w:rPr>
            <w:color w:val="2E74B5"/>
            <w:u w:val="single"/>
            <w:rFonts w:ascii="Calibri" w:hAnsi="Calibri"/>
          </w:rPr>
          <w:t>View source (astrobiology.nasa.gov)</w:t>
        </w:r>
      </w:hyperlink>
    </w:p>
    <w:p>
      <w:pPr>
        <w:pStyle w:val="Reference"/>
        <w:numPr>
          <w:ilvl w:val="0"/>
          <w:numId w:val="10"/>
        </w:numPr>
        <w:widowControl w:val="1"/>
      </w:pPr>
      <w:r>
        <w:rPr>
          <w:rFonts w:ascii="Calibri" w:hAnsi="Calibri" w:cs="Calibri"/>
          <w:sz w:val="17"/>
        </w:rPr>
        <w:t xml:space="preserve">U.S. Geological Survey, “What Is Groundwater?” </w:t>
      </w:r>
      <w:hyperlink r:id="rId25">
        <w:r>
          <w:rPr>
            <w:color w:val="2E74B5"/>
            <w:u w:val="single"/>
            <w:rFonts w:ascii="Calibri" w:hAnsi="Calibri"/>
          </w:rPr>
          <w:t>View source (usgs.gov)</w:t>
        </w:r>
      </w:hyperlink>
    </w:p>
    <w:p>
      <w:pPr>
        <w:pStyle w:val="Reference"/>
        <w:numPr>
          <w:ilvl w:val="0"/>
          <w:numId w:val="10"/>
        </w:numPr>
        <w:widowControl w:val="1"/>
      </w:pPr>
      <w:r>
        <w:rPr>
          <w:rFonts w:ascii="Calibri" w:hAnsi="Calibri" w:cs="Calibri"/>
          <w:sz w:val="17"/>
        </w:rPr>
        <w:t xml:space="preserve">Cornell Lab of Ornithology, “Everything You Need to Know About Feathers.” </w:t>
      </w:r>
      <w:hyperlink r:id="rId26">
        <w:r>
          <w:rPr>
            <w:color w:val="2E74B5"/>
            <w:u w:val="single"/>
            <w:rFonts w:ascii="Calibri" w:hAnsi="Calibri"/>
          </w:rPr>
          <w:t>View source (academy.allaboutbirds.org)</w:t>
        </w:r>
      </w:hyperlink>
    </w:p>
    <w:p>
      <w:pPr>
        <w:pStyle w:val="Reference"/>
        <w:numPr>
          <w:ilvl w:val="0"/>
          <w:numId w:val="10"/>
        </w:numPr>
        <w:widowControl w:val="1"/>
      </w:pPr>
      <w:r>
        <w:rPr>
          <w:rFonts w:ascii="Calibri" w:hAnsi="Calibri" w:cs="Calibri"/>
          <w:sz w:val="17"/>
        </w:rPr>
        <w:t xml:space="preserve">Caltech Science Exchange, “Where Does Consciousness Come From?” </w:t>
      </w:r>
      <w:hyperlink r:id="rId27">
        <w:r>
          <w:rPr>
            <w:color w:val="2E74B5"/>
            <w:u w:val="single"/>
            <w:rFonts w:ascii="Calibri" w:hAnsi="Calibri"/>
          </w:rPr>
          <w:t>View source (scienceexchange.caltech.edu)</w:t>
        </w:r>
      </w:hyperlink>
    </w:p>
    <w:p>
      <w:pPr>
        <w:pStyle w:val="Reference"/>
        <w:numPr>
          <w:ilvl w:val="0"/>
          <w:numId w:val="10"/>
        </w:numPr>
        <w:widowControl w:val="1"/>
      </w:pPr>
      <w:r>
        <w:rPr>
          <w:rFonts w:ascii="Calibri" w:hAnsi="Calibri" w:cs="Calibri"/>
          <w:sz w:val="17"/>
        </w:rPr>
        <w:t xml:space="preserve">Smithsonian Human Origins Program, “Introduction to Human Evolution” and “One Species, Living Worldwide.” </w:t>
      </w:r>
      <w:hyperlink r:id="rId28">
        <w:r>
          <w:rPr>
            <w:color w:val="2E74B5"/>
            <w:u w:val="single"/>
            <w:rFonts w:ascii="Calibri" w:hAnsi="Calibri"/>
          </w:rPr>
          <w:t>View source (humanorigins.si.edu)</w:t>
        </w:r>
      </w:hyperlink>
      <w:r>
        <w:rPr>
          <w:rFonts w:ascii="Calibri" w:hAnsi="Calibri" w:cs="Calibri"/>
          <w:sz w:val="17"/>
        </w:rPr>
        <w:t xml:space="preserve"> and </w:t>
      </w:r>
      <w:hyperlink r:id="rId29">
        <w:r>
          <w:rPr>
            <w:color w:val="2E74B5"/>
            <w:u w:val="single"/>
            <w:rFonts w:ascii="Calibri" w:hAnsi="Calibri"/>
          </w:rPr>
          <w:t>View source (humanorigins.si.edu)</w:t>
        </w:r>
      </w:hyperlink>
    </w:p>
    <w:p>
      <w:pPr>
        <w:pStyle w:val="Heading2"/>
        <w:widowControl w:val="1"/>
      </w:pPr>
      <w:r>
        <w:t>Writings and collections of Zia H. Shah, MD</w:t>
      </w:r>
    </w:p>
    <w:p>
      <w:pPr>
        <w:pStyle w:val="Reference"/>
        <w:numPr>
          <w:ilvl w:val="0"/>
          <w:numId w:val="10"/>
        </w:numPr>
        <w:widowControl w:val="1"/>
      </w:pPr>
      <w:r>
        <w:rPr>
          <w:rFonts w:ascii="Calibri" w:hAnsi="Calibri" w:cs="Calibri"/>
          <w:sz w:val="17"/>
        </w:rPr>
        <w:t xml:space="preserve">“A Perfect Order: Scientific Reflections on Quran 67:3–4 and Cosmic Fine-Tuning.” </w:t>
      </w:r>
      <w:hyperlink r:id="rId30">
        <w:r>
          <w:rPr>
            <w:color w:val="2E74B5"/>
            <w:u w:val="single"/>
            <w:rFonts w:ascii="Calibri" w:hAnsi="Calibri"/>
          </w:rPr>
          <w:t>View source (thequran.love)</w:t>
        </w:r>
      </w:hyperlink>
    </w:p>
    <w:p>
      <w:pPr>
        <w:pStyle w:val="Reference"/>
        <w:numPr>
          <w:ilvl w:val="0"/>
          <w:numId w:val="10"/>
        </w:numPr>
        <w:widowControl w:val="1"/>
      </w:pPr>
      <w:r>
        <w:rPr>
          <w:rFonts w:ascii="Calibri" w:hAnsi="Calibri" w:cs="Calibri"/>
          <w:sz w:val="17"/>
        </w:rPr>
        <w:t xml:space="preserve">“The Metaphysics of Divine Habit: Al-Ghazali’s Occasionalism in the Light of Modern Science and Theology.” </w:t>
      </w:r>
      <w:hyperlink r:id="rId31">
        <w:r>
          <w:rPr>
            <w:color w:val="2E74B5"/>
            <w:u w:val="single"/>
            <w:rFonts w:ascii="Calibri" w:hAnsi="Calibri"/>
          </w:rPr>
          <w:t>View source (thequran.love)</w:t>
        </w:r>
      </w:hyperlink>
    </w:p>
    <w:p>
      <w:pPr>
        <w:pStyle w:val="Reference"/>
        <w:numPr>
          <w:ilvl w:val="0"/>
          <w:numId w:val="10"/>
        </w:numPr>
        <w:widowControl w:val="1"/>
      </w:pPr>
      <w:r>
        <w:rPr>
          <w:rFonts w:ascii="Calibri" w:hAnsi="Calibri" w:cs="Calibri"/>
          <w:sz w:val="17"/>
        </w:rPr>
        <w:t xml:space="preserve">“The Metaphysics of Avian Flight.” </w:t>
      </w:r>
      <w:hyperlink r:id="rId32">
        <w:r>
          <w:rPr>
            <w:color w:val="2E74B5"/>
            <w:u w:val="single"/>
            <w:rFonts w:ascii="Calibri" w:hAnsi="Calibri"/>
          </w:rPr>
          <w:t>View source (thequran.love)</w:t>
        </w:r>
      </w:hyperlink>
    </w:p>
    <w:p>
      <w:pPr>
        <w:pStyle w:val="Reference"/>
        <w:numPr>
          <w:ilvl w:val="0"/>
          <w:numId w:val="10"/>
        </w:numPr>
        <w:widowControl w:val="1"/>
      </w:pPr>
      <w:r>
        <w:rPr>
          <w:rFonts w:ascii="Calibri" w:hAnsi="Calibri" w:cs="Calibri"/>
          <w:sz w:val="17"/>
        </w:rPr>
        <w:t xml:space="preserve">“Human Creation in the Glorious Quran: A Commentary in Light of Modern Biology.” </w:t>
      </w:r>
      <w:hyperlink r:id="rId33">
        <w:r>
          <w:rPr>
            <w:color w:val="2E74B5"/>
            <w:u w:val="single"/>
            <w:rFonts w:ascii="Calibri" w:hAnsi="Calibri"/>
          </w:rPr>
          <w:t>View source (thequran.love)</w:t>
        </w:r>
      </w:hyperlink>
    </w:p>
    <w:p>
      <w:pPr>
        <w:pStyle w:val="Reference"/>
        <w:numPr>
          <w:ilvl w:val="0"/>
          <w:numId w:val="10"/>
        </w:numPr>
        <w:widowControl w:val="1"/>
      </w:pPr>
      <w:r>
        <w:rPr>
          <w:rFonts w:ascii="Calibri" w:hAnsi="Calibri" w:cs="Calibri"/>
          <w:sz w:val="17"/>
        </w:rPr>
        <w:t xml:space="preserve">“He Grew You From the Earth Like a Plant: Q 71:17 and 67:24 as Indirect Witnesses to Guided Evolution.” </w:t>
      </w:r>
      <w:hyperlink r:id="rId34">
        <w:r>
          <w:rPr>
            <w:color w:val="2E74B5"/>
            <w:u w:val="single"/>
            <w:rFonts w:ascii="Calibri" w:hAnsi="Calibri"/>
          </w:rPr>
          <w:t>View source (thequran.love)</w:t>
        </w:r>
      </w:hyperlink>
    </w:p>
    <w:p>
      <w:pPr>
        <w:pStyle w:val="Reference"/>
        <w:numPr>
          <w:ilvl w:val="0"/>
          <w:numId w:val="10"/>
        </w:numPr>
        <w:widowControl w:val="1"/>
      </w:pPr>
      <w:r>
        <w:rPr>
          <w:rFonts w:ascii="Calibri" w:hAnsi="Calibri" w:cs="Calibri"/>
          <w:sz w:val="17"/>
        </w:rPr>
        <w:t xml:space="preserve">“Water as Divine Trust: A Scientific, Philosophical and Theological Commentary on Quran 15:21–22 and 67:30.” </w:t>
      </w:r>
      <w:hyperlink r:id="rId35">
        <w:r>
          <w:rPr>
            <w:color w:val="2E74B5"/>
            <w:u w:val="single"/>
            <w:rFonts w:ascii="Calibri" w:hAnsi="Calibri"/>
          </w:rPr>
          <w:t>View source (thequran.love)</w:t>
        </w:r>
      </w:hyperlink>
    </w:p>
    <w:p>
      <w:pPr>
        <w:pStyle w:val="Reference"/>
        <w:numPr>
          <w:ilvl w:val="0"/>
          <w:numId w:val="10"/>
        </w:numPr>
        <w:widowControl w:val="1"/>
      </w:pPr>
      <w:r>
        <w:rPr>
          <w:rFonts w:ascii="Calibri" w:hAnsi="Calibri" w:cs="Calibri"/>
          <w:sz w:val="17"/>
        </w:rPr>
        <w:t xml:space="preserve">“The Miracle of Water and the Miracle of the Quran.” </w:t>
      </w:r>
      <w:hyperlink r:id="rId36">
        <w:r>
          <w:rPr>
            <w:color w:val="2E74B5"/>
            <w:u w:val="single"/>
            <w:rFonts w:ascii="Calibri" w:hAnsi="Calibri"/>
          </w:rPr>
          <w:t>View source (thequran.love)</w:t>
        </w:r>
      </w:hyperlink>
    </w:p>
    <w:p>
      <w:pPr>
        <w:pStyle w:val="Reference"/>
        <w:numPr>
          <w:ilvl w:val="0"/>
          <w:numId w:val="10"/>
        </w:numPr>
        <w:widowControl w:val="1"/>
      </w:pPr>
      <w:r>
        <w:rPr>
          <w:rFonts w:ascii="Calibri" w:hAnsi="Calibri" w:cs="Calibri"/>
          <w:sz w:val="17"/>
        </w:rPr>
        <w:t xml:space="preserve">“From Sign to Certainty: Reason, Experience, and the Qur’anic Ascent from the Visible World to God.” </w:t>
      </w:r>
      <w:hyperlink r:id="rId37">
        <w:r>
          <w:rPr>
            <w:color w:val="2E74B5"/>
            <w:u w:val="single"/>
            <w:rFonts w:ascii="Calibri" w:hAnsi="Calibri"/>
          </w:rPr>
          <w:t>View source (thequran.love)</w:t>
        </w:r>
      </w:hyperlink>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s="Calibri"/>
        <w:color w:val="666666"/>
        <w:sz w:val="18"/>
      </w:rPr>
      <w:t xml:space="preserve">Page </w:t>
    </w:r>
    <w:r>
      <w:fldChar w:fldCharType="begin"/>
    </w:r>
    <w:r>
      <w:instrText xml:space="preserve"> PAGE </w:instrText>
    </w:r>
    <w:r>
      <w:fldChar w:fldCharType="separate"/>
    </w:r>
    <w:r>
      <w:t>1</w:t>
    </w:r>
    <w: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Calibri" w:hAnsi="Calibri" w:cs="Calibri"/>
        <w:b/>
        <w:color w:val="666666"/>
        <w:sz w:val="17"/>
      </w:rPr>
      <w:t>SURAH AL-MULK  •  THEMATIC COMMENTARY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suff w:val="space"/>
      <w:pPr>
        <w:tabs>
          <w:tab w:val="num" w:pos="360"/>
        </w:tabs>
        <w:ind w:left="432" w:hanging="288"/>
      </w:p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jc w:val="both"/>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90" w:lineRule="auto"/>
      <w:ind w:left="540" w:hanging="279"/>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90" w:lineRule="auto"/>
      <w:ind w:left="540" w:hanging="279"/>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pigraph">
    <w:name w:val="Epigraph"/>
    <w:pPr>
      <w:spacing w:before="80" w:after="80" w:line="288" w:lineRule="auto"/>
      <w:ind w:left="504" w:right="504"/>
    </w:pPr>
    <w:rPr>
      <w:rFonts w:ascii="Calibri" w:hAnsi="Calibri"/>
      <w:color w:val="203748"/>
      <w:sz w:val="21"/>
    </w:rPr>
  </w:style>
  <w:style w:type="paragraph" w:customStyle="1" w:styleId="Reference">
    <w:name w:val="Reference"/>
    <w:pPr>
      <w:spacing w:after="40" w:line="240" w:lineRule="auto"/>
      <w:ind w:left="432" w:hanging="288"/>
    </w:pPr>
    <w:rPr>
      <w:rFonts w:ascii="Calibri" w:hAnsi="Calibri"/>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quran.ksu.edu.sa/tafseer/tabary/sura67-aya14.html" TargetMode="External"/><Relationship Id="rId12" Type="http://schemas.openxmlformats.org/officeDocument/2006/relationships/hyperlink" Target="https://quran.ksu.edu.sa/tafseer/tabary/sura67-aya19.html" TargetMode="External"/><Relationship Id="rId13" Type="http://schemas.openxmlformats.org/officeDocument/2006/relationships/hyperlink" Target="https://quranpedia.net/surah/1/67/book/352" TargetMode="External"/><Relationship Id="rId14" Type="http://schemas.openxmlformats.org/officeDocument/2006/relationships/hyperlink" Target="https://quranpedia.net/surah/1/67/book/366" TargetMode="External"/><Relationship Id="rId15" Type="http://schemas.openxmlformats.org/officeDocument/2006/relationships/hyperlink" Target="https://www.alim.org/quran/tafsir/ibn-kathir/surah/67/1/" TargetMode="External"/><Relationship Id="rId16" Type="http://schemas.openxmlformats.org/officeDocument/2006/relationships/hyperlink" Target="https://www.islamicstudies.info/tafheem.php?sura=67&amp;to=30&amp;verse=1" TargetMode="External"/><Relationship Id="rId17" Type="http://schemas.openxmlformats.org/officeDocument/2006/relationships/hyperlink" Target="https://iiit.org/wp-content/uploads/A-Thematic-Commentary-on-the-Quran.pdf" TargetMode="External"/><Relationship Id="rId18" Type="http://schemas.openxmlformats.org/officeDocument/2006/relationships/hyperlink" Target="https://al-islam.org/enlightening-commentary-light-holy-quran-vol-18/surah-al-mulk-chapter-67" TargetMode="External"/><Relationship Id="rId19" Type="http://schemas.openxmlformats.org/officeDocument/2006/relationships/hyperlink" Target="https://sunnah.com/tirmidhi:2891" TargetMode="External"/><Relationship Id="rId20" Type="http://schemas.openxmlformats.org/officeDocument/2006/relationships/hyperlink" Target="https://sunnah.com/abudawud:1400" TargetMode="External"/><Relationship Id="rId21" Type="http://schemas.openxmlformats.org/officeDocument/2006/relationships/hyperlink" Target="https://plato.stanford.edu/entries/fine-tuning/" TargetMode="External"/><Relationship Id="rId22" Type="http://schemas.openxmlformats.org/officeDocument/2006/relationships/hyperlink" Target="https://seec.gsfc.nasa.gov/what_makes_a_planet_habitable.html" TargetMode="External"/><Relationship Id="rId23" Type="http://schemas.openxmlformats.org/officeDocument/2006/relationships/hyperlink" Target="https://science.nasa.gov/universe/stars/" TargetMode="External"/><Relationship Id="rId24" Type="http://schemas.openxmlformats.org/officeDocument/2006/relationships/hyperlink" Target="https://astrobiology.nasa.gov/education/alp/are-we-really-made-of-star-stuff/" TargetMode="External"/><Relationship Id="rId25" Type="http://schemas.openxmlformats.org/officeDocument/2006/relationships/hyperlink" Target="https://www.usgs.gov/faqs/what-groundwater" TargetMode="External"/><Relationship Id="rId26" Type="http://schemas.openxmlformats.org/officeDocument/2006/relationships/hyperlink" Target="https://academy.allaboutbirds.org/feathers-article/" TargetMode="External"/><Relationship Id="rId27" Type="http://schemas.openxmlformats.org/officeDocument/2006/relationships/hyperlink" Target="https://scienceexchange.caltech.edu/topics/neuroscience/consciousness" TargetMode="External"/><Relationship Id="rId28" Type="http://schemas.openxmlformats.org/officeDocument/2006/relationships/hyperlink" Target="https://humanorigins.si.edu/education/introduction-human-evolution" TargetMode="External"/><Relationship Id="rId29" Type="http://schemas.openxmlformats.org/officeDocument/2006/relationships/hyperlink" Target="https://humanorigins.si.edu/evidence/genetics/one-species-living-worldwide" TargetMode="External"/><Relationship Id="rId30" Type="http://schemas.openxmlformats.org/officeDocument/2006/relationships/hyperlink" Target="https://thequran.love/2025/04/18/a-perfect-order-scientific-reflections-on-quran-673-4-and-cosmic-fine-tuning/" TargetMode="External"/><Relationship Id="rId31" Type="http://schemas.openxmlformats.org/officeDocument/2006/relationships/hyperlink" Target="https://thequran.love/2026/02/07/the-metaphysics-of-divine-habit-al-ghazalis-occasionalism-in-the-light-of-modern-science-and-theology/" TargetMode="External"/><Relationship Id="rId32" Type="http://schemas.openxmlformats.org/officeDocument/2006/relationships/hyperlink" Target="https://thequran.love/2026/03/21/the-metaphysics-of-avian-flight-a-scientific-philosophical-and-theological-commentary-on-quranic-signs-and-occasionalist-causality/" TargetMode="External"/><Relationship Id="rId33" Type="http://schemas.openxmlformats.org/officeDocument/2006/relationships/hyperlink" Target="https://thequran.love/2025/04/05/human-creation-in-the-glorious-quran-a-commentary-in-light-of-modern-biology/" TargetMode="External"/><Relationship Id="rId34" Type="http://schemas.openxmlformats.org/officeDocument/2006/relationships/hyperlink" Target="https://thequran.love/2026/06/08/he-grew-you-from-the-earth-like-a-plant-q-7117-and-6724-as-indirect-witnesses-to-guided-evolution/" TargetMode="External"/><Relationship Id="rId35" Type="http://schemas.openxmlformats.org/officeDocument/2006/relationships/hyperlink" Target="https://thequran.love/2026/03/19/water-as-divine-trust-a-scientific-philosophical-and-theological-commentary-on-quran-1521-22-surah-al-hijr-and-6730-surah-al-mulk/" TargetMode="External"/><Relationship Id="rId36" Type="http://schemas.openxmlformats.org/officeDocument/2006/relationships/hyperlink" Target="https://thequran.love/2023/05/19/the-miracle-of-water-and-the-miracle-of-the-quran/" TargetMode="External"/><Relationship Id="rId37" Type="http://schemas.openxmlformats.org/officeDocument/2006/relationships/hyperlink" Target="https://thequran.love/2026/07/22/from-sign-to-certainty-reason-experience-and-the-quranic-ascent-from-the-visible-world-to-g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Kingdom, the Test, and the Spring: A Commentary on Surah al-Mulk</dc:title>
  <dc:subject>Scientific, philosophical, and theological thematic commentary on Qur’an 67</dc:subject>
  <dc:creator>Prepared for Zia H. Shah, MD</dc:creator>
  <cp:keywords>Surah al-Mulk, Qur’an, tafsir, providence, afterlife, science, philosophy, theology</cp:keywords>
  <dc:description>generated by python-docx</dc:description>
  <cp:lastModifiedBy/>
  <cp:revision>1</cp:revision>
  <dcterms:created xsi:type="dcterms:W3CDTF">2013-12-23T23:15:00Z</dcterms:created>
  <dcterms:modified xsi:type="dcterms:W3CDTF">2013-12-23T23:15:00Z</dcterms:modified>
  <cp:category/>
</cp:coreProperties>
</file>