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4" Type="http://schemas.openxmlformats.org/officeDocument/2006/relationships/extended-properties" Target="docProps/app.xml"/><Relationship Id="rId3" Type="http://schemas.openxmlformats.org/package/2006/relationships/metadata/core-properties" Target="docProps/core.xml"/><Relationship Id="rId5" Type="http://schemas.openxmlformats.org/officeDocument/2006/relationships/custom-properties" Target="docProps/custom.xml"/></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125" w:name="rivers-under-command-ships-upon-the-sea"/>
    <w:p>
      <w:pPr>
        <w:pStyle w:val="Title"/>
        <w:spacing w:before="1240" w:after="280"/>
        <w:jc w:val="center"/>
        <w:pBdr>
          <w:bottom w:val="single" w:sz="10" w:space="8" w:color="B28A3A"/>
        </w:pBdr>
      </w:pPr>
      <w:r>
        <w:t xml:space="preserve">Rivers Under Command, Ships Upon the Sea</w:t>
      </w:r>
    </w:p>
    <w:bookmarkStart w:id="20" w:name="X3200556a2bcc8253218999bcff3015ec595b3a4"/>
    <w:p>
      <w:pPr>
        <w:pStyle w:val="Subtitle"/>
        <w:jc w:val="center"/>
      </w:pPr>
      <w:r>
        <w:t xml:space="preserve">A scientific, philosophical, and theological commentary on Qur’an 14:32–35</w:t>
      </w:r>
    </w:p>
    <w:p>
      <w:pPr>
        <w:pStyle w:val="FirstParagraph"/>
        <w:spacing w:after="120"/>
        <w:jc w:val="center"/>
      </w:pPr>
      <w:r>
        <w:rPr>
          <w:bCs/>
          <w:b/>
          <w:color w:val="65727E"/>
          <w:sz w:val="19"/>
        </w:rPr>
        <w:t xml:space="preserve">Audience:</w:t>
      </w:r>
      <w:r>
        <w:rPr>
          <w:color w:val="65727E"/>
          <w:sz w:val="19"/>
        </w:rPr>
        <w:t xml:space="preserve"> </w:t>
      </w:r>
      <w:r>
        <w:rPr>
          <w:color w:val="65727E"/>
          <w:sz w:val="19"/>
        </w:rPr>
        <w:t xml:space="preserve">Educated general readers and students of Qur’anic studies, philosophy of religion, and science–religion dialogue.</w:t>
      </w:r>
    </w:p>
    <w:p>
      <w:pPr>
        <w:pStyle w:val="BodyText"/>
        <w:spacing w:after="120"/>
        <w:jc w:val="center"/>
      </w:pPr>
      <w:r>
        <w:rPr>
          <w:bCs/>
          <w:b/>
          <w:color w:val="65727E"/>
          <w:sz w:val="19"/>
        </w:rPr>
        <w:t xml:space="preserve">Research date:</w:t>
      </w:r>
      <w:r>
        <w:rPr>
          <w:color w:val="65727E"/>
          <w:sz w:val="19"/>
        </w:rPr>
        <w:t xml:space="preserve"> </w:t>
      </w:r>
      <w:r>
        <w:rPr>
          <w:color w:val="65727E"/>
          <w:sz w:val="19"/>
        </w:rPr>
        <w:t xml:space="preserve">29 August 2026 ·</w:t>
      </w:r>
      <w:r>
        <w:rPr>
          <w:color w:val="65727E"/>
          <w:sz w:val="19"/>
        </w:rPr>
        <w:t xml:space="preserve"> </w:t>
      </w:r>
      <w:r>
        <w:rPr>
          <w:bCs/>
          <w:b/>
          <w:color w:val="65727E"/>
          <w:sz w:val="19"/>
        </w:rPr>
        <w:t xml:space="preserve">Primary English rendering:</w:t>
      </w:r>
      <w:r>
        <w:rPr>
          <w:color w:val="65727E"/>
          <w:sz w:val="19"/>
        </w:rPr>
        <w:t xml:space="preserve"> </w:t>
      </w:r>
      <w:r>
        <w:rPr>
          <w:color w:val="65727E"/>
          <w:sz w:val="19"/>
        </w:rPr>
        <w:t xml:space="preserve">M. A. S. Abdel Haleem</w:t>
      </w:r>
    </w:p>
    <w:p>
      <w:pPr>
        <w:pStyle w:val="BodyText"/>
        <w:spacing w:after="120"/>
        <w:jc w:val="center"/>
      </w:pPr>
      <w:r>
        <w:rPr>
          <w:bCs/>
          <w:b/>
          <w:color w:val="65727E"/>
          <w:sz w:val="19"/>
        </w:rPr>
        <w:t xml:space="preserve">Scope:</w:t>
      </w:r>
      <w:r>
        <w:rPr>
          <w:color w:val="65727E"/>
          <w:sz w:val="19"/>
        </w:rPr>
        <w:t xml:space="preserve"> </w:t>
      </w:r>
      <w:r>
        <w:rPr>
          <w:color w:val="65727E"/>
          <w:sz w:val="19"/>
        </w:rPr>
        <w:t xml:space="preserve">Arabic text, six English translations, literary and lexical analysis, classical and modern tafsir, hydrology, plant life, buoyancy, sailing and winds, philosophy of causation, Ghazalian occasionalism, and a critical synthesis of Zia H. Shah, MD’s occasionalism corpus.</w:t>
      </w:r>
    </w:p>
    <w:bookmarkEnd w:id="20"/>
    <w:bookmarkStart w:id="21" w:name="contents"/>
    <w:p>
      <w:pPr>
        <w:pStyle w:val="Heading2"/>
        <w:keepNext/>
        <w:pageBreakBefore/>
        <w:spacing w:after="120"/>
        <w:jc w:val="left"/>
      </w:pPr>
      <w:r>
        <w:rPr>
          <w:color w:val="65727E"/>
          <w:sz w:val="19"/>
        </w:rPr>
        <w:t xml:space="preserve">Contents</w:t>
      </w:r>
    </w:p>
    <w:p>
      <w:pPr>
        <w:numPr>
          <w:ilvl w:val="0"/>
          <w:numId w:val="1001"/>
        </w:numPr>
        <w:pStyle w:val="Compact"/>
        <w:spacing w:after="80"/>
        <w:ind w:left="259"/>
      </w:pPr>
      <w:r>
        <w:rPr>
          <w:color w:val="17365D"/>
          <w:sz w:val="20"/>
        </w:rPr>
        <w:t xml:space="preserve">Text, translation, and method</w:t>
      </w:r>
    </w:p>
    <w:p>
      <w:pPr>
        <w:numPr>
          <w:ilvl w:val="0"/>
          <w:numId w:val="1001"/>
        </w:numPr>
        <w:pStyle w:val="Compact"/>
        <w:spacing w:after="80"/>
        <w:ind w:left="259"/>
      </w:pPr>
      <w:r>
        <w:rPr>
          <w:color w:val="17365D"/>
          <w:sz w:val="20"/>
        </w:rPr>
        <w:t xml:space="preserve">The passage’s architecture: from creation to covenant</w:t>
      </w:r>
    </w:p>
    <w:p>
      <w:pPr>
        <w:numPr>
          <w:ilvl w:val="0"/>
          <w:numId w:val="1001"/>
        </w:numPr>
        <w:pStyle w:val="Compact"/>
        <w:spacing w:after="80"/>
        <w:ind w:left="259"/>
      </w:pPr>
      <w:r>
        <w:rPr>
          <w:color w:val="17365D"/>
          <w:sz w:val="20"/>
        </w:rPr>
        <w:t xml:space="preserve">Verse 32: water, fruit, provision, and rivers</w:t>
      </w:r>
    </w:p>
    <w:p>
      <w:pPr>
        <w:numPr>
          <w:ilvl w:val="0"/>
          <w:numId w:val="1001"/>
        </w:numPr>
        <w:pStyle w:val="Compact"/>
        <w:spacing w:after="80"/>
        <w:ind w:left="259"/>
      </w:pPr>
      <w:r>
        <w:rPr>
          <w:color w:val="17365D"/>
          <w:sz w:val="20"/>
        </w:rPr>
        <w:t xml:space="preserve">Ships, Archimedes, and the intelligibility of floating</w:t>
      </w:r>
    </w:p>
    <w:p>
      <w:pPr>
        <w:numPr>
          <w:ilvl w:val="0"/>
          <w:numId w:val="1001"/>
        </w:numPr>
        <w:pStyle w:val="Compact"/>
        <w:spacing w:after="80"/>
        <w:ind w:left="259"/>
      </w:pPr>
      <w:r>
        <w:rPr>
          <w:color w:val="17365D"/>
          <w:sz w:val="20"/>
        </w:rPr>
        <w:t xml:space="preserve">Winds: mercy, motion, danger, and dependence</w:t>
      </w:r>
    </w:p>
    <w:p>
      <w:pPr>
        <w:numPr>
          <w:ilvl w:val="0"/>
          <w:numId w:val="1001"/>
        </w:numPr>
        <w:pStyle w:val="Compact"/>
        <w:spacing w:after="80"/>
        <w:ind w:left="259"/>
      </w:pPr>
      <w:r>
        <w:rPr>
          <w:color w:val="17365D"/>
          <w:sz w:val="20"/>
        </w:rPr>
        <w:t xml:space="preserve">Verse 33: sun, moon, night, and day</w:t>
      </w:r>
    </w:p>
    <w:p>
      <w:pPr>
        <w:numPr>
          <w:ilvl w:val="0"/>
          <w:numId w:val="1001"/>
        </w:numPr>
        <w:pStyle w:val="Compact"/>
        <w:spacing w:after="80"/>
        <w:ind w:left="259"/>
      </w:pPr>
      <w:r>
        <w:rPr>
          <w:color w:val="17365D"/>
          <w:sz w:val="20"/>
        </w:rPr>
        <w:t xml:space="preserve">Verse 34: the innumerability of gift</w:t>
      </w:r>
    </w:p>
    <w:p>
      <w:pPr>
        <w:numPr>
          <w:ilvl w:val="0"/>
          <w:numId w:val="1001"/>
        </w:numPr>
        <w:pStyle w:val="Compact"/>
        <w:spacing w:after="80"/>
        <w:ind w:left="259"/>
      </w:pPr>
      <w:r>
        <w:rPr>
          <w:color w:val="17365D"/>
          <w:sz w:val="20"/>
        </w:rPr>
        <w:t xml:space="preserve">Verse 35: Abraham, security, and the most dangerous causation error</w:t>
      </w:r>
    </w:p>
    <w:p>
      <w:pPr>
        <w:numPr>
          <w:ilvl w:val="0"/>
          <w:numId w:val="1001"/>
        </w:numPr>
        <w:pStyle w:val="Compact"/>
        <w:spacing w:after="80"/>
        <w:ind w:left="259"/>
      </w:pPr>
      <w:r>
        <w:rPr>
          <w:color w:val="17365D"/>
          <w:sz w:val="20"/>
        </w:rPr>
        <w:t xml:space="preserve">From the four verses to occasionalism</w:t>
      </w:r>
    </w:p>
    <w:p>
      <w:pPr>
        <w:numPr>
          <w:ilvl w:val="0"/>
          <w:numId w:val="1001"/>
        </w:numPr>
        <w:pStyle w:val="Compact"/>
        <w:spacing w:after="80"/>
        <w:ind w:left="259"/>
      </w:pPr>
      <w:r>
        <w:rPr>
          <w:color w:val="17365D"/>
          <w:sz w:val="20"/>
        </w:rPr>
        <w:t xml:space="preserve">Zia H. Shah, MD and the</w:t>
      </w:r>
      <w:r>
        <w:rPr>
          <w:color w:val="17365D"/>
          <w:sz w:val="20"/>
        </w:rPr>
        <w:t xml:space="preserve"> </w:t>
      </w:r>
      <w:r>
        <w:rPr>
          <w:color w:val="17365D"/>
          <w:sz w:val="20"/>
        </w:rPr>
        <w:t xml:space="preserve">“</w:t>
      </w:r>
      <w:r>
        <w:rPr>
          <w:color w:val="17365D"/>
          <w:sz w:val="20"/>
        </w:rPr>
        <w:t xml:space="preserve">Inshallah universe</w:t>
      </w:r>
      <w:r>
        <w:rPr>
          <w:color w:val="17365D"/>
          <w:sz w:val="20"/>
        </w:rPr>
        <w:t xml:space="preserve">”</w:t>
      </w:r>
    </w:p>
    <w:p>
      <w:pPr>
        <w:numPr>
          <w:ilvl w:val="0"/>
          <w:numId w:val="1001"/>
        </w:numPr>
        <w:pStyle w:val="Compact"/>
        <w:spacing w:after="80"/>
        <w:ind w:left="259"/>
      </w:pPr>
      <w:r>
        <w:rPr>
          <w:color w:val="17365D"/>
          <w:sz w:val="20"/>
        </w:rPr>
        <w:t xml:space="preserve">Objections and disciplined responses</w:t>
      </w:r>
    </w:p>
    <w:p>
      <w:pPr>
        <w:numPr>
          <w:ilvl w:val="0"/>
          <w:numId w:val="1001"/>
        </w:numPr>
        <w:pStyle w:val="Compact"/>
        <w:spacing w:after="80"/>
        <w:ind w:left="259"/>
      </w:pPr>
      <w:r>
        <w:rPr>
          <w:color w:val="17365D"/>
          <w:sz w:val="20"/>
        </w:rPr>
        <w:t xml:space="preserve">Scientific and spiritual correspondences at a glance</w:t>
      </w:r>
    </w:p>
    <w:p>
      <w:pPr>
        <w:numPr>
          <w:ilvl w:val="0"/>
          <w:numId w:val="1001"/>
        </w:numPr>
        <w:pStyle w:val="Compact"/>
        <w:spacing w:after="80"/>
        <w:ind w:left="259"/>
      </w:pPr>
      <w:r>
        <w:rPr>
          <w:color w:val="17365D"/>
          <w:sz w:val="20"/>
        </w:rPr>
        <w:t xml:space="preserve">Theological synthesis: creation as sign, law, and address</w:t>
      </w:r>
    </w:p>
    <w:p>
      <w:pPr>
        <w:numPr>
          <w:ilvl w:val="0"/>
          <w:numId w:val="1001"/>
        </w:numPr>
        <w:pStyle w:val="Compact"/>
        <w:spacing w:after="80"/>
        <w:ind w:left="259"/>
      </w:pPr>
      <w:r>
        <w:rPr>
          <w:color w:val="17365D"/>
          <w:sz w:val="20"/>
        </w:rPr>
        <w:t xml:space="preserve">Thematic epilogue: from river to prayer</w:t>
      </w:r>
    </w:p>
    <w:p>
      <w:pPr>
        <w:numPr>
          <w:ilvl w:val="0"/>
          <w:numId w:val="1001"/>
        </w:numPr>
        <w:pStyle w:val="Compact"/>
        <w:spacing w:after="80"/>
        <w:ind w:left="259"/>
      </w:pPr>
      <w:r>
        <w:rPr>
          <w:color w:val="17365D"/>
          <w:sz w:val="20"/>
        </w:rPr>
        <w:t xml:space="preserve">Selected references and research trail</w:t>
      </w:r>
    </w:p>
    <w:bookmarkEnd w:id="21"/>
    <w:bookmarkStart w:id="22" w:name="abstract"/>
    <w:p>
      <w:pPr>
        <w:pStyle w:val="Heading2"/>
        <w:keepNext/>
        <w:pageBreakBefore/>
      </w:pPr>
      <w:r>
        <w:t xml:space="preserve">Abstract</w:t>
      </w:r>
    </w:p>
    <w:p>
      <w:pPr>
        <w:pStyle w:val="FirstParagraph"/>
      </w:pPr>
      <w:r>
        <w:t xml:space="preserve">Qur’an 14:32–35 moves with remarkable speed from cosmology to ecology, technology, time, gratitude, civic security, and the purification of worship. God creates the heavens and earth; sends water; brings forth fruit; makes ships and rivers serviceable; orders the sun, moon, night, and day; gives beyond enumeration; and is then addressed by Abraham, who asks for a secure city and protection from idols. The passage is neither a physics manual nor a bare list of benefits. Its repeated verbs form a theology of dependence: familiar causal processes are real, intelligible, and usable, yet none is self-grounding or morally neutral.</w:t>
      </w:r>
    </w:p>
    <w:p>
      <w:pPr>
        <w:pStyle w:val="BodyText"/>
      </w:pPr>
      <w:r>
        <w:t xml:space="preserve">Modern science expands the reader’s appreciation of these signs. Hydrology discloses a solar- and gravity-driven water cycle; botany shows that rain nourishes plants through networks of photosynthesis, soil, nutrients, genetics, and pollination; river mechanics describes open-channel flow; hydrostatics explains why ships float; naval architecture distinguishes flotation from stability; and aerodynamics explains how sails turn apparent wind into thrust. Archimedes’ principle,</w:t>
      </w:r>
      <w:r>
        <w:t xml:space="preserve"> </w:t>
      </w:r>
      <m:oMath>
        <m:sSub>
          <m:e>
            <m:r>
              <m:t>F</m:t>
            </m:r>
          </m:e>
          <m:sub>
            <m:r>
              <m:t>B</m:t>
            </m:r>
          </m:sub>
        </m:sSub>
        <m:r>
          <m:rPr>
            <m:sty m:val="p"/>
          </m:rPr>
          <m:t>=</m:t>
        </m:r>
        <m:sSub>
          <m:e>
            <m:r>
              <m:t>ρ</m:t>
            </m:r>
          </m:e>
          <m:sub>
            <m:r>
              <m:t>f</m:t>
            </m:r>
          </m:sub>
        </m:sSub>
        <m:sSub>
          <m:e>
            <m:r>
              <m:t>V</m:t>
            </m:r>
          </m:e>
          <m:sub>
            <m:r>
              <m:rPr>
                <m:sty m:val="p"/>
              </m:rPr>
              <m:t>d</m:t>
            </m:r>
            <m:r>
              <m:rPr>
                <m:sty m:val="p"/>
              </m:rPr>
              <m:t>i</m:t>
            </m:r>
            <m:r>
              <m:rPr>
                <m:sty m:val="p"/>
              </m:rPr>
              <m:t>s</m:t>
            </m:r>
            <m:r>
              <m:rPr>
                <m:sty m:val="p"/>
              </m:rPr>
              <m:t>p</m:t>
            </m:r>
          </m:sub>
        </m:sSub>
        <m:r>
          <m:t>g</m:t>
        </m:r>
      </m:oMath>
      <w:r>
        <w:t xml:space="preserve">, is therefore a powerful resonance with the verse’s invitation to contemplate ships, but it is not hidden verbatim in the Arabic and does not explain propulsion. Wind propels a sailing vessel; buoyancy supports it.</w:t>
      </w:r>
    </w:p>
    <w:p>
      <w:pPr>
        <w:pStyle w:val="BodyText"/>
      </w:pPr>
      <w:r>
        <w:t xml:space="preserve">Philosophically, the sequence lends itself to occasionalism: God is presented as the ultimate agent, while the created regularities through which water nourishes, rivers flow, and ships sail are dependable instruments rather than autonomous rivals. On a Ghazalian reading, laws of nature describe God’s stable custom or habit; they do not legislate over God. Zia H. Shah, MD develops this as the</w:t>
      </w:r>
      <w:r>
        <w:t xml:space="preserve"> </w:t>
      </w:r>
      <w:r>
        <w:t xml:space="preserve">“</w:t>
      </w:r>
      <w:r>
        <w:t xml:space="preserve">metaphysics of Inshallah</w:t>
      </w:r>
      <w:r>
        <w:t xml:space="preserve">”</w:t>
      </w:r>
      <w:r>
        <w:t xml:space="preserve"> </w:t>
      </w:r>
      <w:r>
        <w:t xml:space="preserve">and the</w:t>
      </w:r>
      <w:r>
        <w:t xml:space="preserve"> </w:t>
      </w:r>
      <w:r>
        <w:t xml:space="preserve">“</w:t>
      </w:r>
      <w:r>
        <w:t xml:space="preserve">Inshallah universe</w:t>
      </w:r>
      <w:r>
        <w:t xml:space="preserve">”</w:t>
      </w:r>
      <w:r>
        <w:t xml:space="preserve">: a cosmos continuously sustained by the Ever-Living, Self-Subsisting God. His writings connect Qur’anic divine action with classical Ashʿarism, quantum theory, cosmology, evolution, consciousness, providence, and human freedom. Their strongest contribution is not a scientific proof of occasionalism—no such experiment exists—but a metaphysical interpretation that holds together scientific regularity, radical contingency, prayer, gratitude, and responsibility. The passage thus asks the reader to learn nature’s grammar without mistaking the grammar for its Author, and to receive power over nature as stewardship rather than possession.</w:t>
      </w:r>
    </w:p>
    <w:bookmarkEnd w:id="22"/>
    <w:bookmarkStart w:id="32" w:name="text-translation-and-method"/>
    <w:p>
      <w:pPr>
        <w:pStyle w:val="Heading2"/>
        <w:keepNext/>
      </w:pPr>
      <w:r>
        <w:t xml:space="preserve">1. Text, translation, and method</w:t>
      </w:r>
    </w:p>
    <w:p>
      <w:pPr>
        <w:pStyle w:val="FirstParagraph"/>
      </w:pPr>
      <w:r>
        <w:t xml:space="preserve">The four verses belong to a late-Makkan discourse that contrasts gratitude with the setting up of rivals to God. Verses 28–30 accuse some people of exchanging God’s favor for ingratitude; verse 31 calls believers to prayer and generosity; verses 32–34 catalogue sustaining gifts; verses 35–41 turn to Abraham’s prayer. The literary movement matters. Natural order is not offered as spectacle alone. It presses toward worship, justice, generosity, security, and freedom from idolatry.</w:t>
      </w:r>
    </w:p>
    <w:p>
      <w:pPr>
        <w:pStyle w:val="BodyText"/>
      </w:pPr>
      <w:r>
        <w:t xml:space="preserve">Six widely read translations are placed side by side below. Their differences are interpretively useful.</w:t>
      </w:r>
      <w:r>
        <w:t xml:space="preserve"> </w:t>
      </w:r>
      <w:r>
        <w:t xml:space="preserve">“</w:t>
      </w:r>
      <w:r>
        <w:t xml:space="preserve">Subjected,</w:t>
      </w:r>
      <w:r>
        <w:t xml:space="preserve">”</w:t>
      </w:r>
      <w:r>
        <w:t xml:space="preserve"> </w:t>
      </w:r>
      <w:r>
        <w:t xml:space="preserve">“</w:t>
      </w:r>
      <w:r>
        <w:t xml:space="preserve">made serviceable,</w:t>
      </w:r>
      <w:r>
        <w:t xml:space="preserve">”</w:t>
      </w:r>
      <w:r>
        <w:t xml:space="preserve"> </w:t>
      </w:r>
      <w:r>
        <w:t xml:space="preserve">and</w:t>
      </w:r>
      <w:r>
        <w:t xml:space="preserve"> </w:t>
      </w:r>
      <w:r>
        <w:t xml:space="preserve">“</w:t>
      </w:r>
      <w:r>
        <w:t xml:space="preserve">made useful</w:t>
      </w:r>
      <w:r>
        <w:t xml:space="preserve">”</w:t>
      </w:r>
      <w:r>
        <w:t xml:space="preserve"> </w:t>
      </w:r>
      <w:r>
        <w:t xml:space="preserve">render the repeated Arabic</w:t>
      </w:r>
      <w:r>
        <w:t xml:space="preserve"> </w:t>
      </w:r>
      <w:r>
        <w:rPr>
          <w:iCs/>
          <w:i/>
        </w:rPr>
        <w:t xml:space="preserve">sakhkhara lakum</w:t>
      </w:r>
      <w:r>
        <w:t xml:space="preserve">.</w:t>
      </w:r>
      <w:r>
        <w:t xml:space="preserve"> </w:t>
      </w:r>
      <w:r>
        <w:t xml:space="preserve">“</w:t>
      </w:r>
      <w:r>
        <w:t xml:space="preserve">By His command</w:t>
      </w:r>
      <w:r>
        <w:t xml:space="preserve">”</w:t>
      </w:r>
      <w:r>
        <w:t xml:space="preserve"> </w:t>
      </w:r>
      <w:r>
        <w:t xml:space="preserve">renders</w:t>
      </w:r>
      <w:r>
        <w:t xml:space="preserve"> </w:t>
      </w:r>
      <w:r>
        <w:rPr>
          <w:iCs/>
          <w:i/>
        </w:rPr>
        <w:t xml:space="preserve">bi-amrihi</w:t>
      </w:r>
      <w:r>
        <w:t xml:space="preserve">.</w:t>
      </w:r>
      <w:r>
        <w:t xml:space="preserve"> </w:t>
      </w:r>
      <w:r>
        <w:t xml:space="preserve">“</w:t>
      </w:r>
      <w:r>
        <w:t xml:space="preserve">Constant in their courses,</w:t>
      </w:r>
      <w:r>
        <w:t xml:space="preserve">”</w:t>
      </w:r>
      <w:r>
        <w:t xml:space="preserve"> </w:t>
      </w:r>
      <w:r>
        <w:t xml:space="preserve">“</w:t>
      </w:r>
      <w:r>
        <w:t xml:space="preserve">diligently pursuing,</w:t>
      </w:r>
      <w:r>
        <w:t xml:space="preserve">”</w:t>
      </w:r>
      <w:r>
        <w:t xml:space="preserve"> </w:t>
      </w:r>
      <w:r>
        <w:t xml:space="preserve">and</w:t>
      </w:r>
      <w:r>
        <w:t xml:space="preserve"> </w:t>
      </w:r>
      <w:r>
        <w:t xml:space="preserve">“</w:t>
      </w:r>
      <w:r>
        <w:t xml:space="preserve">steady on their paths</w:t>
      </w:r>
      <w:r>
        <w:t xml:space="preserve">”</w:t>
      </w:r>
      <w:r>
        <w:t xml:space="preserve"> </w:t>
      </w:r>
      <w:r>
        <w:t xml:space="preserve">render</w:t>
      </w:r>
      <w:r>
        <w:t xml:space="preserve"> </w:t>
      </w:r>
      <w:r>
        <w:rPr>
          <w:iCs/>
          <w:i/>
        </w:rPr>
        <w:t xml:space="preserve">dāʾibayn</w:t>
      </w:r>
      <w:r>
        <w:t xml:space="preserve">. Verse 34 is especially difficult:</w:t>
      </w:r>
      <w:r>
        <w:t xml:space="preserve"> </w:t>
      </w:r>
      <w:r>
        <w:rPr>
          <w:iCs/>
          <w:i/>
        </w:rPr>
        <w:t xml:space="preserve">min kulli mā saʾaltumūhu</w:t>
      </w:r>
      <w:r>
        <w:t xml:space="preserve"> </w:t>
      </w:r>
      <w:r>
        <w:t xml:space="preserve">can suggest</w:t>
      </w:r>
      <w:r>
        <w:t xml:space="preserve"> </w:t>
      </w:r>
      <w:r>
        <w:t xml:space="preserve">“</w:t>
      </w:r>
      <w:r>
        <w:t xml:space="preserve">of all that you asked</w:t>
      </w:r>
      <w:r>
        <w:t xml:space="preserve">”</w:t>
      </w:r>
      <w:r>
        <w:t xml:space="preserve"> </w:t>
      </w:r>
      <w:r>
        <w:t xml:space="preserve">or, more cautiously,</w:t>
      </w:r>
      <w:r>
        <w:t xml:space="preserve"> </w:t>
      </w:r>
      <w:r>
        <w:t xml:space="preserve">“</w:t>
      </w:r>
      <w:r>
        <w:t xml:space="preserve">some of everything you asked.</w:t>
      </w:r>
      <w:r>
        <w:t xml:space="preserve">”</w:t>
      </w:r>
      <w:r>
        <w:t xml:space="preserve"> </w:t>
      </w:r>
      <w:r>
        <w:t xml:space="preserve">Translation is already commentary.</w:t>
      </w:r>
    </w:p>
    <w:bookmarkStart w:id="23" w:name="quran-1432"/>
    <w:p>
      <w:pPr>
        <w:pStyle w:val="Heading3"/>
        <w:keepNext/>
      </w:pPr>
      <w:r>
        <w:t xml:space="preserve">Qur’an 14:32</w:t>
      </w:r>
    </w:p>
    <w:p>
      <w:pPr>
        <w:pStyle w:val="BlockText"/>
        <w:spacing w:before="120" w:after="180"/>
        <w:jc w:val="right"/>
      </w:pPr>
      <w:r>
        <w:rPr>
          <w:rFonts w:ascii="DejaVu Sans" w:hAnsi="DejaVu Sans" w:cs="DejaVu Sans" w:eastAsia="DejaVu Sans"/>
          <w:sz w:val="28"/>
        </w:rPr>
        <w:t xml:space="preserve">اللَّهُ الَّذِي خَلَقَ السَّمَاوَاتِ وَالْأَرْضَ وَأَنزَلَ مِنَ السَّمَاءِ مَاءً فَأَخْرَجَ بِهِ مِنَ الثَّمَرَاتِ رِزْقًا لَّكُمْ ۖ وَسَخَّرَ لَكُمُ الْفُلْكَ لِتَجْرِيَ فِي الْبَحْرِ بِأَمْرِهِ ۖ وَسَخَّرَ لَكُمُ الْأَنْهَارَ</w:t>
      </w:r>
    </w:p>
    <w:p>
      <w:pPr>
        <w:pStyle w:val="FirstParagraph"/>
      </w:pPr>
      <w:r>
        <w:rPr>
          <w:bCs/>
          <w:b/>
        </w:rPr>
        <w:t xml:space="preserve">M. A. S. Abdel Haleem</w:t>
      </w:r>
    </w:p>
    <w:p>
      <w:pPr>
        <w:pStyle w:val="BlockText"/>
      </w:pPr>
      <w:r>
        <w:t xml:space="preserve">“</w:t>
      </w:r>
      <w:r>
        <w:t xml:space="preserve">It is God who created the heavens and earth, who has sent down water from the sky and with it brought forth produce to nourish you; He has made ships useful to you, sailing the sea by His command, and the rivers too.</w:t>
      </w:r>
      <w:r>
        <w:t xml:space="preserve">”</w:t>
      </w:r>
    </w:p>
    <w:p>
      <w:pPr>
        <w:pStyle w:val="FirstParagraph"/>
      </w:pPr>
      <w:r>
        <w:rPr>
          <w:bCs/>
          <w:b/>
        </w:rPr>
        <w:t xml:space="preserve">Sahih International</w:t>
      </w:r>
    </w:p>
    <w:p>
      <w:pPr>
        <w:pStyle w:val="BlockText"/>
      </w:pPr>
      <w:r>
        <w:t xml:space="preserve">“</w:t>
      </w:r>
      <w:r>
        <w:t xml:space="preserve">It is Allah who created the heavens and the earth and sent down rain from the sky and produced thereby some fruits as provision for you and subjected for you the ships to sail through the sea by His command and subjected for you the rivers.</w:t>
      </w:r>
      <w:r>
        <w:t xml:space="preserve">”</w:t>
      </w:r>
    </w:p>
    <w:p>
      <w:pPr>
        <w:pStyle w:val="FirstParagraph"/>
      </w:pPr>
      <w:r>
        <w:rPr>
          <w:bCs/>
          <w:b/>
        </w:rPr>
        <w:t xml:space="preserve">Marmaduke Pickthall</w:t>
      </w:r>
    </w:p>
    <w:p>
      <w:pPr>
        <w:pStyle w:val="BlockText"/>
      </w:pPr>
      <w:r>
        <w:t xml:space="preserve">“</w:t>
      </w:r>
      <w:r>
        <w:t xml:space="preserve">Allah is He Who created the heavens and the earth, and causeth water to descend from the sky, thereby producing fruits as food for you, and maketh the ships to be of service unto you, that they may run upon the sea at His command, and hath made of service unto you the rivers.</w:t>
      </w:r>
      <w:r>
        <w:t xml:space="preserve">”</w:t>
      </w:r>
    </w:p>
    <w:p>
      <w:pPr>
        <w:pStyle w:val="FirstParagraph"/>
      </w:pPr>
      <w:r>
        <w:rPr>
          <w:bCs/>
          <w:b/>
        </w:rPr>
        <w:t xml:space="preserve">Abdullah Yusuf Ali</w:t>
      </w:r>
    </w:p>
    <w:p>
      <w:pPr>
        <w:pStyle w:val="BlockText"/>
      </w:pPr>
      <w:r>
        <w:t xml:space="preserve">“</w:t>
      </w:r>
      <w:r>
        <w:t xml:space="preserve">It is Allah Who hath created the heavens and the earth and sendeth down rain from the skies, and with it bringeth out fruits wherewith to feed you; it is He Who hath made the ships subject to you, that they may sail through the sea by His command; and the rivers (also) hath He made subject to you.</w:t>
      </w:r>
      <w:r>
        <w:t xml:space="preserve">”</w:t>
      </w:r>
    </w:p>
    <w:p>
      <w:pPr>
        <w:pStyle w:val="FirstParagraph"/>
      </w:pPr>
      <w:r>
        <w:rPr>
          <w:bCs/>
          <w:b/>
        </w:rPr>
        <w:t xml:space="preserve">Muhammad Asad</w:t>
      </w:r>
    </w:p>
    <w:p>
      <w:pPr>
        <w:pStyle w:val="BlockText"/>
      </w:pPr>
      <w:r>
        <w:t xml:space="preserve">“</w:t>
      </w:r>
      <w:r>
        <w:t xml:space="preserve">[And remember that] it is God who has created the heavens and the earth, and who sends down water from the sky and thereby brings forth [all manner] of fruits for your sustenance; and who has made ships subservient to you, so that they may sail through the sea at His behest; and has made the rivers subservient [to His laws, so that they be of use] to you.</w:t>
      </w:r>
      <w:r>
        <w:t xml:space="preserve">”</w:t>
      </w:r>
    </w:p>
    <w:p>
      <w:pPr>
        <w:pStyle w:val="FirstParagraph"/>
      </w:pPr>
      <w:r>
        <w:rPr>
          <w:bCs/>
          <w:b/>
        </w:rPr>
        <w:t xml:space="preserve">Mustafa Khattab,</w:t>
      </w:r>
      <w:r>
        <w:rPr>
          <w:bCs/>
          <w:b/>
        </w:rPr>
        <w:t xml:space="preserve"> </w:t>
      </w:r>
      <w:r>
        <w:rPr>
          <w:iCs/>
          <w:i/>
          <w:bCs/>
          <w:b/>
        </w:rPr>
        <w:t xml:space="preserve">The Clear Quran</w:t>
      </w:r>
    </w:p>
    <w:p>
      <w:pPr>
        <w:pStyle w:val="BlockText"/>
      </w:pPr>
      <w:r>
        <w:t xml:space="preserve">“</w:t>
      </w:r>
      <w:r>
        <w:t xml:space="preserve">It is Allah Who created the heavens and the earth and sends down rain from the sky, causing fruits to grow as a provision for you. He has subjected the ships for your service, sailing through the sea by His command, and has subjected the rivers for you.</w:t>
      </w:r>
      <w:r>
        <w:t xml:space="preserve">”</w:t>
      </w:r>
    </w:p>
    <w:bookmarkEnd w:id="23"/>
    <w:bookmarkStart w:id="24" w:name="quran-1433"/>
    <w:p>
      <w:pPr>
        <w:pStyle w:val="Heading3"/>
        <w:keepNext/>
      </w:pPr>
      <w:r>
        <w:t xml:space="preserve">Qur’an 14:33</w:t>
      </w:r>
    </w:p>
    <w:p>
      <w:pPr>
        <w:pStyle w:val="BlockText"/>
        <w:spacing w:before="120" w:after="180"/>
        <w:jc w:val="right"/>
      </w:pPr>
      <w:r>
        <w:rPr>
          <w:rFonts w:ascii="DejaVu Sans" w:hAnsi="DejaVu Sans" w:cs="DejaVu Sans" w:eastAsia="DejaVu Sans"/>
          <w:sz w:val="28"/>
        </w:rPr>
        <w:t xml:space="preserve">وَسَخَّرَ لَكُمُ الشَّمْسَ وَالْقَمَرَ دَائِبَيْنِ ۖ وَسَخَّرَ لَكُمُ اللَّيْلَ وَالنَّهَارَ</w:t>
      </w:r>
    </w:p>
    <w:p>
      <w:pPr>
        <w:pStyle w:val="FirstParagraph"/>
      </w:pPr>
      <w:r>
        <w:rPr>
          <w:bCs/>
          <w:b/>
        </w:rPr>
        <w:t xml:space="preserve">M. A. S. Abdel Haleem</w:t>
      </w:r>
    </w:p>
    <w:p>
      <w:pPr>
        <w:pStyle w:val="BlockText"/>
      </w:pPr>
      <w:r>
        <w:t xml:space="preserve">“</w:t>
      </w:r>
      <w:r>
        <w:t xml:space="preserve">He has made the sun and the moon useful to you, steady on their paths; He has made the night and day useful to you.</w:t>
      </w:r>
      <w:r>
        <w:t xml:space="preserve">”</w:t>
      </w:r>
    </w:p>
    <w:p>
      <w:pPr>
        <w:pStyle w:val="FirstParagraph"/>
      </w:pPr>
      <w:r>
        <w:rPr>
          <w:bCs/>
          <w:b/>
        </w:rPr>
        <w:t xml:space="preserve">Sahih International</w:t>
      </w:r>
    </w:p>
    <w:p>
      <w:pPr>
        <w:pStyle w:val="BlockText"/>
      </w:pPr>
      <w:r>
        <w:t xml:space="preserve">“</w:t>
      </w:r>
      <w:r>
        <w:t xml:space="preserve">And He subjected for you the sun and the moon, continuous [in orbit], and subjected for you the night and the day.</w:t>
      </w:r>
      <w:r>
        <w:t xml:space="preserve">”</w:t>
      </w:r>
    </w:p>
    <w:p>
      <w:pPr>
        <w:pStyle w:val="FirstParagraph"/>
      </w:pPr>
      <w:r>
        <w:rPr>
          <w:bCs/>
          <w:b/>
        </w:rPr>
        <w:t xml:space="preserve">Marmaduke Pickthall</w:t>
      </w:r>
    </w:p>
    <w:p>
      <w:pPr>
        <w:pStyle w:val="BlockText"/>
      </w:pPr>
      <w:r>
        <w:t xml:space="preserve">“</w:t>
      </w:r>
      <w:r>
        <w:t xml:space="preserve">And maketh the sun and the moon, constant in their courses, to be of service unto you, and hath made of service unto you the night and the day.</w:t>
      </w:r>
      <w:r>
        <w:t xml:space="preserve">”</w:t>
      </w:r>
    </w:p>
    <w:p>
      <w:pPr>
        <w:pStyle w:val="FirstParagraph"/>
      </w:pPr>
      <w:r>
        <w:rPr>
          <w:bCs/>
          <w:b/>
        </w:rPr>
        <w:t xml:space="preserve">Abdullah Yusuf Ali</w:t>
      </w:r>
    </w:p>
    <w:p>
      <w:pPr>
        <w:pStyle w:val="BlockText"/>
      </w:pPr>
      <w:r>
        <w:t xml:space="preserve">“</w:t>
      </w:r>
      <w:r>
        <w:t xml:space="preserve">And He hath made subject to you the sun and the moon, both diligently pursuing their courses; and the night and the day hath He (also) made subject to you.</w:t>
      </w:r>
      <w:r>
        <w:t xml:space="preserve">”</w:t>
      </w:r>
    </w:p>
    <w:p>
      <w:pPr>
        <w:pStyle w:val="FirstParagraph"/>
      </w:pPr>
      <w:r>
        <w:rPr>
          <w:bCs/>
          <w:b/>
        </w:rPr>
        <w:t xml:space="preserve">Muhammad Asad</w:t>
      </w:r>
    </w:p>
    <w:p>
      <w:pPr>
        <w:pStyle w:val="BlockText"/>
      </w:pPr>
      <w:r>
        <w:t xml:space="preserve">“</w:t>
      </w:r>
      <w:r>
        <w:t xml:space="preserve">And has made the sun and the moon, both of them constant upon their courses, subservient [to His laws, so that they be of use] to you; and has made the night and the day subservient [to His laws, so that they be of use] to you.</w:t>
      </w:r>
      <w:r>
        <w:t xml:space="preserve">”</w:t>
      </w:r>
    </w:p>
    <w:p>
      <w:pPr>
        <w:pStyle w:val="FirstParagraph"/>
      </w:pPr>
      <w:r>
        <w:rPr>
          <w:bCs/>
          <w:b/>
        </w:rPr>
        <w:t xml:space="preserve">Mustafa Khattab,</w:t>
      </w:r>
      <w:r>
        <w:rPr>
          <w:bCs/>
          <w:b/>
        </w:rPr>
        <w:t xml:space="preserve"> </w:t>
      </w:r>
      <w:r>
        <w:rPr>
          <w:iCs/>
          <w:i/>
          <w:bCs/>
          <w:b/>
        </w:rPr>
        <w:t xml:space="preserve">The Clear Quran</w:t>
      </w:r>
    </w:p>
    <w:p>
      <w:pPr>
        <w:pStyle w:val="BlockText"/>
      </w:pPr>
      <w:r>
        <w:t xml:space="preserve">“</w:t>
      </w:r>
      <w:r>
        <w:t xml:space="preserve">He has ˹also˺ subjected for you the sun and the moon, both constantly orbiting, and has subjected the day and night for you.</w:t>
      </w:r>
      <w:r>
        <w:t xml:space="preserve">”</w:t>
      </w:r>
    </w:p>
    <w:bookmarkEnd w:id="24"/>
    <w:bookmarkStart w:id="25" w:name="quran-1434"/>
    <w:p>
      <w:pPr>
        <w:pStyle w:val="Heading3"/>
        <w:keepNext/>
      </w:pPr>
      <w:r>
        <w:t xml:space="preserve">Qur’an 14:34</w:t>
      </w:r>
    </w:p>
    <w:p>
      <w:pPr>
        <w:pStyle w:val="BlockText"/>
        <w:spacing w:before="120" w:after="180"/>
        <w:jc w:val="right"/>
      </w:pPr>
      <w:r>
        <w:rPr>
          <w:rFonts w:ascii="DejaVu Sans" w:hAnsi="DejaVu Sans" w:cs="DejaVu Sans" w:eastAsia="DejaVu Sans"/>
          <w:sz w:val="28"/>
        </w:rPr>
        <w:t xml:space="preserve">وَآتَاكُم مِّن كُلِّ مَا سَأَلْتُمُوهُ ۚ وَإِن تَعُدُّوا نِعْمَتَ اللَّهِ لَا تُحْصُوهَا ۗ إِنَّ الْإِنسَانَ لَظَلُومٌ كَفَّارٌ</w:t>
      </w:r>
    </w:p>
    <w:p>
      <w:pPr>
        <w:pStyle w:val="FirstParagraph"/>
      </w:pPr>
      <w:r>
        <w:rPr>
          <w:bCs/>
          <w:b/>
        </w:rPr>
        <w:t xml:space="preserve">M. A. S. Abdel Haleem</w:t>
      </w:r>
    </w:p>
    <w:p>
      <w:pPr>
        <w:pStyle w:val="BlockText"/>
      </w:pPr>
      <w:r>
        <w:t xml:space="preserve">“</w:t>
      </w:r>
      <w:r>
        <w:t xml:space="preserve">And given you some of everything you asked Him for. If you tried to count God’s favours you could never calculate them: man is truly unjust and ungrateful.</w:t>
      </w:r>
      <w:r>
        <w:t xml:space="preserve">”</w:t>
      </w:r>
    </w:p>
    <w:p>
      <w:pPr>
        <w:pStyle w:val="FirstParagraph"/>
      </w:pPr>
      <w:r>
        <w:rPr>
          <w:bCs/>
          <w:b/>
        </w:rPr>
        <w:t xml:space="preserve">Sahih International</w:t>
      </w:r>
    </w:p>
    <w:p>
      <w:pPr>
        <w:pStyle w:val="BlockText"/>
      </w:pPr>
      <w:r>
        <w:t xml:space="preserve">“</w:t>
      </w:r>
      <w:r>
        <w:t xml:space="preserve">And He gave you from all you asked of Him. And if you should count the favor of Allah, you could not enumerate them. Indeed, mankind is [generally] most unjust and ungrateful.</w:t>
      </w:r>
      <w:r>
        <w:t xml:space="preserve">”</w:t>
      </w:r>
    </w:p>
    <w:p>
      <w:pPr>
        <w:pStyle w:val="FirstParagraph"/>
      </w:pPr>
      <w:r>
        <w:rPr>
          <w:bCs/>
          <w:b/>
        </w:rPr>
        <w:t xml:space="preserve">Marmaduke Pickthall</w:t>
      </w:r>
    </w:p>
    <w:p>
      <w:pPr>
        <w:pStyle w:val="BlockText"/>
      </w:pPr>
      <w:r>
        <w:t xml:space="preserve">“</w:t>
      </w:r>
      <w:r>
        <w:t xml:space="preserve">And He giveth you of all ye ask of Him, and if ye would count the bounty of Allah ye cannot reckon it. Lo! man is verily a wrong-doer, an ingrate.</w:t>
      </w:r>
      <w:r>
        <w:t xml:space="preserve">”</w:t>
      </w:r>
    </w:p>
    <w:p>
      <w:pPr>
        <w:pStyle w:val="FirstParagraph"/>
      </w:pPr>
      <w:r>
        <w:rPr>
          <w:bCs/>
          <w:b/>
        </w:rPr>
        <w:t xml:space="preserve">Abdullah Yusuf Ali</w:t>
      </w:r>
    </w:p>
    <w:p>
      <w:pPr>
        <w:pStyle w:val="BlockText"/>
      </w:pPr>
      <w:r>
        <w:t xml:space="preserve">“</w:t>
      </w:r>
      <w:r>
        <w:t xml:space="preserve">And He giveth you of all that ye ask for. But if ye count the favours of Allah, never will ye be able to number them. Verily, man is given up to injustice and ingratitude.</w:t>
      </w:r>
      <w:r>
        <w:t xml:space="preserve">”</w:t>
      </w:r>
    </w:p>
    <w:p>
      <w:pPr>
        <w:pStyle w:val="FirstParagraph"/>
      </w:pPr>
      <w:r>
        <w:rPr>
          <w:bCs/>
          <w:b/>
        </w:rPr>
        <w:t xml:space="preserve">Muhammad Asad</w:t>
      </w:r>
    </w:p>
    <w:p>
      <w:pPr>
        <w:pStyle w:val="BlockText"/>
      </w:pPr>
      <w:r>
        <w:t xml:space="preserve">“</w:t>
      </w:r>
      <w:r>
        <w:t xml:space="preserve">And [always] does He give you something out of what you may be asking of Him; and should you try to count God’s blessings, you could never compute them. [And yet,] behold, man is indeed most persistent in wrongdoing, stubbornly ingrate.</w:t>
      </w:r>
      <w:r>
        <w:t xml:space="preserve">”</w:t>
      </w:r>
    </w:p>
    <w:p>
      <w:pPr>
        <w:pStyle w:val="FirstParagraph"/>
      </w:pPr>
      <w:r>
        <w:rPr>
          <w:bCs/>
          <w:b/>
        </w:rPr>
        <w:t xml:space="preserve">Mustafa Khattab,</w:t>
      </w:r>
      <w:r>
        <w:rPr>
          <w:bCs/>
          <w:b/>
        </w:rPr>
        <w:t xml:space="preserve"> </w:t>
      </w:r>
      <w:r>
        <w:rPr>
          <w:iCs/>
          <w:i/>
          <w:bCs/>
          <w:b/>
        </w:rPr>
        <w:t xml:space="preserve">The Clear Quran</w:t>
      </w:r>
    </w:p>
    <w:p>
      <w:pPr>
        <w:pStyle w:val="BlockText"/>
      </w:pPr>
      <w:r>
        <w:t xml:space="preserve">“</w:t>
      </w:r>
      <w:r>
        <w:t xml:space="preserve">And He has granted you all that you asked Him for. If you tried to count Allah’s blessings, you would never be able to number them. Indeed humankind is truly unfair, ˹totally˺ ungrateful.</w:t>
      </w:r>
      <w:r>
        <w:t xml:space="preserve">”</w:t>
      </w:r>
    </w:p>
    <w:bookmarkEnd w:id="25"/>
    <w:bookmarkStart w:id="31" w:name="quran-1435"/>
    <w:p>
      <w:pPr>
        <w:pStyle w:val="Heading3"/>
        <w:keepNext/>
      </w:pPr>
      <w:r>
        <w:t xml:space="preserve">Qur’an 14:35</w:t>
      </w:r>
    </w:p>
    <w:p>
      <w:pPr>
        <w:pStyle w:val="BlockText"/>
        <w:spacing w:before="120" w:after="180"/>
        <w:jc w:val="right"/>
      </w:pPr>
      <w:r>
        <w:rPr>
          <w:rFonts w:ascii="DejaVu Sans" w:hAnsi="DejaVu Sans" w:cs="DejaVu Sans" w:eastAsia="DejaVu Sans"/>
          <w:sz w:val="28"/>
        </w:rPr>
        <w:t xml:space="preserve">وَإِذْ قَالَ إِبْرَاهِيمُ رَبِّ اجْعَلْ هَٰذَا الْبَلَدَ آمِنًا وَاجْنُبْنِي وَبَنِيَّ أَن نَّعْبُدَ الْأَصْنَامَ</w:t>
      </w:r>
    </w:p>
    <w:p>
      <w:pPr>
        <w:pStyle w:val="FirstParagraph"/>
      </w:pPr>
      <w:r>
        <w:rPr>
          <w:bCs/>
          <w:b/>
        </w:rPr>
        <w:t xml:space="preserve">M. A. S. Abdel Haleem</w:t>
      </w:r>
    </w:p>
    <w:p>
      <w:pPr>
        <w:pStyle w:val="BlockText"/>
      </w:pPr>
      <w:r>
        <w:t xml:space="preserve">“</w:t>
      </w:r>
      <w:r>
        <w:t xml:space="preserve">Remember when Abraham said,</w:t>
      </w:r>
      <w:r>
        <w:t xml:space="preserve"> </w:t>
      </w:r>
      <w:r>
        <w:t xml:space="preserve">‘</w:t>
      </w:r>
      <w:r>
        <w:t xml:space="preserve">Lord, make this town safe! Preserve me and my offspring from idolatry.</w:t>
      </w:r>
      <w:r>
        <w:t xml:space="preserve">’</w:t>
      </w:r>
      <w:r>
        <w:t xml:space="preserve">”</w:t>
      </w:r>
    </w:p>
    <w:p>
      <w:pPr>
        <w:pStyle w:val="FirstParagraph"/>
      </w:pPr>
      <w:r>
        <w:rPr>
          <w:bCs/>
          <w:b/>
        </w:rPr>
        <w:t xml:space="preserve">Sahih International</w:t>
      </w:r>
    </w:p>
    <w:p>
      <w:pPr>
        <w:pStyle w:val="BlockText"/>
      </w:pPr>
      <w:r>
        <w:t xml:space="preserve">“</w:t>
      </w:r>
      <w:r>
        <w:t xml:space="preserve">And [mention, O Muhammad], when Abraham said,</w:t>
      </w:r>
      <w:r>
        <w:t xml:space="preserve"> </w:t>
      </w:r>
      <w:r>
        <w:t xml:space="preserve">‘</w:t>
      </w:r>
      <w:r>
        <w:t xml:space="preserve">My Lord, make this city [Makkah] secure and keep me and my sons away from worshipping idols.</w:t>
      </w:r>
      <w:r>
        <w:t xml:space="preserve">’</w:t>
      </w:r>
      <w:r>
        <w:t xml:space="preserve">”</w:t>
      </w:r>
    </w:p>
    <w:p>
      <w:pPr>
        <w:pStyle w:val="FirstParagraph"/>
      </w:pPr>
      <w:r>
        <w:rPr>
          <w:bCs/>
          <w:b/>
        </w:rPr>
        <w:t xml:space="preserve">Marmaduke Pickthall</w:t>
      </w:r>
    </w:p>
    <w:p>
      <w:pPr>
        <w:pStyle w:val="BlockText"/>
      </w:pPr>
      <w:r>
        <w:t xml:space="preserve">“</w:t>
      </w:r>
      <w:r>
        <w:t xml:space="preserve">And when Abraham said: My Lord! Make safe this territory, and preserve me and my sons from serving idols.</w:t>
      </w:r>
      <w:r>
        <w:t xml:space="preserve">”</w:t>
      </w:r>
    </w:p>
    <w:p>
      <w:pPr>
        <w:pStyle w:val="FirstParagraph"/>
      </w:pPr>
      <w:r>
        <w:rPr>
          <w:bCs/>
          <w:b/>
        </w:rPr>
        <w:t xml:space="preserve">Abdullah Yusuf Ali</w:t>
      </w:r>
    </w:p>
    <w:p>
      <w:pPr>
        <w:pStyle w:val="BlockText"/>
      </w:pPr>
      <w:r>
        <w:t xml:space="preserve">“</w:t>
      </w:r>
      <w:r>
        <w:t xml:space="preserve">Remember Abraham said:</w:t>
      </w:r>
      <w:r>
        <w:t xml:space="preserve"> </w:t>
      </w:r>
      <w:r>
        <w:t xml:space="preserve">‘</w:t>
      </w:r>
      <w:r>
        <w:t xml:space="preserve">O my Lord! make this city one of peace and security: and preserve me and my sons from worshipping idols.</w:t>
      </w:r>
      <w:r>
        <w:t xml:space="preserve">’</w:t>
      </w:r>
      <w:r>
        <w:t xml:space="preserve">”</w:t>
      </w:r>
    </w:p>
    <w:p>
      <w:pPr>
        <w:pStyle w:val="FirstParagraph"/>
      </w:pPr>
      <w:r>
        <w:rPr>
          <w:bCs/>
          <w:b/>
        </w:rPr>
        <w:t xml:space="preserve">Muhammad Asad</w:t>
      </w:r>
    </w:p>
    <w:p>
      <w:pPr>
        <w:pStyle w:val="BlockText"/>
      </w:pPr>
      <w:r>
        <w:t xml:space="preserve">“</w:t>
      </w:r>
      <w:r>
        <w:t xml:space="preserve">AND [remember the time] when Abraham spoke [thus]:</w:t>
      </w:r>
      <w:r>
        <w:t xml:space="preserve"> </w:t>
      </w:r>
      <w:r>
        <w:t xml:space="preserve">‘</w:t>
      </w:r>
      <w:r>
        <w:t xml:space="preserve">O my Sustainer! Make this land secure, and preserve me and my children from ever worshipping idols.</w:t>
      </w:r>
      <w:r>
        <w:t xml:space="preserve">’</w:t>
      </w:r>
      <w:r>
        <w:t xml:space="preserve">”</w:t>
      </w:r>
    </w:p>
    <w:p>
      <w:pPr>
        <w:pStyle w:val="FirstParagraph"/>
      </w:pPr>
      <w:r>
        <w:rPr>
          <w:bCs/>
          <w:b/>
        </w:rPr>
        <w:t xml:space="preserve">Mustafa Khattab,</w:t>
      </w:r>
      <w:r>
        <w:rPr>
          <w:bCs/>
          <w:b/>
        </w:rPr>
        <w:t xml:space="preserve"> </w:t>
      </w:r>
      <w:r>
        <w:rPr>
          <w:iCs/>
          <w:i/>
          <w:bCs/>
          <w:b/>
        </w:rPr>
        <w:t xml:space="preserve">The Clear Quran</w:t>
      </w:r>
    </w:p>
    <w:p>
      <w:pPr>
        <w:pStyle w:val="BlockText"/>
      </w:pPr>
      <w:r>
        <w:t xml:space="preserve">“</w:t>
      </w:r>
      <w:r>
        <w:t xml:space="preserve">˹Remember˺ when Abraham prayed,</w:t>
      </w:r>
      <w:r>
        <w:t xml:space="preserve"> </w:t>
      </w:r>
      <w:r>
        <w:t xml:space="preserve">‘</w:t>
      </w:r>
      <w:r>
        <w:t xml:space="preserve">My Lord! Make this city ˹of Mecca˺ secure, and keep me and my children away from the worship of idols.</w:t>
      </w:r>
      <w:r>
        <w:t xml:space="preserve">’</w:t>
      </w:r>
      <w:r>
        <w:t xml:space="preserve">”</w:t>
      </w:r>
    </w:p>
    <w:p>
      <w:pPr>
        <w:pStyle w:val="FirstParagraph"/>
      </w:pPr>
      <w:r>
        <w:t xml:space="preserve">The Arabic and translation comparison may be checked against</w:t>
      </w:r>
      <w:r>
        <w:t xml:space="preserve"> </w:t>
      </w:r>
      <w:r>
        <w:rPr>
          <w:rStyle w:val="Hyperlink"/>
        </w:rPr>
        <w:t xml:space="preserve">Quran.com’s presentation of 14:32–35</w:t>
      </w:r>
      <w:r>
        <w:t xml:space="preserve"> </w:t>
      </w:r>
      <w:r>
        <w:t xml:space="preserve">and the multi-translation pages for</w:t>
      </w:r>
      <w:r>
        <w:t xml:space="preserve"> </w:t>
      </w:r>
      <w:r>
        <w:rPr>
          <w:rStyle w:val="Hyperlink"/>
        </w:rPr>
        <w:t xml:space="preserve">14:32</w:t>
      </w:r>
      <w:r>
        <w:t xml:space="preserve">,</w:t>
      </w:r>
      <w:r>
        <w:t xml:space="preserve"> </w:t>
      </w:r>
      <w:r>
        <w:rPr>
          <w:rStyle w:val="Hyperlink"/>
        </w:rPr>
        <w:t xml:space="preserve">14:33</w:t>
      </w:r>
      <w:r>
        <w:t xml:space="preserve">,</w:t>
      </w:r>
      <w:r>
        <w:t xml:space="preserve"> </w:t>
      </w:r>
      <w:r>
        <w:rPr>
          <w:rStyle w:val="Hyperlink"/>
        </w:rPr>
        <w:t xml:space="preserve">14:34</w:t>
      </w:r>
      <w:r>
        <w:t xml:space="preserve">, and</w:t>
      </w:r>
      <w:r>
        <w:t xml:space="preserve"> </w:t>
      </w:r>
      <w:r>
        <w:rPr>
          <w:rStyle w:val="Hyperlink"/>
        </w:rPr>
        <w:t xml:space="preserve">14:35</w:t>
      </w:r>
      <w:r>
        <w:t xml:space="preserve">.</w:t>
      </w:r>
    </w:p>
    <w:bookmarkEnd w:id="31"/>
    <w:bookmarkEnd w:id="32"/>
    <w:bookmarkStart w:id="37" w:name="X335da86d792b780bc39cd39f45e3cab11430de5"/>
    <w:p>
      <w:pPr>
        <w:pStyle w:val="Heading2"/>
        <w:keepNext/>
      </w:pPr>
      <w:r>
        <w:t xml:space="preserve">2. The passage’s architecture: from creation to covenant</w:t>
      </w:r>
    </w:p>
    <w:p>
      <w:pPr>
        <w:pStyle w:val="FirstParagraph"/>
      </w:pPr>
      <w:r>
        <w:t xml:space="preserve">The most audible feature of verses 32–33 is repetition. God</w:t>
      </w:r>
      <w:r>
        <w:t xml:space="preserve"> </w:t>
      </w:r>
      <w:r>
        <w:t xml:space="preserve">“</w:t>
      </w:r>
      <w:r>
        <w:t xml:space="preserve">created,</w:t>
      </w:r>
      <w:r>
        <w:t xml:space="preserve">”</w:t>
      </w:r>
      <w:r>
        <w:t xml:space="preserve"> </w:t>
      </w:r>
      <w:r>
        <w:t xml:space="preserve">“</w:t>
      </w:r>
      <w:r>
        <w:t xml:space="preserve">sent down,</w:t>
      </w:r>
      <w:r>
        <w:t xml:space="preserve">”</w:t>
      </w:r>
      <w:r>
        <w:t xml:space="preserve"> </w:t>
      </w:r>
      <w:r>
        <w:t xml:space="preserve">“</w:t>
      </w:r>
      <w:r>
        <w:t xml:space="preserve">brought forth,</w:t>
      </w:r>
      <w:r>
        <w:t xml:space="preserve">”</w:t>
      </w:r>
      <w:r>
        <w:t xml:space="preserve"> </w:t>
      </w:r>
      <w:r>
        <w:t xml:space="preserve">and then repeatedly</w:t>
      </w:r>
      <w:r>
        <w:t xml:space="preserve"> </w:t>
      </w:r>
      <w:r>
        <w:t xml:space="preserve">“</w:t>
      </w:r>
      <w:r>
        <w:t xml:space="preserve">made serviceable for you.</w:t>
      </w:r>
      <w:r>
        <w:t xml:space="preserve">”</w:t>
      </w:r>
      <w:r>
        <w:t xml:space="preserve"> </w:t>
      </w:r>
      <w:r>
        <w:t xml:space="preserve">The pronoun</w:t>
      </w:r>
      <w:r>
        <w:t xml:space="preserve"> </w:t>
      </w:r>
      <w:r>
        <w:rPr>
          <w:iCs/>
          <w:i/>
        </w:rPr>
        <w:t xml:space="preserve">lakum</w:t>
      </w:r>
      <w:r>
        <w:t xml:space="preserve">—</w:t>
      </w:r>
      <w:r>
        <w:t xml:space="preserve">“</w:t>
      </w:r>
      <w:r>
        <w:t xml:space="preserve">for you</w:t>
      </w:r>
      <w:r>
        <w:t xml:space="preserve">”</w:t>
      </w:r>
      <w:r>
        <w:t xml:space="preserve">—sounds like a refrain. The sequence crosses scales: heavens and earth; rain and fruit; sea and ship; river and settlement; sun and moon; night and day. Verse 34 then compresses the catalogue into a claim that divine favor cannot be counted. Verse 35 gives the proper human response: prayer and the renunciation of false gods.</w:t>
      </w:r>
    </w:p>
    <w:p>
      <w:pPr>
        <w:pStyle w:val="BodyText"/>
      </w:pPr>
      <w:r>
        <w:t xml:space="preserve">The structure corrects two errors at once. It rejects a world without intelligible order: ships really sail, rivers really serve, celestial rhythms really persist. It also rejects a world whose order is self-explanatory: the created powers are described through God’s action and command. The Qur’an therefore does not invite a choice between God and mechanism. It invites the reader to see mechanism as a sign—an intelligible, usable, morally charged expression of dependence.</w:t>
      </w:r>
    </w:p>
    <w:p>
      <w:pPr>
        <w:pStyle w:val="BodyText"/>
      </w:pPr>
      <w:r>
        <w:t xml:space="preserve">Fakhr al-Din al-Razi’s commentary is especially valuable here. He counts a sequence of sign-types across 14:32–34 and directly asks how ships can be attributed to God when people build them. He records two classical answers. The Ashʿarī account treats even human acts as created by God; the Muʿtazilī account emphasizes that God supplies the timber, metals, tools, bodily capacity, knowledge, water’s fluidity, wind, and navigable channels through which human making succeeds. The disagreement is philosophically real, but both readings deny self-sufficient human mastery.</w:t>
      </w:r>
    </w:p>
    <w:bookmarkStart w:id="33" w:name="X13545c316f12ca6646e508e19dc89a1f562e6bb"/>
    <w:p>
      <w:pPr>
        <w:pStyle w:val="Heading3"/>
        <w:keepNext/>
      </w:pPr>
      <w:r>
        <w:rPr>
          <w:iCs/>
          <w:i/>
        </w:rPr>
        <w:t xml:space="preserve">Sakhkhara lakum</w:t>
      </w:r>
      <w:r>
        <w:t xml:space="preserve">: serviceability, not sovereignty</w:t>
      </w:r>
    </w:p>
    <w:p>
      <w:pPr>
        <w:pStyle w:val="FirstParagraph"/>
      </w:pPr>
      <w:r>
        <w:t xml:space="preserve">The root</w:t>
      </w:r>
      <w:r>
        <w:t xml:space="preserve"> </w:t>
      </w:r>
      <w:r>
        <w:rPr>
          <w:iCs/>
          <w:i/>
        </w:rPr>
        <w:t xml:space="preserve">s-kh-r</w:t>
      </w:r>
      <w:r>
        <w:t xml:space="preserve"> </w:t>
      </w:r>
      <w:r>
        <w:t xml:space="preserve">in this construction means that something has been made subservient, serviceable, or available for use. Asad’s bracketed</w:t>
      </w:r>
      <w:r>
        <w:t xml:space="preserve"> </w:t>
      </w:r>
      <w:r>
        <w:t xml:space="preserve">“</w:t>
      </w:r>
      <w:r>
        <w:t xml:space="preserve">subservient to His laws</w:t>
      </w:r>
      <w:r>
        <w:t xml:space="preserve">”</w:t>
      </w:r>
      <w:r>
        <w:t xml:space="preserve"> </w:t>
      </w:r>
      <w:r>
        <w:t xml:space="preserve">makes explicit what other translators leave implicit: human beings do not command the sun, moon, or hydrologic cycle directly. They benefit because the world has stable properties that make action, prediction, agriculture, navigation, and calendar-making possible.</w:t>
      </w:r>
    </w:p>
    <w:p>
      <w:pPr>
        <w:pStyle w:val="BodyText"/>
      </w:pPr>
      <w:r>
        <w:t xml:space="preserve">“</w:t>
      </w:r>
      <w:r>
        <w:t xml:space="preserve">For you</w:t>
      </w:r>
      <w:r>
        <w:t xml:space="preserve">”</w:t>
      </w:r>
      <w:r>
        <w:t xml:space="preserve"> </w:t>
      </w:r>
      <w:r>
        <w:t xml:space="preserve">is therefore not a deed of absolute ownership. It names an asymmetrical gift. The river can irrigate, transport, cool, nourish, and generate power; it can also flood, erode, carry pollutants, and defeat dams. The sea carries commerce while exposing travelers to storms. The sun sustains photosynthesis while scorching an unprotected body. Serviceability is real, but conditional. The moral limit appears immediately in 14:34: a species capable of use is also capable of injustice and ingratitude.</w:t>
      </w:r>
    </w:p>
    <w:bookmarkEnd w:id="33"/>
    <w:bookmarkStart w:id="34" w:name="bi-amrihi-by-his-command"/>
    <w:p>
      <w:pPr>
        <w:pStyle w:val="Heading3"/>
        <w:keepNext/>
      </w:pPr>
      <w:r>
        <w:rPr>
          <w:iCs/>
          <w:i/>
        </w:rPr>
        <w:t xml:space="preserve">Bi-amrihi</w:t>
      </w:r>
      <w:r>
        <w:t xml:space="preserve">: by His command</w:t>
      </w:r>
    </w:p>
    <w:p>
      <w:pPr>
        <w:pStyle w:val="FirstParagraph"/>
      </w:pPr>
      <w:r>
        <w:t xml:space="preserve">The ships sail</w:t>
      </w:r>
      <w:r>
        <w:t xml:space="preserve"> </w:t>
      </w:r>
      <w:r>
        <w:rPr>
          <w:iCs/>
          <w:i/>
        </w:rPr>
        <w:t xml:space="preserve">bi-amrihi</w:t>
      </w:r>
      <w:r>
        <w:t xml:space="preserve">—</w:t>
      </w:r>
      <w:r>
        <w:t xml:space="preserve">“</w:t>
      </w:r>
      <w:r>
        <w:t xml:space="preserve">by His command</w:t>
      </w:r>
      <w:r>
        <w:t xml:space="preserve">”</w:t>
      </w:r>
      <w:r>
        <w:t xml:space="preserve"> </w:t>
      </w:r>
      <w:r>
        <w:t xml:space="preserve">or</w:t>
      </w:r>
      <w:r>
        <w:t xml:space="preserve"> </w:t>
      </w:r>
      <w:r>
        <w:t xml:space="preserve">“</w:t>
      </w:r>
      <w:r>
        <w:t xml:space="preserve">at His behest.</w:t>
      </w:r>
      <w:r>
        <w:t xml:space="preserve">”</w:t>
      </w:r>
      <w:r>
        <w:t xml:space="preserve"> </w:t>
      </w:r>
      <w:r>
        <w:t xml:space="preserve">The phrase does not erase shipwrights, sailors, timber, hull geometry, water pressure, sail trim, currents, or winds. It places all of them within a more ultimate register of agency. A classical commentator can speak of rivers as useful for drinking and irrigation and of the heavenly bodies as ceaseless in their courses, while a physicist describes the forces involved. The verse’s theological claim is not that proximate descriptions are false. It is that no proximate description is metaphysically self-sufficient.</w:t>
      </w:r>
    </w:p>
    <w:bookmarkEnd w:id="34"/>
    <w:bookmarkStart w:id="35" w:name="dāʾibayn-constancy-as-gift"/>
    <w:p>
      <w:pPr>
        <w:pStyle w:val="Heading3"/>
        <w:keepNext/>
      </w:pPr>
      <w:r>
        <w:rPr>
          <w:iCs/>
          <w:i/>
        </w:rPr>
        <w:t xml:space="preserve">Dāʾibayn</w:t>
      </w:r>
      <w:r>
        <w:t xml:space="preserve">: constancy as gift</w:t>
      </w:r>
    </w:p>
    <w:p>
      <w:pPr>
        <w:pStyle w:val="FirstParagraph"/>
      </w:pPr>
      <w:r>
        <w:t xml:space="preserve">The dual participle</w:t>
      </w:r>
      <w:r>
        <w:t xml:space="preserve"> </w:t>
      </w:r>
      <w:r>
        <w:rPr>
          <w:iCs/>
          <w:i/>
        </w:rPr>
        <w:t xml:space="preserve">dāʾibayn</w:t>
      </w:r>
      <w:r>
        <w:t xml:space="preserve"> </w:t>
      </w:r>
      <w:r>
        <w:t xml:space="preserve">describes the sun and moon as persistent, unwearied, constant in their appointed work. Ibn Kathir associates this with their continuous succession and the complementary ordering of night and day. Constancy is crucial. A world of caprice would not support science, calendars, agriculture, navigation, sleep, or trust. Qur’anic divine freedom is not presented here as chaos; it is encountered in dependable rhythms.</w:t>
      </w:r>
    </w:p>
    <w:bookmarkEnd w:id="35"/>
    <w:bookmarkStart w:id="36" w:name="niʿmat-allāh-the-uncountable-singular"/>
    <w:p>
      <w:pPr>
        <w:pStyle w:val="Heading3"/>
        <w:keepNext/>
      </w:pPr>
      <w:r>
        <w:rPr>
          <w:iCs/>
          <w:i/>
        </w:rPr>
        <w:t xml:space="preserve">Niʿmat Allāh</w:t>
      </w:r>
      <w:r>
        <w:t xml:space="preserve">: the uncountable singular</w:t>
      </w:r>
    </w:p>
    <w:p>
      <w:pPr>
        <w:pStyle w:val="FirstParagraph"/>
      </w:pPr>
      <w:r>
        <w:t xml:space="preserve">Verse 34 uses the singular</w:t>
      </w:r>
      <w:r>
        <w:t xml:space="preserve"> </w:t>
      </w:r>
      <w:r>
        <w:rPr>
          <w:iCs/>
          <w:i/>
        </w:rPr>
        <w:t xml:space="preserve">niʿmat Allāh</w:t>
      </w:r>
      <w:r>
        <w:t xml:space="preserve">,</w:t>
      </w:r>
      <w:r>
        <w:t xml:space="preserve"> </w:t>
      </w:r>
      <w:r>
        <w:t xml:space="preserve">“</w:t>
      </w:r>
      <w:r>
        <w:t xml:space="preserve">the favor/blessing of God,</w:t>
      </w:r>
      <w:r>
        <w:t xml:space="preserve">”</w:t>
      </w:r>
      <w:r>
        <w:t xml:space="preserve"> </w:t>
      </w:r>
      <w:r>
        <w:t xml:space="preserve">while speaking of what cannot be enumerated. The singular can function collectively: every blessing belongs to one encompassing economy of grace. The claim is not the naïve proposition that every requested object is granted. The wording</w:t>
      </w:r>
      <w:r>
        <w:t xml:space="preserve"> </w:t>
      </w:r>
      <w:r>
        <w:rPr>
          <w:iCs/>
          <w:i/>
        </w:rPr>
        <w:t xml:space="preserve">min kulli</w:t>
      </w:r>
      <w:r>
        <w:t xml:space="preserve"> </w:t>
      </w:r>
      <w:r>
        <w:t xml:space="preserve">permits</w:t>
      </w:r>
      <w:r>
        <w:t xml:space="preserve"> </w:t>
      </w:r>
      <w:r>
        <w:t xml:space="preserve">“</w:t>
      </w:r>
      <w:r>
        <w:t xml:space="preserve">something from everything,</w:t>
      </w:r>
      <w:r>
        <w:t xml:space="preserve">”</w:t>
      </w:r>
      <w:r>
        <w:t xml:space="preserve"> </w:t>
      </w:r>
      <w:r>
        <w:t xml:space="preserve">and exegetes read it as God’s provision of what life, development, and flourishing require. The point is not wish fulfillment but radical endowment.</w:t>
      </w:r>
    </w:p>
    <w:p>
      <w:pPr>
        <w:pStyle w:val="BodyText"/>
      </w:pPr>
      <w:r>
        <w:t xml:space="preserve">The close—</w:t>
      </w:r>
      <w:r>
        <w:rPr>
          <w:iCs/>
          <w:i/>
        </w:rPr>
        <w:t xml:space="preserve">inna al-insāna la-ẓalūmun kaffār</w:t>
      </w:r>
      <w:r>
        <w:t xml:space="preserve">—moves from epistemology to ethics. To misperceive gift as possession is</w:t>
      </w:r>
      <w:r>
        <w:t xml:space="preserve"> </w:t>
      </w:r>
      <w:r>
        <w:rPr>
          <w:iCs/>
          <w:i/>
        </w:rPr>
        <w:t xml:space="preserve">kufr</w:t>
      </w:r>
      <w:r>
        <w:t xml:space="preserve"> </w:t>
      </w:r>
      <w:r>
        <w:t xml:space="preserve">in its root sense of covering over or refusing gratitude; to exploit gift against giver, neighbor, creature, or future generation is</w:t>
      </w:r>
      <w:r>
        <w:t xml:space="preserve"> </w:t>
      </w:r>
      <w:r>
        <w:rPr>
          <w:iCs/>
          <w:i/>
        </w:rPr>
        <w:t xml:space="preserve">ẓulm</w:t>
      </w:r>
      <w:r>
        <w:t xml:space="preserve">, putting things out of right relation. Al-Tabari reads</w:t>
      </w:r>
      <w:r>
        <w:t xml:space="preserve"> </w:t>
      </w:r>
      <w:r>
        <w:rPr>
          <w:iCs/>
          <w:i/>
        </w:rPr>
        <w:t xml:space="preserve">kaffār</w:t>
      </w:r>
      <w:r>
        <w:t xml:space="preserve"> </w:t>
      </w:r>
      <w:r>
        <w:t xml:space="preserve">here as denying divine favor by turning worship elsewhere. The verse therefore interprets idolatry before verse 35 names idols.</w:t>
      </w:r>
    </w:p>
    <w:bookmarkEnd w:id="36"/>
    <w:bookmarkEnd w:id="37"/>
    <w:bookmarkStart w:id="45" w:name="X213c071c99bf63226fba7ed1c71125e5bcfaed4"/>
    <w:p>
      <w:pPr>
        <w:pStyle w:val="Heading2"/>
        <w:keepNext/>
      </w:pPr>
      <w:r>
        <w:t xml:space="preserve">3. Verse 32: water, fruit, provision, and rivers</w:t>
      </w:r>
    </w:p>
    <w:bookmarkStart w:id="40" w:name="hydrology-a-compressed-causal-chain"/>
    <w:p>
      <w:pPr>
        <w:pStyle w:val="Heading3"/>
        <w:keepNext/>
      </w:pPr>
      <w:r>
        <w:t xml:space="preserve">Hydrology: a compressed causal chain</w:t>
      </w:r>
    </w:p>
    <w:p>
      <w:pPr>
        <w:pStyle w:val="FirstParagraph"/>
      </w:pPr>
      <w:r>
        <w:t xml:space="preserve">The phrase</w:t>
      </w:r>
      <w:r>
        <w:t xml:space="preserve"> </w:t>
      </w:r>
      <w:r>
        <w:t xml:space="preserve">“</w:t>
      </w:r>
      <w:r>
        <w:t xml:space="preserve">sent down water from the sky</w:t>
      </w:r>
      <w:r>
        <w:t xml:space="preserve">”</w:t>
      </w:r>
      <w:r>
        <w:t xml:space="preserve"> </w:t>
      </w:r>
      <w:r>
        <w:t xml:space="preserve">points to an observable event, but modern hydrology reveals a planetary circulation. Solar energy supplies the latent heat for evaporation from oceans, inland waters, and soils; plants add water vapor through transpiration. Atmospheric motions transport that vapor. Cooling to saturation permits condensation on aerosols, forming cloud droplets or ice crystals. When hydrometeors grow sufficiently, precipitation falls. Gravity then moves water through surface runoff, streamflow, soil infiltration, and groundwater discharge. The</w:t>
      </w:r>
      <w:r>
        <w:t xml:space="preserve"> </w:t>
      </w:r>
      <w:r>
        <w:rPr>
          <w:rStyle w:val="Hyperlink"/>
        </w:rPr>
        <w:t xml:space="preserve">US Geological Survey’s water-cycle synthesis</w:t>
      </w:r>
      <w:r>
        <w:t xml:space="preserve"> </w:t>
      </w:r>
      <w:r>
        <w:t xml:space="preserve">and</w:t>
      </w:r>
      <w:r>
        <w:t xml:space="preserve"> </w:t>
      </w:r>
      <w:r>
        <w:rPr>
          <w:rStyle w:val="Hyperlink"/>
        </w:rPr>
        <w:t xml:space="preserve">NASA Earth Observatory’s account</w:t>
      </w:r>
      <w:r>
        <w:t xml:space="preserve"> </w:t>
      </w:r>
      <w:r>
        <w:t xml:space="preserve">emphasize both solar energy and gravity.</w:t>
      </w:r>
    </w:p>
    <w:p>
      <w:pPr>
        <w:pStyle w:val="BodyText"/>
      </w:pPr>
      <w:r>
        <w:t xml:space="preserve">The Qur’anic chain is true at the scale of sustenance without pretending to be exhaustive at the scale of process. Rain is an enabling cause of fruit, not the whole explanation. Plants also require light, carbon dioxide, suitable temperatures, nutrients, living soils, genetic programs, and—in many crops—pollination. Photosynthesis converts light energy into chemical energy; roots and fungal networks mediate water and minerals; stomata balance carbon uptake against water loss. To say</w:t>
      </w:r>
      <w:r>
        <w:t xml:space="preserve"> </w:t>
      </w:r>
      <w:r>
        <w:t xml:space="preserve">“</w:t>
      </w:r>
      <w:r>
        <w:t xml:space="preserve">with it He brought forth fruit</w:t>
      </w:r>
      <w:r>
        <w:t xml:space="preserve">”</w:t>
      </w:r>
      <w:r>
        <w:t xml:space="preserve"> </w:t>
      </w:r>
      <w:r>
        <w:t xml:space="preserve">is to attribute a networked outcome through its indispensable gift, not to deny the network.</w:t>
      </w:r>
    </w:p>
    <w:p>
      <w:pPr>
        <w:pStyle w:val="BodyText"/>
      </w:pPr>
      <w:r>
        <w:t xml:space="preserve">This layered account models responsible science-and-scripture dialogue. Ancient people knew that rain and crops were linked. Contemporary science supplies hidden mechanisms, scales, feedbacks, and quantitative relations. That deeper knowledge can intensify wonder, but it should not be advertised as a secret modern discovery encoded in a seventh-century phrase.</w:t>
      </w:r>
    </w:p>
    <w:bookmarkEnd w:id="40"/>
    <w:bookmarkStart w:id="44" w:name="rivers-gravity-made-inhabitable"/>
    <w:p>
      <w:pPr>
        <w:pStyle w:val="Heading3"/>
        <w:keepNext/>
      </w:pPr>
      <w:r>
        <w:t xml:space="preserve">Rivers: gravity made inhabitable</w:t>
      </w:r>
    </w:p>
    <w:p>
      <w:pPr>
        <w:pStyle w:val="FirstParagraph"/>
      </w:pPr>
      <w:r>
        <w:t xml:space="preserve">Rivers are organized movements of water through landscapes. In open-channel hydraulics, gravity and the slope of the water surface drive flow; channel geometry, roughness, pressure gradients, turbulence, tributary inflow, evaporation, infiltration, and engineered controls shape discharge and velocity. The governing descriptions invoke conservation of mass, momentum, and energy, as summarized in the</w:t>
      </w:r>
      <w:r>
        <w:t xml:space="preserve"> </w:t>
      </w:r>
      <w:r>
        <w:rPr>
          <w:rStyle w:val="Hyperlink"/>
        </w:rPr>
        <w:t xml:space="preserve">USGS guide to open-channel flow</w:t>
      </w:r>
      <w:r>
        <w:t xml:space="preserve"> </w:t>
      </w:r>
      <w:r>
        <w:t xml:space="preserve">and the</w:t>
      </w:r>
      <w:r>
        <w:t xml:space="preserve"> </w:t>
      </w:r>
      <w:r>
        <w:rPr>
          <w:rStyle w:val="Hyperlink"/>
        </w:rPr>
        <w:t xml:space="preserve">US Army Corps of Engineers’ channel-flow manual</w:t>
      </w:r>
      <w:r>
        <w:t xml:space="preserve">.</w:t>
      </w:r>
    </w:p>
    <w:p>
      <w:pPr>
        <w:pStyle w:val="BodyText"/>
      </w:pPr>
      <w:r>
        <w:t xml:space="preserve">Human beings make rivers serviceable through irrigation channels, reservoirs, levees, locks, ports, dredging, water treatment, hydropower, and municipal distribution. River valleys have supported settlement, agriculture, mobility, and trade. Yet</w:t>
      </w:r>
      <w:r>
        <w:t xml:space="preserve"> </w:t>
      </w:r>
      <w:r>
        <w:t xml:space="preserve">“</w:t>
      </w:r>
      <w:r>
        <w:t xml:space="preserve">mastery</w:t>
      </w:r>
      <w:r>
        <w:t xml:space="preserve">”</w:t>
      </w:r>
      <w:r>
        <w:t xml:space="preserve"> </w:t>
      </w:r>
      <w:r>
        <w:t xml:space="preserve">remains derivative. Drought limits supply; flood overtops defenses; sediment fills reservoirs; contamination travels downstream; barriers fragment habitats; and unequal control can turn water into an instrument of power. Qur’anic</w:t>
      </w:r>
      <w:r>
        <w:t xml:space="preserve"> </w:t>
      </w:r>
      <w:r>
        <w:rPr>
          <w:iCs/>
          <w:i/>
        </w:rPr>
        <w:t xml:space="preserve">taskhīr</w:t>
      </w:r>
      <w:r>
        <w:t xml:space="preserve"> </w:t>
      </w:r>
      <w:r>
        <w:t xml:space="preserve">is best read as enabled use under divine sovereignty, not unconditional domination.</w:t>
      </w:r>
    </w:p>
    <w:p>
      <w:pPr>
        <w:pStyle w:val="BodyText"/>
      </w:pPr>
      <w:r>
        <w:t xml:space="preserve">An ecological theology follows. If water is provision and river is gift, pollution is not merely inefficient; it is ingratitude embodied. If a river’s service is shared, hoarding or poisoning it is</w:t>
      </w:r>
      <w:r>
        <w:t xml:space="preserve"> </w:t>
      </w:r>
      <w:r>
        <w:rPr>
          <w:iCs/>
          <w:i/>
        </w:rPr>
        <w:t xml:space="preserve">ẓulm</w:t>
      </w:r>
      <w:r>
        <w:t xml:space="preserve">. The</w:t>
      </w:r>
      <w:r>
        <w:t xml:space="preserve"> </w:t>
      </w:r>
      <w:r>
        <w:rPr>
          <w:rStyle w:val="Hyperlink"/>
        </w:rPr>
        <w:t xml:space="preserve">UN Environment Programme’s Al-Mizan covenant</w:t>
      </w:r>
      <w:r>
        <w:t xml:space="preserve"> </w:t>
      </w:r>
      <w:r>
        <w:t xml:space="preserve">articulates a contemporary Islamic environmental ethic in this register: stewardship, balance, and accountability rather than license to exhaust creation.</w:t>
      </w:r>
    </w:p>
    <w:bookmarkEnd w:id="44"/>
    <w:bookmarkEnd w:id="45"/>
    <w:bookmarkStart w:id="51" w:name="X98a674b22b672cc1cec9de985f30b964dcc0147"/>
    <w:p>
      <w:pPr>
        <w:pStyle w:val="Heading2"/>
        <w:keepNext/>
      </w:pPr>
      <w:r>
        <w:t xml:space="preserve">4. Ships, Archimedes, and the intelligibility of floating</w:t>
      </w:r>
    </w:p>
    <w:p>
      <w:pPr>
        <w:pStyle w:val="FirstParagraph"/>
      </w:pPr>
      <w:r>
        <w:t xml:space="preserve">The verse pairs sea and ship in one phrase: the vessel is made serviceable</w:t>
      </w:r>
      <w:r>
        <w:t xml:space="preserve"> </w:t>
      </w:r>
      <w:r>
        <w:t xml:space="preserve">“</w:t>
      </w:r>
      <w:r>
        <w:t xml:space="preserve">to sail through the sea by His command.</w:t>
      </w:r>
      <w:r>
        <w:t xml:space="preserve">”</w:t>
      </w:r>
      <w:r>
        <w:t xml:space="preserve"> </w:t>
      </w:r>
      <w:r>
        <w:t xml:space="preserve">A ship represents a collaboration between human craft and natural regularity. People design the hull, choose materials, distribute cargo, read weather, and navigate. But design succeeds only because water has density, pressure varies with depth, gravity acts predictably, materials bear stress, and air and water flow in ordered ways.</w:t>
      </w:r>
    </w:p>
    <w:bookmarkStart w:id="47" w:name="archimedes-principle"/>
    <w:p>
      <w:pPr>
        <w:pStyle w:val="Heading3"/>
        <w:keepNext/>
      </w:pPr>
      <w:r>
        <w:t xml:space="preserve">Archimedes’ principle</w:t>
      </w:r>
    </w:p>
    <w:p>
      <w:pPr>
        <w:pStyle w:val="FirstParagraph"/>
      </w:pPr>
      <w:r>
        <w:t xml:space="preserve">Any body wholly or partly immersed in a fluid experiences a net upward buoyant force equal to the weight of the displaced fluid. For a fluid of approximately uniform density,</w:t>
      </w:r>
    </w:p>
    <w:p>
      <w:pPr>
        <w:pStyle w:val="BodyText"/>
      </w:pPr>
      <m:oMathPara>
        <m:oMathParaPr>
          <m:jc m:val="center"/>
        </m:oMathParaPr>
        <m:oMath>
          <m:sSub>
            <m:e>
              <m:r>
                <m:t>F</m:t>
              </m:r>
            </m:e>
            <m:sub>
              <m:r>
                <m:t>B</m:t>
              </m:r>
            </m:sub>
          </m:sSub>
          <m:r>
            <m:rPr>
              <m:sty m:val="p"/>
            </m:rPr>
            <m:t>=</m:t>
          </m:r>
          <m:sSub>
            <m:e>
              <m:r>
                <m:t>ρ</m:t>
              </m:r>
            </m:e>
            <m:sub>
              <m:r>
                <m:t>f</m:t>
              </m:r>
            </m:sub>
          </m:sSub>
          <m:sSub>
            <m:e>
              <m:r>
                <m:t>V</m:t>
              </m:r>
            </m:e>
            <m:sub>
              <m:r>
                <m:rPr>
                  <m:sty m:val="p"/>
                </m:rPr>
                <m:t>d</m:t>
              </m:r>
              <m:r>
                <m:rPr>
                  <m:sty m:val="p"/>
                </m:rPr>
                <m:t>i</m:t>
              </m:r>
              <m:r>
                <m:rPr>
                  <m:sty m:val="p"/>
                </m:rPr>
                <m:t>s</m:t>
              </m:r>
              <m:r>
                <m:rPr>
                  <m:sty m:val="p"/>
                </m:rPr>
                <m:t>p</m:t>
              </m:r>
            </m:sub>
          </m:sSub>
          <m:r>
            <m:t>g</m:t>
          </m:r>
          <m:r>
            <m:rPr>
              <m:sty m:val="p"/>
            </m:rPr>
            <m:t>,</m:t>
          </m:r>
        </m:oMath>
      </m:oMathPara>
    </w:p>
    <w:p>
      <w:pPr>
        <w:pStyle w:val="FirstParagraph"/>
      </w:pPr>
      <w:r>
        <w:t xml:space="preserve">where</w:t>
      </w:r>
      <w:r>
        <w:t xml:space="preserve"> </w:t>
      </w:r>
      <m:oMath>
        <m:sSub>
          <m:e>
            <m:r>
              <m:t>F</m:t>
            </m:r>
          </m:e>
          <m:sub>
            <m:r>
              <m:t>B</m:t>
            </m:r>
          </m:sub>
        </m:sSub>
      </m:oMath>
      <w:r>
        <w:t xml:space="preserve"> </w:t>
      </w:r>
      <w:r>
        <w:t xml:space="preserve">is buoyant force,</w:t>
      </w:r>
      <w:r>
        <w:t xml:space="preserve"> </w:t>
      </w:r>
      <m:oMath>
        <m:sSub>
          <m:e>
            <m:r>
              <m:t>ρ</m:t>
            </m:r>
          </m:e>
          <m:sub>
            <m:r>
              <m:t>f</m:t>
            </m:r>
          </m:sub>
        </m:sSub>
      </m:oMath>
      <w:r>
        <w:t xml:space="preserve"> </w:t>
      </w:r>
      <w:r>
        <w:t xml:space="preserve">is fluid density,</w:t>
      </w:r>
      <w:r>
        <w:t xml:space="preserve"> </w:t>
      </w:r>
      <m:oMath>
        <m:sSub>
          <m:e>
            <m:r>
              <m:t>V</m:t>
            </m:r>
          </m:e>
          <m:sub>
            <m:r>
              <m:rPr>
                <m:sty m:val="p"/>
              </m:rPr>
              <m:t>d</m:t>
            </m:r>
            <m:r>
              <m:rPr>
                <m:sty m:val="p"/>
              </m:rPr>
              <m:t>i</m:t>
            </m:r>
            <m:r>
              <m:rPr>
                <m:sty m:val="p"/>
              </m:rPr>
              <m:t>s</m:t>
            </m:r>
            <m:r>
              <m:rPr>
                <m:sty m:val="p"/>
              </m:rPr>
              <m:t>p</m:t>
            </m:r>
          </m:sub>
        </m:sSub>
      </m:oMath>
      <w:r>
        <w:t xml:space="preserve"> </w:t>
      </w:r>
      <w:r>
        <w:t xml:space="preserve">is displaced-fluid volume, and</w:t>
      </w:r>
      <w:r>
        <w:t xml:space="preserve"> </w:t>
      </w:r>
      <m:oMath>
        <m:r>
          <m:t>g</m:t>
        </m:r>
      </m:oMath>
      <w:r>
        <w:t xml:space="preserve"> </w:t>
      </w:r>
      <w:r>
        <w:t xml:space="preserve">is gravitational acceleration. The hydrostatic pressure relation</w:t>
      </w:r>
    </w:p>
    <w:p>
      <w:pPr>
        <w:pStyle w:val="BodyText"/>
      </w:pPr>
      <m:oMathPara>
        <m:oMathParaPr>
          <m:jc m:val="center"/>
        </m:oMathParaPr>
        <m:oMath>
          <m:r>
            <m:t>p</m:t>
          </m:r>
          <m:r>
            <m:rPr>
              <m:sty m:val="p"/>
            </m:rPr>
            <m:t>=</m:t>
          </m:r>
          <m:sSub>
            <m:e>
              <m:r>
                <m:t>p</m:t>
              </m:r>
            </m:e>
            <m:sub>
              <m:r>
                <m:t>0</m:t>
              </m:r>
            </m:sub>
          </m:sSub>
          <m:r>
            <m:rPr>
              <m:sty m:val="p"/>
            </m:rPr>
            <m:t>+</m:t>
          </m:r>
          <m:r>
            <m:t>ρ</m:t>
          </m:r>
          <m:r>
            <m:t>g</m:t>
          </m:r>
          <m:r>
            <m:t>h</m:t>
          </m:r>
        </m:oMath>
      </m:oMathPara>
    </w:p>
    <w:p>
      <w:pPr>
        <w:pStyle w:val="FirstParagraph"/>
      </w:pPr>
      <w:r>
        <w:t xml:space="preserve">shows why: pressure increases with depth because deeper fluid supports more fluid above it. The lower portions of a submerged hull therefore experience greater pressure than the upper portions. When the pressure forces are integrated over the hull, their net vertical component is upward and equals the displaced fluid’s weight. The derivation and applications are set out clearly in</w:t>
      </w:r>
      <w:r>
        <w:t xml:space="preserve"> </w:t>
      </w:r>
      <w:r>
        <w:rPr>
          <w:rStyle w:val="Hyperlink"/>
        </w:rPr>
        <w:t xml:space="preserve">OpenStax University Physics</w:t>
      </w:r>
      <w:r>
        <w:t xml:space="preserve">.</w:t>
      </w:r>
    </w:p>
    <w:p>
      <w:pPr>
        <w:pStyle w:val="BodyText"/>
      </w:pPr>
      <w:r>
        <w:t xml:space="preserve">For a ship floating at rest,</w:t>
      </w:r>
    </w:p>
    <w:p>
      <w:pPr>
        <w:pStyle w:val="BodyText"/>
      </w:pPr>
      <m:oMathPara>
        <m:oMathParaPr>
          <m:jc m:val="center"/>
        </m:oMathParaPr>
        <m:oMath>
          <m:sSub>
            <m:e>
              <m:r>
                <m:t>F</m:t>
              </m:r>
            </m:e>
            <m:sub>
              <m:r>
                <m:t>B</m:t>
              </m:r>
            </m:sub>
          </m:sSub>
          <m:r>
            <m:rPr>
              <m:sty m:val="p"/>
            </m:rPr>
            <m:t>=</m:t>
          </m:r>
          <m:sSub>
            <m:e>
              <m:r>
                <m:t>W</m:t>
              </m:r>
            </m:e>
            <m:sub>
              <m:r>
                <m:rPr>
                  <m:sty m:val="p"/>
                </m:rPr>
                <m:t>s</m:t>
              </m:r>
              <m:r>
                <m:rPr>
                  <m:sty m:val="p"/>
                </m:rPr>
                <m:t>h</m:t>
              </m:r>
              <m:r>
                <m:rPr>
                  <m:sty m:val="p"/>
                </m:rPr>
                <m:t>i</m:t>
              </m:r>
              <m:r>
                <m:rPr>
                  <m:sty m:val="p"/>
                </m:rPr>
                <m:t>p</m:t>
              </m:r>
            </m:sub>
          </m:sSub>
          <m:r>
            <m:rPr>
              <m:sty m:val="p"/>
            </m:rPr>
            <m:t>=</m:t>
          </m:r>
          <m:r>
            <m:t>m</m:t>
          </m:r>
          <m:r>
            <m:t>g</m:t>
          </m:r>
          <m:r>
            <m:rPr>
              <m:sty m:val="p"/>
            </m:rPr>
            <m:t>.</m:t>
          </m:r>
        </m:oMath>
      </m:oMathPara>
    </w:p>
    <w:p>
      <w:pPr>
        <w:pStyle w:val="FirstParagraph"/>
      </w:pPr>
      <w:r>
        <w:t xml:space="preserve">If an object’s weight exceeds the maximum buoyant force available before it is fully submerged, it sinks. If it displaces a weight of water equal to its own before full submersion, it floats. A solid block of steel is denser than water and usually sinks; a steel ship floats because its hollow, air-containing hull makes the vessel’s overall average density low enough and its volume large enough to displace its total weight of water while retaining freeboard.</w:t>
      </w:r>
    </w:p>
    <w:bookmarkEnd w:id="47"/>
    <w:bookmarkStart w:id="49" w:name="flotation-is-not-stability"/>
    <w:p>
      <w:pPr>
        <w:pStyle w:val="Heading3"/>
        <w:keepNext/>
      </w:pPr>
      <w:r>
        <w:t xml:space="preserve">Flotation is not stability</w:t>
      </w:r>
    </w:p>
    <w:p>
      <w:pPr>
        <w:pStyle w:val="FirstParagraph"/>
      </w:pPr>
      <w:r>
        <w:t xml:space="preserve">Archimedes’ principle explains support, not the whole of seaworthiness. A vessel may float and still capsize. Stability depends on the center of gravity, the shifting center of buoyancy as the hull heels, metacentric height or righting arm, cargo distribution, free surfaces in partly filled tanks, watertight integrity, hull damage, waves, icing, and wind. The</w:t>
      </w:r>
      <w:r>
        <w:t xml:space="preserve"> </w:t>
      </w:r>
      <w:r>
        <w:rPr>
          <w:rStyle w:val="Hyperlink"/>
        </w:rPr>
        <w:t xml:space="preserve">International Maritime Organization’s stability framework</w:t>
      </w:r>
      <w:r>
        <w:t xml:space="preserve"> </w:t>
      </w:r>
      <w:r>
        <w:t xml:space="preserve">treats these as distinct design and safety questions. The spiritual analogy is exacting: being upheld is not the same as being rightly balanced.</w:t>
      </w:r>
    </w:p>
    <w:bookmarkEnd w:id="49"/>
    <w:bookmarkStart w:id="50" w:name="resonance-not-retrofitted-prediction"/>
    <w:p>
      <w:pPr>
        <w:pStyle w:val="Heading3"/>
        <w:keepNext/>
      </w:pPr>
      <w:r>
        <w:t xml:space="preserve">Resonance, not retrofitted prediction</w:t>
      </w:r>
    </w:p>
    <w:p>
      <w:pPr>
        <w:pStyle w:val="FirstParagraph"/>
      </w:pPr>
      <w:r>
        <w:t xml:space="preserve">Archimedes lived centuries before the Qur’anic revelation, and the Qur’an does not state the formula. The connection should therefore be described as resonance. The verse directs attention to the fact that large, heavily laden vessels can be carried by water. Archimedean hydrostatics reveals the quantitative order within that sign. The theological inference—that such order is gift, command, or divine habit—is philosophical; it is not one of the terms in the equation.</w:t>
      </w:r>
    </w:p>
    <w:p>
      <w:pPr>
        <w:pStyle w:val="BodyText"/>
      </w:pPr>
      <w:r>
        <w:t xml:space="preserve">This distinction protects both scripture and science. Scripture is not made hostage to a particular scientific slogan, and physics is not asked to certify a metaphysical conclusion it cannot test. Yet the conceptual harmony remains powerful: human engineering does not abolish dependence on the properties of creation; it succeeds by learning and inhabiting them.</w:t>
      </w:r>
    </w:p>
    <w:bookmarkEnd w:id="50"/>
    <w:bookmarkEnd w:id="51"/>
    <w:bookmarkStart w:id="60" w:name="winds-mercy-motion-danger-and-dependence"/>
    <w:p>
      <w:pPr>
        <w:pStyle w:val="Heading2"/>
        <w:keepNext/>
      </w:pPr>
      <w:r>
        <w:t xml:space="preserve">5. Winds: mercy, motion, danger, and dependence</w:t>
      </w:r>
    </w:p>
    <w:p>
      <w:pPr>
        <w:pStyle w:val="FirstParagraph"/>
      </w:pPr>
      <w:r>
        <w:t xml:space="preserve">A sailboat needs more than buoyancy. Water supports the hull; wind can propel it. The Qur’an’s wider wind vocabulary deepens the brief reference to ships in 14:32 and makes explicit the vulnerability of navigation.</w:t>
      </w:r>
    </w:p>
    <w:bookmarkStart w:id="53" w:name="the-physics-of-wind-and-sail"/>
    <w:p>
      <w:pPr>
        <w:pStyle w:val="Heading3"/>
        <w:keepNext/>
      </w:pPr>
      <w:r>
        <w:t xml:space="preserve">The physics of wind and sail</w:t>
      </w:r>
    </w:p>
    <w:p>
      <w:pPr>
        <w:pStyle w:val="FirstParagraph"/>
      </w:pPr>
      <w:r>
        <w:t xml:space="preserve">Atmospheric winds arise chiefly from pressure gradients created by unequal solar heating. Air accelerates from higher toward lower pressure; Earth’s rotation deflects large-scale motion through the Coriolis effect; friction, terrain, convection, and moisture modify the flow. Coriolis shapes wind but does not create it. Seasonal shifts of the Intertropical Convergence Zone, land–ocean thermal contrast, topography, and latent heating contribute to monsoons. Their reversing winds enabled patterned travel across the Indian Ocean long before engines.</w:t>
      </w:r>
    </w:p>
    <w:p>
      <w:pPr>
        <w:pStyle w:val="BodyText"/>
      </w:pPr>
      <w:r>
        <w:t xml:space="preserve">Downwind, a sail can generate much of its propulsive force through drag. Across and partly into the wind, a curved sail at an angle of attack turns airflow and develops a pressure distribution and aerodynamic lift. A keel or centerboard resists sideways motion, leaving a forward component of force. Sailors work with</w:t>
      </w:r>
      <w:r>
        <w:t xml:space="preserve"> </w:t>
      </w:r>
      <w:r>
        <w:rPr>
          <w:iCs/>
          <w:i/>
        </w:rPr>
        <w:t xml:space="preserve">apparent wind</w:t>
      </w:r>
      <w:r>
        <w:t xml:space="preserve">, the vector combination of atmospheric wind and the vessel’s own velocity. The</w:t>
      </w:r>
      <w:r>
        <w:t xml:space="preserve"> </w:t>
      </w:r>
      <w:r>
        <w:rPr>
          <w:rStyle w:val="Hyperlink"/>
        </w:rPr>
        <w:t xml:space="preserve">American Institute of Physics account of sailing</w:t>
      </w:r>
      <w:r>
        <w:t xml:space="preserve"> </w:t>
      </w:r>
      <w:r>
        <w:t xml:space="preserve">explains why sail and keel must be treated as a coupled system.</w:t>
      </w:r>
    </w:p>
    <w:p>
      <w:pPr>
        <w:pStyle w:val="BodyText"/>
      </w:pPr>
      <w:r>
        <w:t xml:space="preserve">This distinction clarifies Qur’an 42:33. Still wind can remove sail propulsion while leaving buoyancy intact. A premodern vessel may be becalmed even while it continues to float. Currents, oars, tow, inertia, or an engine can still move a ship, so the verse should not be universalized into the modern claim that every vessel becomes physically motionless whenever wind ceases. It addresses the experienced dependence of wind-powered voyaging.</w:t>
      </w:r>
    </w:p>
    <w:bookmarkEnd w:id="53"/>
    <w:bookmarkStart w:id="55" w:name="the-quranic-wind-field"/>
    <w:p>
      <w:pPr>
        <w:pStyle w:val="Heading3"/>
        <w:keepNext/>
      </w:pPr>
      <w:r>
        <w:t xml:space="preserve">The Qur’anic wind field</w:t>
      </w:r>
    </w:p>
    <w:p>
      <w:pPr>
        <w:pStyle w:val="FirstParagraph"/>
      </w:pPr>
      <w:r>
        <w:t xml:space="preserve">The essay</w:t>
      </w:r>
      <w:r>
        <w:t xml:space="preserve"> </w:t>
      </w:r>
      <w:r>
        <w:rPr>
          <w:rStyle w:val="Hyperlink"/>
        </w:rPr>
        <w:t xml:space="preserve">“</w:t>
      </w:r>
      <w:r>
        <w:rPr>
          <w:rStyle w:val="Hyperlink"/>
        </w:rPr>
        <w:t xml:space="preserve">The Breath of the Divine</w:t>
      </w:r>
      <w:r>
        <w:rPr>
          <w:rStyle w:val="Hyperlink"/>
        </w:rPr>
        <w:t xml:space="preserve">”</w:t>
      </w:r>
      <w:r>
        <w:t xml:space="preserve"> </w:t>
      </w:r>
      <w:r>
        <w:t xml:space="preserve">usefully organizes Qur’anic winds into mercy, atmospheric order, navigation, metaphor, and judgment. That typology can be retained with two refinements: modern mechanisms should illuminate rather than be projected into the wording; and the singular/plural pattern is a tendency, not a rule.</w:t>
      </w:r>
    </w:p>
    <w:p>
      <w:pPr>
        <w:numPr>
          <w:ilvl w:val="0"/>
          <w:numId w:val="1002"/>
        </w:numPr>
      </w:pPr>
      <w:r>
        <w:rPr>
          <w:bCs/>
          <w:b/>
        </w:rPr>
        <w:t xml:space="preserve">Mercy and rain.</w:t>
      </w:r>
      <w:r>
        <w:t xml:space="preserve"> </w:t>
      </w:r>
      <w:r>
        <w:t xml:space="preserve">Qur’an 7:57 depicts winds as good tidings before mercy, carrying heavy clouds to dead land. Qur’an 30:48 speaks of winds raising and spreading clouds until rain emerges. Meteorologically, winds transport vapor and latent heat, create convergence and uplift, and organize storm systems. Clouds form when moist air cools to saturation and droplets or ice crystals form around cloud-condensation nuclei.</w:t>
      </w:r>
    </w:p>
    <w:p>
      <w:pPr>
        <w:numPr>
          <w:ilvl w:val="0"/>
          <w:numId w:val="1002"/>
        </w:numPr>
      </w:pPr>
      <w:r>
        <w:rPr>
          <w:bCs/>
          <w:b/>
        </w:rPr>
        <w:t xml:space="preserve">“</w:t>
      </w:r>
      <w:r>
        <w:rPr>
          <w:bCs/>
          <w:b/>
        </w:rPr>
        <w:t xml:space="preserve">Fertilizing</w:t>
      </w:r>
      <w:r>
        <w:rPr>
          <w:bCs/>
          <w:b/>
        </w:rPr>
        <w:t xml:space="preserve">”</w:t>
      </w:r>
      <w:r>
        <w:rPr>
          <w:bCs/>
          <w:b/>
        </w:rPr>
        <w:t xml:space="preserve"> </w:t>
      </w:r>
      <w:r>
        <w:rPr>
          <w:bCs/>
          <w:b/>
        </w:rPr>
        <w:t xml:space="preserve">winds.</w:t>
      </w:r>
      <w:r>
        <w:t xml:space="preserve"> </w:t>
      </w:r>
      <w:r>
        <w:t xml:space="preserve">Qur’an 15:22 calls winds</w:t>
      </w:r>
      <w:r>
        <w:t xml:space="preserve"> </w:t>
      </w:r>
      <w:r>
        <w:rPr>
          <w:iCs/>
          <w:i/>
        </w:rPr>
        <w:t xml:space="preserve">lawāqiḥ</w:t>
      </w:r>
      <w:r>
        <w:t xml:space="preserve">, a word classical exegetes already connected with the fertilization of clouds and trees. Modern readers may think of pollen transport and of aerosols that participate in cloud formation. But the science needs care: many fruits depend on animal pollinators, and a broad Arabic image should not be made to specify cloud microphysics. The verse’s strength lies in the linked generativity of air, cloud, rain, and life.</w:t>
      </w:r>
    </w:p>
    <w:p>
      <w:pPr>
        <w:numPr>
          <w:ilvl w:val="0"/>
          <w:numId w:val="1002"/>
        </w:numPr>
      </w:pPr>
      <w:r>
        <w:rPr>
          <w:bCs/>
          <w:b/>
        </w:rPr>
        <w:t xml:space="preserve">Order and reflection.</w:t>
      </w:r>
      <w:r>
        <w:t xml:space="preserve"> </w:t>
      </w:r>
      <w:r>
        <w:t xml:space="preserve">Qur’an 2:164 joins the alternation of night and day, ships, rain, revived earth, shifting winds, and suspended clouds as signs</w:t>
      </w:r>
      <w:r>
        <w:t xml:space="preserve"> </w:t>
      </w:r>
      <w:r>
        <w:t xml:space="preserve">“</w:t>
      </w:r>
      <w:r>
        <w:t xml:space="preserve">for people who use reason.</w:t>
      </w:r>
      <w:r>
        <w:t xml:space="preserve">”</w:t>
      </w:r>
      <w:r>
        <w:t xml:space="preserve"> </w:t>
      </w:r>
      <w:r>
        <w:t xml:space="preserve">The verse is nearly a parallel commentary on 14:32–33. Qur’an 51:1–4 swears by scatterers, burden-bearers, easy runners, and distributors; exegetes differ over the precise referents, but the opening creates a world of ordered transport and apportioned effects.</w:t>
      </w:r>
    </w:p>
    <w:p>
      <w:pPr>
        <w:numPr>
          <w:ilvl w:val="0"/>
          <w:numId w:val="1002"/>
        </w:numPr>
      </w:pPr>
      <w:r>
        <w:rPr>
          <w:bCs/>
          <w:b/>
        </w:rPr>
        <w:t xml:space="preserve">Punishment and exposure.</w:t>
      </w:r>
      <w:r>
        <w:t xml:space="preserve"> </w:t>
      </w:r>
      <w:r>
        <w:t xml:space="preserve">Qur’an 51:41 calls the wind sent against ʿĀd</w:t>
      </w:r>
      <w:r>
        <w:t xml:space="preserve"> </w:t>
      </w:r>
      <w:r>
        <w:t xml:space="preserve">“</w:t>
      </w:r>
      <w:r>
        <w:t xml:space="preserve">barren</w:t>
      </w:r>
      <w:r>
        <w:t xml:space="preserve">”</w:t>
      </w:r>
      <w:r>
        <w:t xml:space="preserve">; 54:19 calls it screaming and violent. The same created medium that transports mercy can devastate. The theological point is not that destructive winds lack physical causes. It is that power experienced as benign cannot be domesticated into a god that guarantees human safety.</w:t>
      </w:r>
    </w:p>
    <w:p>
      <w:pPr>
        <w:numPr>
          <w:ilvl w:val="0"/>
          <w:numId w:val="1002"/>
        </w:numPr>
      </w:pPr>
      <w:r>
        <w:rPr>
          <w:bCs/>
          <w:b/>
        </w:rPr>
        <w:t xml:space="preserve">Moral metaphor.</w:t>
      </w:r>
      <w:r>
        <w:t xml:space="preserve"> </w:t>
      </w:r>
      <w:r>
        <w:t xml:space="preserve">In this same surah, 14:18 compares the works of unbelievers to ashes violently scattered on a stormy day. The image anticipates the contrast between ordered service in 14:32 and weightless loss: a life without moral and theological coherence has no stable purchase.</w:t>
      </w:r>
    </w:p>
    <w:bookmarkEnd w:id="55"/>
    <w:bookmarkStart w:id="56" w:name="X2ec6f8ce655cc226bb1d7f220d4796f058d1ba9"/>
    <w:p>
      <w:pPr>
        <w:pStyle w:val="Heading3"/>
        <w:keepNext/>
      </w:pPr>
      <w:r>
        <w:t xml:space="preserve">Singular</w:t>
      </w:r>
      <w:r>
        <w:t xml:space="preserve"> </w:t>
      </w:r>
      <w:r>
        <w:rPr>
          <w:iCs/>
          <w:i/>
        </w:rPr>
        <w:t xml:space="preserve">rīḥ</w:t>
      </w:r>
      <w:r>
        <w:t xml:space="preserve"> </w:t>
      </w:r>
      <w:r>
        <w:t xml:space="preserve">and plural</w:t>
      </w:r>
      <w:r>
        <w:t xml:space="preserve"> </w:t>
      </w:r>
      <w:r>
        <w:rPr>
          <w:iCs/>
          <w:i/>
        </w:rPr>
        <w:t xml:space="preserve">riyāḥ</w:t>
      </w:r>
      <w:r>
        <w:t xml:space="preserve">: a tendency with exceptions</w:t>
      </w:r>
    </w:p>
    <w:p>
      <w:pPr>
        <w:pStyle w:val="FirstParagraph"/>
      </w:pPr>
      <w:r>
        <w:t xml:space="preserve">Classical exegetical observation often associates plural</w:t>
      </w:r>
      <w:r>
        <w:t xml:space="preserve"> </w:t>
      </w:r>
      <w:r>
        <w:rPr>
          <w:iCs/>
          <w:i/>
        </w:rPr>
        <w:t xml:space="preserve">riyāḥ</w:t>
      </w:r>
      <w:r>
        <w:t xml:space="preserve"> </w:t>
      </w:r>
      <w:r>
        <w:t xml:space="preserve">with diverse, life-giving winds and singular</w:t>
      </w:r>
      <w:r>
        <w:t xml:space="preserve"> </w:t>
      </w:r>
      <w:r>
        <w:rPr>
          <w:iCs/>
          <w:i/>
        </w:rPr>
        <w:t xml:space="preserve">rīḥ</w:t>
      </w:r>
      <w:r>
        <w:t xml:space="preserve"> </w:t>
      </w:r>
      <w:r>
        <w:t xml:space="preserve">with a concentrated destructive gale. Many verses fit. Qur’an 7:57 uses plural winds as heralds of mercy; the accounts of ʿĀd often use a singular destructive wind. Yet Qur’an 10:22 is a decisive counterexample: the same verse uses singular</w:t>
      </w:r>
      <w:r>
        <w:t xml:space="preserve"> </w:t>
      </w:r>
      <w:r>
        <w:rPr>
          <w:iCs/>
          <w:i/>
        </w:rPr>
        <w:t xml:space="preserve">rīḥ</w:t>
      </w:r>
      <w:r>
        <w:t xml:space="preserve"> </w:t>
      </w:r>
      <w:r>
        <w:t xml:space="preserve">first for a</w:t>
      </w:r>
      <w:r>
        <w:t xml:space="preserve"> </w:t>
      </w:r>
      <w:r>
        <w:t xml:space="preserve">“</w:t>
      </w:r>
      <w:r>
        <w:t xml:space="preserve">good/favorable wind</w:t>
      </w:r>
      <w:r>
        <w:t xml:space="preserve">”</w:t>
      </w:r>
      <w:r>
        <w:t xml:space="preserve"> </w:t>
      </w:r>
      <w:r>
        <w:t xml:space="preserve">(</w:t>
      </w:r>
      <w:r>
        <w:rPr>
          <w:iCs/>
          <w:i/>
        </w:rPr>
        <w:t xml:space="preserve">rīḥin ṭayyibah</w:t>
      </w:r>
      <w:r>
        <w:t xml:space="preserve">) and then for a storm wind (</w:t>
      </w:r>
      <w:r>
        <w:rPr>
          <w:iCs/>
          <w:i/>
        </w:rPr>
        <w:t xml:space="preserve">rīḥun ʿāṣif</w:t>
      </w:r>
      <w:r>
        <w:t xml:space="preserve">). Solomon’s favorable wind in 34:12 and the gentle wind in 38:36 are also singular. Qur’an 42:33 uses singular</w:t>
      </w:r>
      <w:r>
        <w:t xml:space="preserve"> </w:t>
      </w:r>
      <w:r>
        <w:rPr>
          <w:iCs/>
          <w:i/>
        </w:rPr>
        <w:t xml:space="preserve">al-rīḥ</w:t>
      </w:r>
      <w:r>
        <w:t xml:space="preserve"> </w:t>
      </w:r>
      <w:r>
        <w:t xml:space="preserve">for the wind whose stilling becalms ships. The safest conclusion is rhetorical, not grammatical: plurality often evokes distributed beneficence; singularity often concentrates force, but context governs meaning.</w:t>
      </w:r>
    </w:p>
    <w:bookmarkEnd w:id="56"/>
    <w:bookmarkStart w:id="58" w:name="special-text-quran-423234"/>
    <w:p>
      <w:pPr>
        <w:pStyle w:val="Heading3"/>
        <w:keepNext/>
      </w:pPr>
      <w:r>
        <w:t xml:space="preserve">Special text: Qur’an 42:32–34</w:t>
      </w:r>
    </w:p>
    <w:p>
      <w:pPr>
        <w:pStyle w:val="BlockText"/>
        <w:spacing w:before="120" w:after="180"/>
        <w:jc w:val="right"/>
      </w:pPr>
      <w:r>
        <w:rPr>
          <w:rFonts w:ascii="DejaVu Sans" w:hAnsi="DejaVu Sans" w:cs="DejaVu Sans" w:eastAsia="DejaVu Sans"/>
          <w:sz w:val="28"/>
        </w:rPr>
        <w:t xml:space="preserve">وَمِنْ آيَاتِهِ الْجَوَارِ فِي الْبَحْرِ كَالْأَعْلَامِ ۝ إِن يَشَأْ يُسْكِنِ الرِّيحَ فَيَظْلَلْنَ رَوَاكِدَ عَلَىٰ ظَهْرِهِ ۚ إِنَّ فِي ذَٰلِكَ لَآيَاتٍ لِّكُلِّ صَبَّارٍ شَكُورٍ ۝ أَوْ يُوبِقْهُنَّ بِمَا كَسَبُوا وَيَعْفُ عَن كَثِيرٍ</w:t>
      </w:r>
    </w:p>
    <w:p>
      <w:pPr>
        <w:pStyle w:val="BlockText"/>
        <w:shd w:fill="EEF3F8"/>
        <w:spacing w:before="140" w:after="180"/>
        <w:ind w:left="317" w:right="317"/>
      </w:pPr>
      <w:r>
        <w:t xml:space="preserve">“</w:t>
      </w:r>
      <w:r>
        <w:t xml:space="preserve">And among His signs are the ships like mountains ˹sailing˺ in the sea. If He wills, He can calm the wind, leaving the ships motionless on the water. Surely in this are signs for whoever is steadfast, grateful. Or He can wreck the ships for what the people have committed—though He forgives much.</w:t>
      </w:r>
      <w:r>
        <w:t xml:space="preserve">”</w:t>
      </w:r>
      <w:r>
        <w:t xml:space="preserve"> </w:t>
      </w:r>
      <w:r>
        <w:t xml:space="preserve">—Mustafa Khattab,</w:t>
      </w:r>
      <w:r>
        <w:t xml:space="preserve"> </w:t>
      </w:r>
      <w:r>
        <w:rPr>
          <w:iCs/>
          <w:i/>
        </w:rPr>
        <w:t xml:space="preserve">The Clear Quran</w:t>
      </w:r>
      <w:r>
        <w:t xml:space="preserve">; see</w:t>
      </w:r>
      <w:r>
        <w:t xml:space="preserve"> </w:t>
      </w:r>
      <w:r>
        <w:rPr>
          <w:rStyle w:val="Hyperlink"/>
        </w:rPr>
        <w:t xml:space="preserve">Qur’an 42:32–34</w:t>
      </w:r>
    </w:p>
    <w:p>
      <w:pPr>
        <w:pStyle w:val="FirstParagraph"/>
      </w:pPr>
      <w:r>
        <w:t xml:space="preserve">The passage gives patience and gratitude a nautical form. When progress stops, the traveler needs</w:t>
      </w:r>
      <w:r>
        <w:t xml:space="preserve"> </w:t>
      </w:r>
      <w:r>
        <w:rPr>
          <w:iCs/>
          <w:i/>
        </w:rPr>
        <w:t xml:space="preserve">ṣabr</w:t>
      </w:r>
      <w:r>
        <w:t xml:space="preserve">; when movement and arrival become possible, the traveler needs</w:t>
      </w:r>
      <w:r>
        <w:t xml:space="preserve"> </w:t>
      </w:r>
      <w:r>
        <w:rPr>
          <w:iCs/>
          <w:i/>
        </w:rPr>
        <w:t xml:space="preserve">shukr</w:t>
      </w:r>
      <w:r>
        <w:t xml:space="preserve">. Human beings can build</w:t>
      </w:r>
      <w:r>
        <w:t xml:space="preserve"> </w:t>
      </w:r>
      <w:r>
        <w:t xml:space="preserve">“</w:t>
      </w:r>
      <w:r>
        <w:t xml:space="preserve">mountain-like</w:t>
      </w:r>
      <w:r>
        <w:t xml:space="preserve">”</w:t>
      </w:r>
      <w:r>
        <w:t xml:space="preserve"> </w:t>
      </w:r>
      <w:r>
        <w:t xml:space="preserve">vessels, but cannot guarantee the cooperative state of wind, sea, hull, crew, and destination. The verse does not denigrate engineering. It disciplines technological pride.</w:t>
      </w:r>
    </w:p>
    <w:bookmarkEnd w:id="58"/>
    <w:bookmarkStart w:id="59" w:name="human-vulnerability-at-sea-quran-1022"/>
    <w:p>
      <w:pPr>
        <w:pStyle w:val="Heading3"/>
        <w:keepNext/>
      </w:pPr>
      <w:r>
        <w:t xml:space="preserve">Human vulnerability at sea: Qur’an 10:22</w:t>
      </w:r>
    </w:p>
    <w:p>
      <w:pPr>
        <w:pStyle w:val="FirstParagraph"/>
      </w:pPr>
      <w:r>
        <w:t xml:space="preserve">Qur’an 10:22 portrays travelers rejoicing in a favorable wind before a storm surrounds them with waves. The scene exposes a recurrent psychology: ordinary dependence is invisible while conditions cooperate; crisis reveals it. The spiritual task is to recognize dependence before emergency. The scientific account and the moral account converge without becoming identical. Pressure gradients, waves, and hull dynamics explain the event; the verse explains why the event can unveil the self.</w:t>
      </w:r>
    </w:p>
    <w:bookmarkEnd w:id="59"/>
    <w:bookmarkEnd w:id="60"/>
    <w:bookmarkStart w:id="62" w:name="verse-33-sun-moon-night-and-day"/>
    <w:p>
      <w:pPr>
        <w:pStyle w:val="Heading2"/>
        <w:keepNext/>
      </w:pPr>
      <w:r>
        <w:t xml:space="preserve">6. Verse 33: sun, moon, night, and day</w:t>
      </w:r>
    </w:p>
    <w:p>
      <w:pPr>
        <w:pStyle w:val="FirstParagraph"/>
      </w:pPr>
      <w:r>
        <w:t xml:space="preserve">The verse widens from terrestrial circulation to cosmic rhythm. The sun’s radiation powers climate and most surface life. It drives evaporation and photosynthesis, warms land and ocean unevenly, and thereby contributes to pressure gradients and wind. The moon’s gravity is a major cause of ocean tides, in interaction with the sun and Earth’s rotation. The rotation of Earth produces the alternation of night and day, while the Earth–sun geometry and orbital motion structure seasons. Lunar phases and celestial regularities have long supported calendars and navigation.</w:t>
      </w:r>
    </w:p>
    <w:p>
      <w:pPr>
        <w:pStyle w:val="BodyText"/>
      </w:pPr>
      <w:r>
        <w:t xml:space="preserve">Biology internalizes these cycles. Circadian systems coordinate sleep, hormone release, body temperature, metabolism, and behavior with roughly twenty-four-hour environmental patterns; light is a major timing signal. The</w:t>
      </w:r>
      <w:r>
        <w:t xml:space="preserve"> </w:t>
      </w:r>
      <w:r>
        <w:rPr>
          <w:rStyle w:val="Hyperlink"/>
        </w:rPr>
        <w:t xml:space="preserve">US National Institute of General Medical Sciences overview</w:t>
      </w:r>
      <w:r>
        <w:t xml:space="preserve"> </w:t>
      </w:r>
      <w:r>
        <w:t xml:space="preserve">describes these rhythms as endogenous but environmentally synchronized. Night is not simply the absence of productive time. It is part of the physiological architecture of life.</w:t>
      </w:r>
    </w:p>
    <w:p>
      <w:pPr>
        <w:pStyle w:val="BodyText"/>
      </w:pPr>
      <w:r>
        <w:t xml:space="preserve">Theologically,</w:t>
      </w:r>
      <w:r>
        <w:t xml:space="preserve"> </w:t>
      </w:r>
      <w:r>
        <w:rPr>
          <w:iCs/>
          <w:i/>
        </w:rPr>
        <w:t xml:space="preserve">dāʾibayn</w:t>
      </w:r>
      <w:r>
        <w:t xml:space="preserve"> </w:t>
      </w:r>
      <w:r>
        <w:t xml:space="preserve">joins regularity to service. Scientific practice requires repeatable relations. Prayer times, fasting, agriculture, calendars, and travel likewise presuppose order. An occasionalist need not regard regularity as an embarrassment to divine freedom. Regularity can be read as fidelity: the stable divine custom that makes rational creatures, moral action, and shared worlds possible.</w:t>
      </w:r>
    </w:p>
    <w:bookmarkEnd w:id="62"/>
    <w:bookmarkStart w:id="63" w:name="verse-34-the-innumerability-of-gift"/>
    <w:p>
      <w:pPr>
        <w:pStyle w:val="Heading2"/>
        <w:keepNext/>
      </w:pPr>
      <w:r>
        <w:t xml:space="preserve">7. Verse 34: the innumerability of gift</w:t>
      </w:r>
    </w:p>
    <w:p>
      <w:pPr>
        <w:pStyle w:val="FirstParagraph"/>
      </w:pPr>
      <w:r>
        <w:t xml:space="preserve">“</w:t>
      </w:r>
      <w:r>
        <w:t xml:space="preserve">If you tried to count God’s favor, you could not enumerate it.</w:t>
      </w:r>
      <w:r>
        <w:t xml:space="preserve">”</w:t>
      </w:r>
      <w:r>
        <w:t xml:space="preserve"> </w:t>
      </w:r>
      <w:r>
        <w:t xml:space="preserve">Counting fails for at least three reasons.</w:t>
      </w:r>
    </w:p>
    <w:p>
      <w:pPr>
        <w:pStyle w:val="BodyText"/>
      </w:pPr>
      <w:r>
        <w:t xml:space="preserve">First, gifts are networked. A fruit presupposes water, light, air, soil, microbial communities, a genome, ecological interactions, labor, transport, and a body able to digest it. Isolating one item dissolves into a chain of conditions.</w:t>
      </w:r>
    </w:p>
    <w:p>
      <w:pPr>
        <w:pStyle w:val="BodyText"/>
      </w:pPr>
      <w:r>
        <w:t xml:space="preserve">Second, gifts are scalar. A breath is one event and an exchange among atmospheric chemistry, lung architecture, hemoglobin, circulation, cellular metabolism, and planetary photosynthesis. The sun is one celestial body and a continual flux of energy. A river is one named feature and an ever-changing watershed.</w:t>
      </w:r>
    </w:p>
    <w:p>
      <w:pPr>
        <w:pStyle w:val="BodyText"/>
      </w:pPr>
      <w:r>
        <w:t xml:space="preserve">Third, the receiver is also gifted. The capacity to desire, ask, perceive, calculate, cultivate, build, sail, remember, and give thanks is not external to the inventory. The accountant belongs inside the account.</w:t>
      </w:r>
    </w:p>
    <w:p>
      <w:pPr>
        <w:pStyle w:val="BodyText"/>
      </w:pPr>
      <w:r>
        <w:t xml:space="preserve">This explains the sharp ending. Ingratitude is not merely failure to say thank you. It is a false metaphysics of self-sufficiency. Injustice is its social expression: I imagine the enabling conditions belong to me alone, then exclude others or destroy the conditions on which all depend. Gratitude in this passage is epistemic—seeing dependence truthfully—ethical—using gifts justly—and theological—directing worship to their source.</w:t>
      </w:r>
    </w:p>
    <w:p>
      <w:pPr>
        <w:pStyle w:val="BodyText"/>
      </w:pPr>
      <w:r>
        <w:t xml:space="preserve">The same statement about uncountable favor appears in 16:18, but there it is followed by divine forgiveness and mercy. Here it is followed by the diagnosis of injustice and ingratitude. The two endings belong together: honest moral diagnosis without despair, and mercy without denial of responsibility.</w:t>
      </w:r>
    </w:p>
    <w:bookmarkEnd w:id="63"/>
    <w:bookmarkStart w:id="64" w:name="X290f70e55b95c7ecc1fe1d7ec98ff17c8bbac58"/>
    <w:p>
      <w:pPr>
        <w:pStyle w:val="Heading2"/>
        <w:keepNext/>
      </w:pPr>
      <w:r>
        <w:t xml:space="preserve">8. Verse 35: Abraham, security, and the most dangerous causation error</w:t>
      </w:r>
    </w:p>
    <w:p>
      <w:pPr>
        <w:pStyle w:val="FirstParagraph"/>
      </w:pPr>
      <w:r>
        <w:t xml:space="preserve">The catalogue of cosmic and ecological gifts culminates in a prayer:</w:t>
      </w:r>
      <w:r>
        <w:t xml:space="preserve"> </w:t>
      </w:r>
      <w:r>
        <w:t xml:space="preserve">“</w:t>
      </w:r>
      <w:r>
        <w:t xml:space="preserve">Lord, make this land secure, and preserve me and my children from worshipping idols.</w:t>
      </w:r>
      <w:r>
        <w:t xml:space="preserve">”</w:t>
      </w:r>
      <w:r>
        <w:t xml:space="preserve"> </w:t>
      </w:r>
      <w:r>
        <w:t xml:space="preserve">Classical exegesis identifies the town as Mecca and relates the petition to Abraham’s settlement of his family and the sanctuary. Ibn Kathir contrasts this wording with 2:126 and treats civic security as a divine favor. The wider prayer in 14:35–41 asks for provision, grateful hearts, established prayer, and forgiveness.</w:t>
      </w:r>
    </w:p>
    <w:p>
      <w:pPr>
        <w:pStyle w:val="BodyText"/>
      </w:pPr>
      <w:r>
        <w:t xml:space="preserve">Security is a precondition of civilization. Agriculture requires confidence that a harvest can be gathered; trade requires routes and trust; worship requires bodily space; learning requires continuity. Yet Abraham does not treat security as a merely technical achievement. He asks. Political institutions, treaties, law, food systems, water infrastructure, and communal norms are real means, but their success is contingent.</w:t>
      </w:r>
    </w:p>
    <w:p>
      <w:pPr>
        <w:pStyle w:val="BodyText"/>
      </w:pPr>
      <w:r>
        <w:t xml:space="preserve">The second request is even more searching. Abraham—the paradigmatic iconoclast—does not assume immunity from idolatry. He asks to be kept away. Literal</w:t>
      </w:r>
      <w:r>
        <w:t xml:space="preserve"> </w:t>
      </w:r>
      <w:r>
        <w:rPr>
          <w:iCs/>
          <w:i/>
        </w:rPr>
        <w:t xml:space="preserve">aṣnām</w:t>
      </w:r>
      <w:r>
        <w:t xml:space="preserve"> </w:t>
      </w:r>
      <w:r>
        <w:t xml:space="preserve">are carved idols, and that sense must not be erased. A moral extension, clearly marked as application rather than translation, sees analogous idolatries whenever wealth, nation, technology, desire, or causal power receives unconditional trust and obedience.</w:t>
      </w:r>
    </w:p>
    <w:p>
      <w:pPr>
        <w:pStyle w:val="BodyText"/>
      </w:pPr>
      <w:r>
        <w:t xml:space="preserve">This connects verse 35 back to verse 32. A ship, river, sun, law, or human technique can be appreciated as a sign and instrument; it becomes an idol when treated as autonomous, ultimate, or morally absolute. The most dangerous causation error is therefore devotional: mistaking the occasion for the source.</w:t>
      </w:r>
    </w:p>
    <w:bookmarkEnd w:id="64"/>
    <w:bookmarkStart w:id="70" w:name="from-the-four-verses-to-occasionalism"/>
    <w:p>
      <w:pPr>
        <w:pStyle w:val="Heading2"/>
        <w:keepNext/>
      </w:pPr>
      <w:r>
        <w:t xml:space="preserve">9. From the four verses to occasionalism</w:t>
      </w:r>
    </w:p>
    <w:bookmarkStart w:id="67" w:name="what-occasionalism-claims"/>
    <w:p>
      <w:pPr>
        <w:pStyle w:val="Heading3"/>
        <w:keepNext/>
      </w:pPr>
      <w:r>
        <w:t xml:space="preserve">What occasionalism claims</w:t>
      </w:r>
    </w:p>
    <w:p>
      <w:pPr>
        <w:pStyle w:val="FirstParagraph"/>
      </w:pPr>
      <w:r>
        <w:t xml:space="preserve">Occasionalism is a metaphysics of causation. In its global form, God is the only genuine efficient cause; created entities are occasions on which God brings about effects. More limited versions restrict the thesis to a domain. The</w:t>
      </w:r>
      <w:r>
        <w:t xml:space="preserve"> </w:t>
      </w:r>
      <w:r>
        <w:rPr>
          <w:rStyle w:val="Hyperlink"/>
        </w:rPr>
        <w:t xml:space="preserve">Stanford Encyclopedia of Philosophy</w:t>
      </w:r>
      <w:r>
        <w:t xml:space="preserve"> </w:t>
      </w:r>
      <w:r>
        <w:t xml:space="preserve">traces its Islamic development through Ashʿarī kalām and identifies al-Ghazālī’s</w:t>
      </w:r>
      <w:r>
        <w:t xml:space="preserve"> </w:t>
      </w:r>
      <w:r>
        <w:rPr>
          <w:iCs/>
          <w:i/>
        </w:rPr>
        <w:t xml:space="preserve">Incoherence of the Philosophers</w:t>
      </w:r>
      <w:r>
        <w:t xml:space="preserve"> </w:t>
      </w:r>
      <w:r>
        <w:t xml:space="preserve">as its most influential classical argument.</w:t>
      </w:r>
    </w:p>
    <w:p>
      <w:pPr>
        <w:pStyle w:val="BodyText"/>
      </w:pPr>
      <w:r>
        <w:t xml:space="preserve">Al-Ghazālī’s famous claim is that the connection between what is habitually called cause and effect is not logically necessary. Fire’s contact with cotton and the cotton’s burning are distinct events; observation shows conjunction, not an entailment by which one event must produce the other independently of God. The point protects divine omnipotence and the possibility of miracles. It also invites an epistemic humility that later readers compare—carefully—with Hume’s critique of necessary connection.</w:t>
      </w:r>
    </w:p>
    <w:p>
      <w:pPr>
        <w:pStyle w:val="BodyText"/>
      </w:pPr>
      <w:r>
        <w:t xml:space="preserve">Scholarly caution is essential. There is real debate over whether al-Ghazālī denied all creaturely causal power or only denied that created causes necessitate their effects. The</w:t>
      </w:r>
      <w:r>
        <w:t xml:space="preserve"> </w:t>
      </w:r>
      <w:r>
        <w:rPr>
          <w:rStyle w:val="Hyperlink"/>
        </w:rPr>
        <w:t xml:space="preserve">SEP discussion of al-Ghazālī</w:t>
      </w:r>
      <w:r>
        <w:t xml:space="preserve"> </w:t>
      </w:r>
      <w:r>
        <w:t xml:space="preserve">notes that some interpretations leave room for non-necessitating secondary causes.</w:t>
      </w:r>
      <w:r>
        <w:t xml:space="preserve"> </w:t>
      </w:r>
      <w:r>
        <w:t xml:space="preserve">“</w:t>
      </w:r>
      <w:r>
        <w:t xml:space="preserve">Ghazalian occasionalism</w:t>
      </w:r>
      <w:r>
        <w:t xml:space="preserve">”</w:t>
      </w:r>
      <w:r>
        <w:t xml:space="preserve"> </w:t>
      </w:r>
      <w:r>
        <w:t xml:space="preserve">is therefore a defensible and historically powerful reading, not the only uncontested reconstruction.</w:t>
      </w:r>
    </w:p>
    <w:bookmarkEnd w:id="67"/>
    <w:bookmarkStart w:id="68" w:name="X1ad1b5298cffc6d1a2c1c8241f163acf153527c"/>
    <w:p>
      <w:pPr>
        <w:pStyle w:val="Heading3"/>
        <w:keepNext/>
      </w:pPr>
      <w:r>
        <w:t xml:space="preserve">How 14:32–35 generates the occasionalist intuition</w:t>
      </w:r>
    </w:p>
    <w:p>
      <w:pPr>
        <w:pStyle w:val="FirstParagraph"/>
      </w:pPr>
      <w:r>
        <w:t xml:space="preserve">The passage offers five steps toward that intuition.</w:t>
      </w:r>
    </w:p>
    <w:p>
      <w:pPr>
        <w:numPr>
          <w:ilvl w:val="0"/>
          <w:numId w:val="1003"/>
        </w:numPr>
      </w:pPr>
      <w:r>
        <w:rPr>
          <w:bCs/>
          <w:b/>
        </w:rPr>
        <w:t xml:space="preserve">Ultimate attribution.</w:t>
      </w:r>
      <w:r>
        <w:t xml:space="preserve"> </w:t>
      </w:r>
      <w:r>
        <w:t xml:space="preserve">God is the grammatical agent of creation, rainfall, vegetation, serviceability, celestial regularity, and gift. The causal field is narrated from the standpoint of ultimate dependence.</w:t>
      </w:r>
    </w:p>
    <w:p>
      <w:pPr>
        <w:numPr>
          <w:ilvl w:val="0"/>
          <w:numId w:val="1003"/>
        </w:numPr>
      </w:pPr>
      <w:r>
        <w:rPr>
          <w:bCs/>
          <w:b/>
        </w:rPr>
        <w:t xml:space="preserve">Secondary means remain visible.</w:t>
      </w:r>
      <w:r>
        <w:t xml:space="preserve"> </w:t>
      </w:r>
      <w:r>
        <w:t xml:space="preserve">Water is the means</w:t>
      </w:r>
      <w:r>
        <w:t xml:space="preserve"> </w:t>
      </w:r>
      <w:r>
        <w:t xml:space="preserve">“</w:t>
      </w:r>
      <w:r>
        <w:t xml:space="preserve">with which</w:t>
      </w:r>
      <w:r>
        <w:t xml:space="preserve">”</w:t>
      </w:r>
      <w:r>
        <w:t xml:space="preserve"> </w:t>
      </w:r>
      <w:r>
        <w:t xml:space="preserve">fruit comes forth; ships sail through sea; rivers carry water; celestial cycles structure time. The text does not collapse the world into an illusion.</w:t>
      </w:r>
    </w:p>
    <w:p>
      <w:pPr>
        <w:numPr>
          <w:ilvl w:val="0"/>
          <w:numId w:val="1003"/>
        </w:numPr>
      </w:pPr>
      <w:r>
        <w:rPr>
          <w:bCs/>
          <w:b/>
        </w:rPr>
        <w:t xml:space="preserve">Command grounds regularity.</w:t>
      </w:r>
      <w:r>
        <w:t xml:space="preserve"> </w:t>
      </w:r>
      <w:r>
        <w:t xml:space="preserve">Ships sail</w:t>
      </w:r>
      <w:r>
        <w:t xml:space="preserve"> </w:t>
      </w:r>
      <w:r>
        <w:rPr>
          <w:iCs/>
          <w:i/>
        </w:rPr>
        <w:t xml:space="preserve">bi-amrihi</w:t>
      </w:r>
      <w:r>
        <w:t xml:space="preserve">; sun and moon are</w:t>
      </w:r>
      <w:r>
        <w:t xml:space="preserve"> </w:t>
      </w:r>
      <w:r>
        <w:rPr>
          <w:iCs/>
          <w:i/>
        </w:rPr>
        <w:t xml:space="preserve">dāʾibayn</w:t>
      </w:r>
      <w:r>
        <w:t xml:space="preserve">. Divine agency appears as ordered constancy, not random interruption.</w:t>
      </w:r>
    </w:p>
    <w:p>
      <w:pPr>
        <w:numPr>
          <w:ilvl w:val="0"/>
          <w:numId w:val="1003"/>
        </w:numPr>
      </w:pPr>
      <w:r>
        <w:rPr>
          <w:bCs/>
          <w:b/>
        </w:rPr>
        <w:t xml:space="preserve">Providence is continuous.</w:t>
      </w:r>
      <w:r>
        <w:t xml:space="preserve"> </w:t>
      </w:r>
      <w:r>
        <w:t xml:space="preserve">The favors are not confined to an initial act of creation. Water descends, fruit emerges, bodies are nourished, vessels move, rivers flow, and times alternate. Dependence is present tense.</w:t>
      </w:r>
    </w:p>
    <w:p>
      <w:pPr>
        <w:numPr>
          <w:ilvl w:val="0"/>
          <w:numId w:val="1003"/>
        </w:numPr>
      </w:pPr>
      <w:r>
        <w:rPr>
          <w:bCs/>
          <w:b/>
        </w:rPr>
        <w:t xml:space="preserve">Causal error becomes idolatry.</w:t>
      </w:r>
      <w:r>
        <w:t xml:space="preserve"> </w:t>
      </w:r>
      <w:r>
        <w:t xml:space="preserve">Verse 34 names ingratitude; verse 35 asks protection from idols. Treating a created power as independent is both a metaphysical and devotional mistake.</w:t>
      </w:r>
    </w:p>
    <w:p>
      <w:pPr>
        <w:pStyle w:val="FirstParagraph"/>
      </w:pPr>
      <w:r>
        <w:t xml:space="preserve">These steps do not deductively prove global occasionalism. A doctrine of divine concurrence or secondary causation could also affirm that God acts through real creaturely powers. What they do establish is anti-autonomy: no created cause is ultimate, self-sustaining, or outside divine sovereignty. Occasionalism is the strongest development of that grammar of dependence.</w:t>
      </w:r>
    </w:p>
    <w:p>
      <w:pPr>
        <w:pStyle w:val="BodyText"/>
      </w:pPr>
      <w:r>
        <w:t xml:space="preserve">Al-Razi makes this interpretive plurality explicit in his commentary on these very verses. He describes fruit as following water</w:t>
      </w:r>
      <w:r>
        <w:t xml:space="preserve"> </w:t>
      </w:r>
      <w:r>
        <w:t xml:space="preserve">“</w:t>
      </w:r>
      <w:r>
        <w:t xml:space="preserve">according to custom</w:t>
      </w:r>
      <w:r>
        <w:t xml:space="preserve">”</w:t>
      </w:r>
      <w:r>
        <w:t xml:space="preserve"> </w:t>
      </w:r>
      <w:r>
        <w:t xml:space="preserve">and transmits debate over whether water is an intermediary cause. In 14:35 he likewise presents the Ashʿarī reading of Abraham’s prayer—preservation in faith depends on God—alongside a Muʿtazilī reading that asks for enabling graces and helps. His tafsir is therefore unusually strong evidence that 14:32–35 can generate occasionalist reasoning while remaining a site of intra-Muslim disagreement about created causality.</w:t>
      </w:r>
    </w:p>
    <w:bookmarkEnd w:id="68"/>
    <w:bookmarkStart w:id="69" w:name="laws-as-the-grammar-of-divine-fidelity"/>
    <w:p>
      <w:pPr>
        <w:pStyle w:val="Heading3"/>
        <w:keepNext/>
      </w:pPr>
      <w:r>
        <w:t xml:space="preserve">Laws as the grammar of divine fidelity</w:t>
      </w:r>
    </w:p>
    <w:p>
      <w:pPr>
        <w:pStyle w:val="FirstParagraph"/>
      </w:pPr>
      <w:r>
        <w:t xml:space="preserve">The apparent objection is that occasionalism makes science impossible. If God alone causes each event, why experiment? The answer is the doctrine of divine custom—</w:t>
      </w:r>
      <w:r>
        <w:rPr>
          <w:iCs/>
          <w:i/>
        </w:rPr>
        <w:t xml:space="preserve">ʿāda</w:t>
      </w:r>
      <w:r>
        <w:t xml:space="preserve">—and the Qur’anic theme of stable divine ways. A law of nature summarizes dependable structure. It remains mathematically powerful and experimentally testable without becoming an independent agent.</w:t>
      </w:r>
    </w:p>
    <w:p>
      <w:pPr>
        <w:pStyle w:val="BodyText"/>
      </w:pPr>
      <w:r>
        <w:t xml:space="preserve">On this reading, Archimedes’ principle is not a competitor to</w:t>
      </w:r>
      <w:r>
        <w:t xml:space="preserve"> </w:t>
      </w:r>
      <w:r>
        <w:t xml:space="preserve">“</w:t>
      </w:r>
      <w:r>
        <w:t xml:space="preserve">by His command.</w:t>
      </w:r>
      <w:r>
        <w:t xml:space="preserve">”</w:t>
      </w:r>
      <w:r>
        <w:t xml:space="preserve"> </w:t>
      </w:r>
      <w:r>
        <w:t xml:space="preserve">It states the regular relationship among fluid density, displaced volume, gravity, and upward force. Hydrology describes recurring transformations of water. Aerodynamics describes pressure and momentum in airflow. Occasionalism adds an ontological interpretation: these regularities have no self-subsisting power apart from the Sustainer.</w:t>
      </w:r>
    </w:p>
    <w:p>
      <w:pPr>
        <w:pStyle w:val="BodyText"/>
      </w:pPr>
      <w:r>
        <w:t xml:space="preserve">This is best expressed without saying that laws</w:t>
      </w:r>
      <w:r>
        <w:t xml:space="preserve"> </w:t>
      </w:r>
      <w:r>
        <w:t xml:space="preserve">“</w:t>
      </w:r>
      <w:r>
        <w:t xml:space="preserve">cause</w:t>
      </w:r>
      <w:r>
        <w:t xml:space="preserve">”</w:t>
      </w:r>
      <w:r>
        <w:t xml:space="preserve"> </w:t>
      </w:r>
      <w:r>
        <w:t xml:space="preserve">events as though equations were agents. Equations represent relations. Whether those relations are grounded in creaturely powers, divine concurrence, brute fact, structural necessity, or continuous divine action is a philosophical question. Science can often proceed without deciding it.</w:t>
      </w:r>
    </w:p>
    <w:bookmarkEnd w:id="69"/>
    <w:bookmarkEnd w:id="70"/>
    <w:bookmarkStart w:id="86" w:name="X5550bba16f9f0fe40e0ed77c9e1c3e4a222441f"/>
    <w:p>
      <w:pPr>
        <w:pStyle w:val="Heading2"/>
        <w:keepNext/>
      </w:pPr>
      <w:r>
        <w:t xml:space="preserve">10. Zia H. Shah, MD and the</w:t>
      </w:r>
      <w:r>
        <w:t xml:space="preserve"> </w:t>
      </w:r>
      <w:r>
        <w:t xml:space="preserve">“</w:t>
      </w:r>
      <w:r>
        <w:t xml:space="preserve">Inshallah universe</w:t>
      </w:r>
      <w:r>
        <w:t xml:space="preserve">”</w:t>
      </w:r>
    </w:p>
    <w:bookmarkStart w:id="73" w:name="scope-of-the-corpus"/>
    <w:p>
      <w:pPr>
        <w:pStyle w:val="Heading3"/>
        <w:keepNext/>
      </w:pPr>
      <w:r>
        <w:t xml:space="preserve">Scope of the corpus</w:t>
      </w:r>
    </w:p>
    <w:p>
      <w:pPr>
        <w:pStyle w:val="FirstParagraph"/>
      </w:pPr>
      <w:r>
        <w:t xml:space="preserve">Zia H. Shah, MD has assembled a large, cross-referenced body of essays under the</w:t>
      </w:r>
      <w:r>
        <w:t xml:space="preserve"> </w:t>
      </w:r>
      <w:r>
        <w:rPr>
          <w:rStyle w:val="Hyperlink"/>
        </w:rPr>
        <w:t xml:space="preserve">Occasionalism category at thequran.love</w:t>
      </w:r>
      <w:r>
        <w:t xml:space="preserve">, now extending across four index pages. The site’s own June 2026</w:t>
      </w:r>
      <w:r>
        <w:t xml:space="preserve"> </w:t>
      </w:r>
      <w:r>
        <w:rPr>
          <w:rStyle w:val="Hyperlink"/>
        </w:rPr>
        <w:t xml:space="preserve">comprehensive synthesis</w:t>
      </w:r>
      <w:r>
        <w:t xml:space="preserve"> </w:t>
      </w:r>
      <w:r>
        <w:t xml:space="preserve">described more than thirty interlinked essays; the category has continued to grow. Several articles identify the AI systems that helped present or draft them, a provenance detail readers should retain when assessing authorship and argument.</w:t>
      </w:r>
    </w:p>
    <w:p>
      <w:pPr>
        <w:pStyle w:val="BodyText"/>
      </w:pPr>
      <w:r>
        <w:t xml:space="preserve">The request to integrate</w:t>
      </w:r>
      <w:r>
        <w:t xml:space="preserve"> </w:t>
      </w:r>
      <w:r>
        <w:t xml:space="preserve">“</w:t>
      </w:r>
      <w:r>
        <w:t xml:space="preserve">everything</w:t>
      </w:r>
      <w:r>
        <w:t xml:space="preserve">”</w:t>
      </w:r>
      <w:r>
        <w:t xml:space="preserve"> </w:t>
      </w:r>
      <w:r>
        <w:t xml:space="preserve">in the collection is best met thematically rather than by reproducing dozens of posts. Across the corpus, nine recurring clusters emerge.</w:t>
      </w:r>
    </w:p>
    <w:bookmarkEnd w:id="73"/>
    <w:bookmarkStart w:id="74" w:name="god-alone-as-ultimate-efficient-cause"/>
    <w:p>
      <w:pPr>
        <w:pStyle w:val="Heading3"/>
        <w:keepNext/>
      </w:pPr>
      <w:r>
        <w:t xml:space="preserve">1. God alone as ultimate efficient cause</w:t>
      </w:r>
    </w:p>
    <w:p>
      <w:pPr>
        <w:pStyle w:val="FirstParagraph"/>
      </w:pPr>
      <w:r>
        <w:t xml:space="preserve">Shah revives the Ashʿarī-Ghazalian claim that God alone is the true efficient cause and created things possess no autonomous causal power. Fire and cotton, colliding billiard balls, bodily motion, falling objects, photons, cells, and celestial systems become variations on one thesis: the regular sequence is real, but the necessity and efficacy do not belong to the creature independently.</w:t>
      </w:r>
    </w:p>
    <w:p>
      <w:pPr>
        <w:pStyle w:val="BodyText"/>
      </w:pPr>
      <w:r>
        <w:t xml:space="preserve">Applied to 14:32, water is neither demoted nor deified. It is a genuine term in the observable sequence—rain accompanies growth—yet its density, phase transitions, movement, and biological efficacy are continuously dependent.</w:t>
      </w:r>
      <w:r>
        <w:t xml:space="preserve"> </w:t>
      </w:r>
      <w:r>
        <w:t xml:space="preserve">“</w:t>
      </w:r>
      <w:r>
        <w:t xml:space="preserve">By His command</w:t>
      </w:r>
      <w:r>
        <w:t xml:space="preserve">”</w:t>
      </w:r>
      <w:r>
        <w:t xml:space="preserve"> </w:t>
      </w:r>
      <w:r>
        <w:t xml:space="preserve">becomes a concise scriptural emblem of the thesis.</w:t>
      </w:r>
    </w:p>
    <w:bookmarkEnd w:id="74"/>
    <w:bookmarkStart w:id="76" w:name="the-laws-of-nature-as-divine-habit"/>
    <w:p>
      <w:pPr>
        <w:pStyle w:val="Heading3"/>
        <w:keepNext/>
      </w:pPr>
      <w:r>
        <w:t xml:space="preserve">2. The laws of nature as divine habit</w:t>
      </w:r>
    </w:p>
    <w:p>
      <w:pPr>
        <w:pStyle w:val="FirstParagraph"/>
      </w:pPr>
      <w:r>
        <w:t xml:space="preserve">Shah’s</w:t>
      </w:r>
      <w:r>
        <w:t xml:space="preserve"> </w:t>
      </w:r>
      <w:r>
        <w:rPr>
          <w:rStyle w:val="Hyperlink"/>
        </w:rPr>
        <w:t xml:space="preserve">essay on occasionalism and natural law</w:t>
      </w:r>
      <w:r>
        <w:t xml:space="preserve"> </w:t>
      </w:r>
      <w:r>
        <w:t xml:space="preserve">argues that scientific laws are descriptive rather than sovereign. They express God’s customary, stable way of acting—</w:t>
      </w:r>
      <w:r>
        <w:rPr>
          <w:iCs/>
          <w:i/>
        </w:rPr>
        <w:t xml:space="preserve">ʿāda</w:t>
      </w:r>
      <w:r>
        <w:t xml:space="preserve"> </w:t>
      </w:r>
      <w:r>
        <w:t xml:space="preserve">or</w:t>
      </w:r>
      <w:r>
        <w:t xml:space="preserve"> </w:t>
      </w:r>
      <w:r>
        <w:rPr>
          <w:iCs/>
          <w:i/>
        </w:rPr>
        <w:t xml:space="preserve">sunnat Allāh</w:t>
      </w:r>
      <w:r>
        <w:t xml:space="preserve">. Their reliability is why engineers can design ships and why farmers can learn watersheds. A miracle would be an exceptional divine act, not a metaphysical impossibility imposed on God by a creaturely power.</w:t>
      </w:r>
    </w:p>
    <w:p>
      <w:pPr>
        <w:pStyle w:val="BodyText"/>
      </w:pPr>
      <w:r>
        <w:t xml:space="preserve">This is the corpus’s best answer to the charge of arbitrariness. The occasionalist world is not one in which hulls sometimes float for no reason and sometimes do not. It is a world whose Author chooses dependable order. Verse 33’s</w:t>
      </w:r>
      <w:r>
        <w:t xml:space="preserve"> </w:t>
      </w:r>
      <w:r>
        <w:rPr>
          <w:iCs/>
          <w:i/>
        </w:rPr>
        <w:t xml:space="preserve">dāʾibayn</w:t>
      </w:r>
      <w:r>
        <w:t xml:space="preserve"> </w:t>
      </w:r>
      <w:r>
        <w:t xml:space="preserve">supplies a Qur’anic image of that persistence.</w:t>
      </w:r>
    </w:p>
    <w:bookmarkEnd w:id="76"/>
    <w:bookmarkStart w:id="78" w:name="the-ever-present-sustainer-against-deism"/>
    <w:p>
      <w:pPr>
        <w:pStyle w:val="Heading3"/>
        <w:keepNext/>
      </w:pPr>
      <w:r>
        <w:t xml:space="preserve">3. The ever-present Sustainer against deism</w:t>
      </w:r>
    </w:p>
    <w:p>
      <w:pPr>
        <w:pStyle w:val="FirstParagraph"/>
      </w:pPr>
      <w:r>
        <w:t xml:space="preserve">Shah contrasts the Qur’anic God with an absentee watchmaker. His August 2026 essay,</w:t>
      </w:r>
      <w:r>
        <w:t xml:space="preserve"> </w:t>
      </w:r>
      <w:r>
        <w:rPr>
          <w:rStyle w:val="Hyperlink"/>
        </w:rPr>
        <w:t xml:space="preserve">“</w:t>
      </w:r>
      <w:r>
        <w:rPr>
          <w:rStyle w:val="Hyperlink"/>
        </w:rPr>
        <w:t xml:space="preserve">The Ever-Present God</w:t>
      </w:r>
      <w:r>
        <w:rPr>
          <w:rStyle w:val="Hyperlink"/>
        </w:rPr>
        <w:t xml:space="preserve">”</w:t>
      </w:r>
      <w:r>
        <w:t xml:space="preserve">, describes divine participation moment by moment and organizes it through the divine names:</w:t>
      </w:r>
      <w:r>
        <w:t xml:space="preserve"> </w:t>
      </w:r>
      <w:r>
        <w:rPr>
          <w:iCs/>
          <w:i/>
        </w:rPr>
        <w:t xml:space="preserve">al-Ḥayy</w:t>
      </w:r>
      <w:r>
        <w:t xml:space="preserve"> </w:t>
      </w:r>
      <w:r>
        <w:t xml:space="preserve">(the Ever-Living),</w:t>
      </w:r>
      <w:r>
        <w:t xml:space="preserve"> </w:t>
      </w:r>
      <w:r>
        <w:rPr>
          <w:iCs/>
          <w:i/>
        </w:rPr>
        <w:t xml:space="preserve">al-Qayyūm</w:t>
      </w:r>
      <w:r>
        <w:t xml:space="preserve"> </w:t>
      </w:r>
      <w:r>
        <w:t xml:space="preserve">(the Self-Subsisting Sustainer),</w:t>
      </w:r>
      <w:r>
        <w:t xml:space="preserve"> </w:t>
      </w:r>
      <w:r>
        <w:rPr>
          <w:iCs/>
          <w:i/>
        </w:rPr>
        <w:t xml:space="preserve">al-Qadīr</w:t>
      </w:r>
      <w:r>
        <w:t xml:space="preserve"> </w:t>
      </w:r>
      <w:r>
        <w:t xml:space="preserve">(the Powerful), and</w:t>
      </w:r>
      <w:r>
        <w:t xml:space="preserve"> </w:t>
      </w:r>
      <w:r>
        <w:rPr>
          <w:iCs/>
          <w:i/>
        </w:rPr>
        <w:t xml:space="preserve">al-Laṭīf al-Khabīr</w:t>
      </w:r>
      <w:r>
        <w:t xml:space="preserve"> </w:t>
      </w:r>
      <w:r>
        <w:t xml:space="preserve">(the Subtle, All-Aware). Recurring proof texts include 2:255, 35:41, 30:25, 55:29, 6:59, 18:23–24, 57:22, and 13:38–39.</w:t>
      </w:r>
    </w:p>
    <w:p>
      <w:pPr>
        <w:pStyle w:val="BodyText"/>
      </w:pPr>
      <w:r>
        <w:t xml:space="preserve">In 14:32–35, creation is likewise more than an ancient origin. God sends, brings forth, makes serviceable, gives, secures, and protects. Abraham prays because providence is not exhausted by cosmological beginnings.</w:t>
      </w:r>
    </w:p>
    <w:bookmarkEnd w:id="78"/>
    <w:bookmarkStart w:id="79" w:name="the-metaphysics-of-inshallah"/>
    <w:p>
      <w:pPr>
        <w:pStyle w:val="Heading3"/>
        <w:keepNext/>
      </w:pPr>
      <w:r>
        <w:t xml:space="preserve">4. The metaphysics of</w:t>
      </w:r>
      <w:r>
        <w:t xml:space="preserve"> </w:t>
      </w:r>
      <w:r>
        <w:t xml:space="preserve">“</w:t>
      </w:r>
      <w:r>
        <w:t xml:space="preserve">Inshallah</w:t>
      </w:r>
      <w:r>
        <w:t xml:space="preserve">”</w:t>
      </w:r>
    </w:p>
    <w:p>
      <w:pPr>
        <w:pStyle w:val="FirstParagraph"/>
      </w:pPr>
      <w:r>
        <w:t xml:space="preserve">For Shah, the everyday phrase</w:t>
      </w:r>
      <w:r>
        <w:t xml:space="preserve"> </w:t>
      </w:r>
      <w:r>
        <w:rPr>
          <w:iCs/>
          <w:i/>
        </w:rPr>
        <w:t xml:space="preserve">in shāʾ Allāh</w:t>
      </w:r>
      <w:r>
        <w:t xml:space="preserve">—if God wills—contains a complete metaphysical posture. Qur’an 18:23–24 disciplines the assumption that the future is possessed. The</w:t>
      </w:r>
      <w:r>
        <w:t xml:space="preserve"> </w:t>
      </w:r>
      <w:r>
        <w:t xml:space="preserve">“</w:t>
      </w:r>
      <w:r>
        <w:t xml:space="preserve">Inshallah universe</w:t>
      </w:r>
      <w:r>
        <w:t xml:space="preserve">”</w:t>
      </w:r>
      <w:r>
        <w:t xml:space="preserve"> </w:t>
      </w:r>
      <w:r>
        <w:t xml:space="preserve">is radically contingent at every moment, even when its regularities permit justified confidence.</w:t>
      </w:r>
    </w:p>
    <w:p>
      <w:pPr>
        <w:pStyle w:val="BodyText"/>
      </w:pPr>
      <w:r>
        <w:t xml:space="preserve">This motif resonates directly with 42:33:</w:t>
      </w:r>
      <w:r>
        <w:t xml:space="preserve"> </w:t>
      </w:r>
      <w:r>
        <w:t xml:space="preserve">“</w:t>
      </w:r>
      <w:r>
        <w:t xml:space="preserve">If He wills, He can calm the wind.</w:t>
      </w:r>
      <w:r>
        <w:t xml:space="preserve">”</w:t>
      </w:r>
      <w:r>
        <w:t xml:space="preserve"> </w:t>
      </w:r>
      <w:r>
        <w:t xml:space="preserve">Sailors can calculate, provision, and trim; none can convert forecast into metaphysical guarantee. The phrase does not excuse careless planning. It places planning inside dependence.</w:t>
      </w:r>
    </w:p>
    <w:bookmarkEnd w:id="79"/>
    <w:bookmarkStart w:id="80" w:name="Xb2f01f3df9a83c92321f4cc480fed0629a262f8"/>
    <w:p>
      <w:pPr>
        <w:pStyle w:val="Heading3"/>
        <w:keepNext/>
      </w:pPr>
      <w:r>
        <w:t xml:space="preserve">5. Continuous creation and the simulation analogy</w:t>
      </w:r>
    </w:p>
    <w:p>
      <w:pPr>
        <w:pStyle w:val="FirstParagraph"/>
      </w:pPr>
      <w:r>
        <w:t xml:space="preserve">Shah often uses digital imagery: reality is rendered frame by frame; God is like a programmer who sustains every pixel; if the sustaining act ceased, the world would not continue on stored momentum. The analogy modernizes the Ashʿarī idea of accidents renewed at successive moments and the philosophical argument that conservation is continuous creation.</w:t>
      </w:r>
    </w:p>
    <w:p>
      <w:pPr>
        <w:pStyle w:val="BodyText"/>
      </w:pPr>
      <w:r>
        <w:t xml:space="preserve">It is a teaching analogy, not an assertion that the universe is literally computer software. Its gain is vivid dependence; its risk is making God one agent inside a technical system. Classical theism instead understands God as the transcendent ground of the system’s existence, not a finite programmer operating external hardware.</w:t>
      </w:r>
    </w:p>
    <w:bookmarkEnd w:id="80"/>
    <w:bookmarkStart w:id="82" w:name="quantum-theory-as-metaphysical-openness"/>
    <w:p>
      <w:pPr>
        <w:pStyle w:val="Heading3"/>
        <w:keepNext/>
      </w:pPr>
      <w:r>
        <w:t xml:space="preserve">6. Quantum theory as metaphysical openness</w:t>
      </w:r>
    </w:p>
    <w:p>
      <w:pPr>
        <w:pStyle w:val="FirstParagraph"/>
      </w:pPr>
      <w:r>
        <w:t xml:space="preserve">Shah’s signature modern claim is that quantum theory loosens the classical-mechanical picture of a causally closed clockwork. His essays discuss individual photon outcomes at interfaces, double-slit experiments, radioactive decay, tunneling, entanglement, Bell inequalities, the 2022 Nobel Prize, rival interpretations of quantum mechanics, Many Worlds, and proposals for quantum divine action. He argues that probabilistic laws leave a</w:t>
      </w:r>
      <w:r>
        <w:t xml:space="preserve"> </w:t>
      </w:r>
      <w:r>
        <w:t xml:space="preserve">“</w:t>
      </w:r>
      <w:r>
        <w:t xml:space="preserve">causal gap</w:t>
      </w:r>
      <w:r>
        <w:t xml:space="preserve">”</w:t>
      </w:r>
      <w:r>
        <w:t xml:space="preserve"> </w:t>
      </w:r>
      <w:r>
        <w:t xml:space="preserve">in which divine choice is at least as metaphysically admissible as brute randomness.</w:t>
      </w:r>
    </w:p>
    <w:p>
      <w:pPr>
        <w:pStyle w:val="BodyText"/>
      </w:pPr>
      <w:r>
        <w:t xml:space="preserve">The argument is strongest when modest. Bell experiments exclude broad classes of local hidden-variable models under their assumptions; they do not establish occasionalism. Quantum indeterminacy in some interpretations is not identical to divine choice. Other interpretations are deterministic, and the</w:t>
      </w:r>
      <w:r>
        <w:t xml:space="preserve"> </w:t>
      </w:r>
      <w:r>
        <w:rPr>
          <w:rStyle w:val="Hyperlink"/>
        </w:rPr>
        <w:t xml:space="preserve">philosophy of quantum theory remains contested</w:t>
      </w:r>
      <w:r>
        <w:t xml:space="preserve">. Shah’s own comprehensive synthesis candidly acknowledges that determinism and occasionalism can be empirically indistinguishable and that quantum mechanics does not prove God. That concession should govern the corpus: physics reopens questions; metaphysics answers them by arguments that exceed physics.</w:t>
      </w:r>
    </w:p>
    <w:bookmarkEnd w:id="82"/>
    <w:bookmarkStart w:id="83" w:name="X2d3285ac0e45e2a44e63f68fa83752db36e1e35"/>
    <w:p>
      <w:pPr>
        <w:pStyle w:val="Heading3"/>
        <w:keepNext/>
      </w:pPr>
      <w:r>
        <w:t xml:space="preserve">7. The</w:t>
      </w:r>
      <w:r>
        <w:t xml:space="preserve"> </w:t>
      </w:r>
      <w:r>
        <w:t xml:space="preserve">“</w:t>
      </w:r>
      <w:r>
        <w:t xml:space="preserve">Four Books</w:t>
      </w:r>
      <w:r>
        <w:t xml:space="preserve">”</w:t>
      </w:r>
      <w:r>
        <w:t xml:space="preserve"> </w:t>
      </w:r>
      <w:r>
        <w:t xml:space="preserve">and a unified epistemology</w:t>
      </w:r>
    </w:p>
    <w:p>
      <w:pPr>
        <w:pStyle w:val="FirstParagraph"/>
      </w:pPr>
      <w:r>
        <w:t xml:space="preserve">Another recurring framework speaks of four divine</w:t>
      </w:r>
      <w:r>
        <w:t xml:space="preserve"> </w:t>
      </w:r>
      <w:r>
        <w:t xml:space="preserve">“</w:t>
      </w:r>
      <w:r>
        <w:t xml:space="preserve">books</w:t>
      </w:r>
      <w:r>
        <w:t xml:space="preserve">”</w:t>
      </w:r>
      <w:r>
        <w:t xml:space="preserve">: scripture, nature, history/providence, and the human self or conscience. Formulations vary across the essays, but the purpose is integrative. No single domain should be read in isolation. Qur’an 14:32–35 itself moves across these registers: recited revelation interprets nature, recalls Abrahamic history, and diagnoses the human heart.</w:t>
      </w:r>
    </w:p>
    <w:p>
      <w:pPr>
        <w:pStyle w:val="BodyText"/>
      </w:pPr>
      <w:r>
        <w:t xml:space="preserve">This approach supports scientific inquiry because nature is legible; it also limits scientism because empirical method is not the only mode of meaning. The scientist measures displacement and pressure; the philosopher asks what a law is; the theologian asks why order is gift; the moral agent asks how mastery should be used.</w:t>
      </w:r>
    </w:p>
    <w:bookmarkEnd w:id="83"/>
    <w:bookmarkStart w:id="84" w:name="X856e81d19a802c33bcab77e394161eaa50d8a91"/>
    <w:p>
      <w:pPr>
        <w:pStyle w:val="Heading3"/>
        <w:keepNext/>
      </w:pPr>
      <w:r>
        <w:t xml:space="preserve">8. Evolution, biology, consciousness, and the human person</w:t>
      </w:r>
    </w:p>
    <w:p>
      <w:pPr>
        <w:pStyle w:val="FirstParagraph"/>
      </w:pPr>
      <w:r>
        <w:t xml:space="preserve">The corpus extends occasionalism beyond physics into guided evolution, biological complexity, memory, consciousness, dreams, revelation, and death. Shah’s unifying aim is to deny that explanatory success at one level exhausts the reality of another. Evolutionary mechanisms may describe historical change while providence supplies ultimate orientation; neural correlates may accompany consciousness without resolving its metaphysical nature.</w:t>
      </w:r>
    </w:p>
    <w:p>
      <w:pPr>
        <w:pStyle w:val="BodyText"/>
      </w:pPr>
      <w:r>
        <w:t xml:space="preserve">These extensions are suggestive but uneven in evidential strength. They should not be used to insert consciousness or quantum effects into 14:32–35. Their relevance is architectural: the same layered causal model applied to rain and ships can be extended, with domain-specific care, to life and mind.</w:t>
      </w:r>
    </w:p>
    <w:bookmarkEnd w:id="84"/>
    <w:bookmarkStart w:id="85" w:name="providence-freedom-trust-and-gratitude"/>
    <w:p>
      <w:pPr>
        <w:pStyle w:val="Heading3"/>
        <w:keepNext/>
      </w:pPr>
      <w:r>
        <w:t xml:space="preserve">9. Providence, freedom, trust, and gratitude</w:t>
      </w:r>
    </w:p>
    <w:p>
      <w:pPr>
        <w:pStyle w:val="FirstParagraph"/>
      </w:pPr>
      <w:r>
        <w:t xml:space="preserve">Shah repeatedly insists that occasionalism is a spiritual discipline, not only a causal theory. It yields</w:t>
      </w:r>
      <w:r>
        <w:t xml:space="preserve"> </w:t>
      </w:r>
      <w:r>
        <w:rPr>
          <w:iCs/>
          <w:i/>
        </w:rPr>
        <w:t xml:space="preserve">tawakkul</w:t>
      </w:r>
      <w:r>
        <w:t xml:space="preserve"> </w:t>
      </w:r>
      <w:r>
        <w:t xml:space="preserve">(trust),</w:t>
      </w:r>
      <w:r>
        <w:t xml:space="preserve"> </w:t>
      </w:r>
      <w:r>
        <w:rPr>
          <w:iCs/>
          <w:i/>
        </w:rPr>
        <w:t xml:space="preserve">tafwīḍ</w:t>
      </w:r>
      <w:r>
        <w:t xml:space="preserve"> </w:t>
      </w:r>
      <w:r>
        <w:t xml:space="preserve">(entrusting affairs to God), humility about outcomes, and freedom from anxiety and pride. He couples divine action with human responsibility through intention, acquisition (</w:t>
      </w:r>
      <w:r>
        <w:rPr>
          <w:iCs/>
          <w:i/>
        </w:rPr>
        <w:t xml:space="preserve">kasb</w:t>
      </w:r>
      <w:r>
        <w:t xml:space="preserve">), and a defense of meaningful freedom. Qur’an 8:17—human agents threw, yet God threw—functions as a paradigm of layered attribution.</w:t>
      </w:r>
    </w:p>
    <w:p>
      <w:pPr>
        <w:pStyle w:val="BodyText"/>
      </w:pPr>
      <w:r>
        <w:t xml:space="preserve">The free-will solution remains philosophically disputed. Quantum indeterminacy alone does not produce agency; randomness is not freedom. Still, the ethical insight of the corpus survives that difficulty: ultimate dependence does not entail passivity. Abraham asks for security and purity, establishes prayer, settles family, and acts. The sailor builds and navigates. The farmer cultivates. Trust is disciplined action without self-deification.</w:t>
      </w:r>
    </w:p>
    <w:bookmarkEnd w:id="85"/>
    <w:bookmarkEnd w:id="86"/>
    <w:bookmarkStart w:id="92" w:name="objections-and-disciplined-responses"/>
    <w:p>
      <w:pPr>
        <w:pStyle w:val="Heading2"/>
        <w:keepNext/>
      </w:pPr>
      <w:r>
        <w:t xml:space="preserve">11. Objections and disciplined responses</w:t>
      </w:r>
    </w:p>
    <w:bookmarkStart w:id="87" w:name="X98c6ad122d75d114dba8590df58f76295561504"/>
    <w:p>
      <w:pPr>
        <w:pStyle w:val="Heading3"/>
        <w:keepNext/>
      </w:pPr>
      <w:r>
        <w:t xml:space="preserve">Objection 1: occasionalism destroys causal explanation</w:t>
      </w:r>
    </w:p>
    <w:p>
      <w:pPr>
        <w:pStyle w:val="FirstParagraph"/>
      </w:pPr>
      <w:r>
        <w:t xml:space="preserve">If</w:t>
      </w:r>
      <w:r>
        <w:t xml:space="preserve"> </w:t>
      </w:r>
      <w:r>
        <w:t xml:space="preserve">“</w:t>
      </w:r>
      <w:r>
        <w:t xml:space="preserve">God did it</w:t>
      </w:r>
      <w:r>
        <w:t xml:space="preserve">”</w:t>
      </w:r>
      <w:r>
        <w:t xml:space="preserve"> </w:t>
      </w:r>
      <w:r>
        <w:t xml:space="preserve">replaces fluid mechanics, hydrology, or meteorology, inquiry stops. The response is to distinguish levels.</w:t>
      </w:r>
      <w:r>
        <w:t xml:space="preserve"> </w:t>
      </w:r>
      <w:r>
        <w:t xml:space="preserve">“</w:t>
      </w:r>
      <w:r>
        <w:t xml:space="preserve">Why did this ship float?</w:t>
      </w:r>
      <w:r>
        <w:t xml:space="preserve">”</w:t>
      </w:r>
      <w:r>
        <w:t xml:space="preserve"> </w:t>
      </w:r>
      <w:r>
        <w:t xml:space="preserve">may ask for displaced volume and force balance, for naval design, for the history of shipbuilding, or for ultimate metaphysical grounding. A theological answer at one level should not erase an empirical answer at another. Occasionalism is fruitful only if it encourages study of the stable divine custom.</w:t>
      </w:r>
    </w:p>
    <w:bookmarkEnd w:id="87"/>
    <w:bookmarkStart w:id="88" w:name="Xf327cb68133f5a62184e6675f1d711a025e03d7"/>
    <w:p>
      <w:pPr>
        <w:pStyle w:val="Heading3"/>
        <w:keepNext/>
      </w:pPr>
      <w:r>
        <w:t xml:space="preserve">Objection 2: stable laws favor secondary causes, not occasionalism</w:t>
      </w:r>
    </w:p>
    <w:p>
      <w:pPr>
        <w:pStyle w:val="FirstParagraph"/>
      </w:pPr>
      <w:r>
        <w:t xml:space="preserve">The same evidence supports more than one metaphysics. A Thomist may affirm genuine secondary causes upheld by God; an Ashʿarī occasionalist may deny autonomous efficacy; a naturalist may stop at physical structure. Qur’an 14:32–35 clearly rejects autonomy and affirms divine governance, but it does not formally adjudicate every later theory of causation. The report therefore argues that the verses</w:t>
      </w:r>
      <w:r>
        <w:t xml:space="preserve"> </w:t>
      </w:r>
      <w:r>
        <w:t xml:space="preserve">“</w:t>
      </w:r>
      <w:r>
        <w:t xml:space="preserve">lead toward</w:t>
      </w:r>
      <w:r>
        <w:t xml:space="preserve">”</w:t>
      </w:r>
      <w:r>
        <w:t xml:space="preserve"> </w:t>
      </w:r>
      <w:r>
        <w:t xml:space="preserve">or</w:t>
      </w:r>
      <w:r>
        <w:t xml:space="preserve"> </w:t>
      </w:r>
      <w:r>
        <w:t xml:space="preserve">“</w:t>
      </w:r>
      <w:r>
        <w:t xml:space="preserve">invite</w:t>
      </w:r>
      <w:r>
        <w:t xml:space="preserve">”</w:t>
      </w:r>
      <w:r>
        <w:t xml:space="preserve"> </w:t>
      </w:r>
      <w:r>
        <w:t xml:space="preserve">occasionalism, not that they logically force its strongest global form.</w:t>
      </w:r>
    </w:p>
    <w:bookmarkEnd w:id="88"/>
    <w:bookmarkStart w:id="89" w:name="X2d64f050923d337c349702c314b05a0a465f1f3"/>
    <w:p>
      <w:pPr>
        <w:pStyle w:val="Heading3"/>
        <w:keepNext/>
      </w:pPr>
      <w:r>
        <w:t xml:space="preserve">Objection 3: quantum mechanics proves divine intervention</w:t>
      </w:r>
    </w:p>
    <w:p>
      <w:pPr>
        <w:pStyle w:val="FirstParagraph"/>
      </w:pPr>
      <w:r>
        <w:t xml:space="preserve">It does not. A probabilistic theory leaves outcomes non-determined in some interpretations, but</w:t>
      </w:r>
      <w:r>
        <w:t xml:space="preserve"> </w:t>
      </w:r>
      <w:r>
        <w:t xml:space="preserve">“</w:t>
      </w:r>
      <w:r>
        <w:t xml:space="preserve">not predicted individually by this formalism</w:t>
      </w:r>
      <w:r>
        <w:t xml:space="preserve">”</w:t>
      </w:r>
      <w:r>
        <w:t xml:space="preserve"> </w:t>
      </w:r>
      <w:r>
        <w:t xml:space="preserve">is not equivalent to</w:t>
      </w:r>
      <w:r>
        <w:t xml:space="preserve"> </w:t>
      </w:r>
      <w:r>
        <w:t xml:space="preserve">“</w:t>
      </w:r>
      <w:r>
        <w:t xml:space="preserve">selected by God.</w:t>
      </w:r>
      <w:r>
        <w:t xml:space="preserve">”</w:t>
      </w:r>
      <w:r>
        <w:t xml:space="preserve"> </w:t>
      </w:r>
      <w:r>
        <w:t xml:space="preserve">Bell inequality violations establish extraordinary nonclassical correlations; they are not a detector for transcendence. The responsible claim is metaphysical compatibility and renewed openness, not laboratory proof.</w:t>
      </w:r>
    </w:p>
    <w:bookmarkEnd w:id="89"/>
    <w:bookmarkStart w:id="90" w:name="X025e4fe910fa167e8ee057717e6cacc88c7eb5b"/>
    <w:p>
      <w:pPr>
        <w:pStyle w:val="Heading3"/>
        <w:keepNext/>
      </w:pPr>
      <w:r>
        <w:t xml:space="preserve">Objection 4:</w:t>
      </w:r>
      <w:r>
        <w:t xml:space="preserve"> </w:t>
      </w:r>
      <w:r>
        <w:t xml:space="preserve">“</w:t>
      </w:r>
      <w:r>
        <w:t xml:space="preserve">subjected for you</w:t>
      </w:r>
      <w:r>
        <w:t xml:space="preserve">”</w:t>
      </w:r>
      <w:r>
        <w:t xml:space="preserve"> </w:t>
      </w:r>
      <w:r>
        <w:t xml:space="preserve">licenses exploitation</w:t>
      </w:r>
    </w:p>
    <w:p>
      <w:pPr>
        <w:pStyle w:val="FirstParagraph"/>
      </w:pPr>
      <w:r>
        <w:t xml:space="preserve">Verse 34 blocks that reading. Power without gratitude becomes injustice. A river is not</w:t>
      </w:r>
      <w:r>
        <w:t xml:space="preserve"> </w:t>
      </w:r>
      <w:r>
        <w:t xml:space="preserve">“</w:t>
      </w:r>
      <w:r>
        <w:t xml:space="preserve">for us</w:t>
      </w:r>
      <w:r>
        <w:t xml:space="preserve">”</w:t>
      </w:r>
      <w:r>
        <w:t xml:space="preserve"> </w:t>
      </w:r>
      <w:r>
        <w:t xml:space="preserve">if use destroys its capacity to support downstream people and other creatures. Qur’anic benefit is held within accountability to the giver, the neighbor, and the integrity of creation.</w:t>
      </w:r>
    </w:p>
    <w:bookmarkEnd w:id="90"/>
    <w:bookmarkStart w:id="91" w:name="objection-5-dependence-leads-to-fatalism"/>
    <w:p>
      <w:pPr>
        <w:pStyle w:val="Heading3"/>
        <w:keepNext/>
      </w:pPr>
      <w:r>
        <w:t xml:space="preserve">Objection 5: dependence leads to fatalism</w:t>
      </w:r>
    </w:p>
    <w:p>
      <w:pPr>
        <w:pStyle w:val="FirstParagraph"/>
      </w:pPr>
      <w:r>
        <w:t xml:space="preserve">The passage itself refutes fatalism. Ships are built and sailed; rivers are used; fruit is cultivated; Abraham prays and acts. Human agency is finite rather than fictitious. The theological question concerns ultimacy, not whether human choices have moral meaning within created order.</w:t>
      </w:r>
    </w:p>
    <w:bookmarkEnd w:id="91"/>
    <w:bookmarkEnd w:id="92"/>
    <w:bookmarkStart w:id="93" w:name="X3a12323a728097a5bffe944533eb2f3a3ec7eb1"/>
    <w:p>
      <w:pPr>
        <w:pStyle w:val="Heading2"/>
        <w:keepNext/>
      </w:pPr>
      <w:r>
        <w:t xml:space="preserve">12. Scientific and spiritual correspondences at a glance</w:t>
      </w:r>
    </w:p>
    <w:p>
      <w:pPr>
        <w:pStyle w:val="BodyText"/>
        <w:jc w:val="left"/>
      </w:pPr>
      <w:r>
        <w:rPr>
          <w:bCs/>
          <w:b/>
        </w:rPr>
        <w:t xml:space="preserve">Water descends; fruit emerges</w:t>
      </w:r>
      <w:r>
        <w:br/>
      </w:r>
      <w:r>
        <w:rPr>
          <w:iCs/>
          <w:i/>
        </w:rPr>
        <w:t xml:space="preserve">Scientific disclosure:</w:t>
      </w:r>
      <w:r>
        <w:t xml:space="preserve"> </w:t>
      </w:r>
      <w:r>
        <w:t xml:space="preserve">Hydrologic cycle, photosynthesis, soil and ecological networks</w:t>
      </w:r>
      <w:r>
        <w:br/>
      </w:r>
      <w:r>
        <w:rPr>
          <w:iCs/>
          <w:i/>
        </w:rPr>
        <w:t xml:space="preserve">Philosophical question:</w:t>
      </w:r>
      <w:r>
        <w:t xml:space="preserve"> </w:t>
      </w:r>
      <w:r>
        <w:t xml:space="preserve">Is a causal chain self-explanatory?</w:t>
      </w:r>
      <w:r>
        <w:br/>
      </w:r>
      <w:r>
        <w:rPr>
          <w:iCs/>
          <w:i/>
        </w:rPr>
        <w:t xml:space="preserve">Theological-ethical reading:</w:t>
      </w:r>
      <w:r>
        <w:t xml:space="preserve"> </w:t>
      </w:r>
      <w:r>
        <w:t xml:space="preserve">Provision through ordered means; gratitude and food justice</w:t>
      </w:r>
    </w:p>
    <w:p>
      <w:pPr>
        <w:pStyle w:val="BodyText"/>
        <w:jc w:val="left"/>
      </w:pPr>
      <w:r>
        <w:rPr>
          <w:bCs/>
          <w:b/>
        </w:rPr>
        <w:t xml:space="preserve">Rivers are made serviceable</w:t>
      </w:r>
      <w:r>
        <w:br/>
      </w:r>
      <w:r>
        <w:rPr>
          <w:iCs/>
          <w:i/>
        </w:rPr>
        <w:t xml:space="preserve">Scientific disclosure:</w:t>
      </w:r>
      <w:r>
        <w:t xml:space="preserve"> </w:t>
      </w:r>
      <w:r>
        <w:t xml:space="preserve">Gravity-driven open-channel flow; infrastructure and watersheds</w:t>
      </w:r>
      <w:r>
        <w:br/>
      </w:r>
      <w:r>
        <w:rPr>
          <w:iCs/>
          <w:i/>
        </w:rPr>
        <w:t xml:space="preserve">Philosophical question:</w:t>
      </w:r>
      <w:r>
        <w:t xml:space="preserve"> </w:t>
      </w:r>
      <w:r>
        <w:t xml:space="preserve">Does usability imply ownership?</w:t>
      </w:r>
      <w:r>
        <w:br/>
      </w:r>
      <w:r>
        <w:rPr>
          <w:iCs/>
          <w:i/>
        </w:rPr>
        <w:t xml:space="preserve">Theological-ethical reading:</w:t>
      </w:r>
      <w:r>
        <w:t xml:space="preserve"> </w:t>
      </w:r>
      <w:r>
        <w:t xml:space="preserve">Stewardship, shared benefit, restraint</w:t>
      </w:r>
    </w:p>
    <w:p>
      <w:pPr>
        <w:pStyle w:val="BodyText"/>
        <w:jc w:val="left"/>
      </w:pPr>
      <w:r>
        <w:rPr>
          <w:bCs/>
          <w:b/>
        </w:rPr>
        <w:t xml:space="preserve">Ships sail by command</w:t>
      </w:r>
      <w:r>
        <w:br/>
      </w:r>
      <w:r>
        <w:rPr>
          <w:iCs/>
          <w:i/>
        </w:rPr>
        <w:t xml:space="preserve">Scientific disclosure:</w:t>
      </w:r>
      <w:r>
        <w:t xml:space="preserve"> </w:t>
      </w:r>
      <w:r>
        <w:t xml:space="preserve">Buoyancy, hull design, stability, propulsion, navigation</w:t>
      </w:r>
      <w:r>
        <w:br/>
      </w:r>
      <w:r>
        <w:rPr>
          <w:iCs/>
          <w:i/>
        </w:rPr>
        <w:t xml:space="preserve">Philosophical question:</w:t>
      </w:r>
      <w:r>
        <w:t xml:space="preserve"> </w:t>
      </w:r>
      <w:r>
        <w:t xml:space="preserve">How do craft and natural order cooperate?</w:t>
      </w:r>
      <w:r>
        <w:br/>
      </w:r>
      <w:r>
        <w:rPr>
          <w:iCs/>
          <w:i/>
        </w:rPr>
        <w:t xml:space="preserve">Theological-ethical reading:</w:t>
      </w:r>
      <w:r>
        <w:t xml:space="preserve"> </w:t>
      </w:r>
      <w:r>
        <w:t xml:space="preserve">Human skill inside dependence</w:t>
      </w:r>
    </w:p>
    <w:p>
      <w:pPr>
        <w:pStyle w:val="BodyText"/>
        <w:jc w:val="left"/>
      </w:pPr>
      <w:r>
        <w:rPr>
          <w:bCs/>
          <w:b/>
        </w:rPr>
        <w:t xml:space="preserve">Sun and moon persist</w:t>
      </w:r>
      <w:r>
        <w:br/>
      </w:r>
      <w:r>
        <w:rPr>
          <w:iCs/>
          <w:i/>
        </w:rPr>
        <w:t xml:space="preserve">Scientific disclosure:</w:t>
      </w:r>
      <w:r>
        <w:t xml:space="preserve"> </w:t>
      </w:r>
      <w:r>
        <w:t xml:space="preserve">Radiation, orbital regularity, tides, calendars</w:t>
      </w:r>
      <w:r>
        <w:br/>
      </w:r>
      <w:r>
        <w:rPr>
          <w:iCs/>
          <w:i/>
        </w:rPr>
        <w:t xml:space="preserve">Philosophical question:</w:t>
      </w:r>
      <w:r>
        <w:t xml:space="preserve"> </w:t>
      </w:r>
      <w:r>
        <w:t xml:space="preserve">Why is nature lawlike and intelligible?</w:t>
      </w:r>
      <w:r>
        <w:br/>
      </w:r>
      <w:r>
        <w:rPr>
          <w:iCs/>
          <w:i/>
        </w:rPr>
        <w:t xml:space="preserve">Theological-ethical reading:</w:t>
      </w:r>
      <w:r>
        <w:t xml:space="preserve"> </w:t>
      </w:r>
      <w:r>
        <w:t xml:space="preserve">Stable divine custom; temporal discipline</w:t>
      </w:r>
    </w:p>
    <w:p>
      <w:pPr>
        <w:pStyle w:val="BodyText"/>
        <w:jc w:val="left"/>
      </w:pPr>
      <w:r>
        <w:rPr>
          <w:bCs/>
          <w:b/>
        </w:rPr>
        <w:t xml:space="preserve">Night and day serve</w:t>
      </w:r>
      <w:r>
        <w:br/>
      </w:r>
      <w:r>
        <w:rPr>
          <w:iCs/>
          <w:i/>
        </w:rPr>
        <w:t xml:space="preserve">Scientific disclosure:</w:t>
      </w:r>
      <w:r>
        <w:t xml:space="preserve"> </w:t>
      </w:r>
      <w:r>
        <w:t xml:space="preserve">Earth’s rotation; circadian entrainment</w:t>
      </w:r>
      <w:r>
        <w:br/>
      </w:r>
      <w:r>
        <w:rPr>
          <w:iCs/>
          <w:i/>
        </w:rPr>
        <w:t xml:space="preserve">Philosophical question:</w:t>
      </w:r>
      <w:r>
        <w:t xml:space="preserve"> </w:t>
      </w:r>
      <w:r>
        <w:t xml:space="preserve">Is rest part of flourishing?</w:t>
      </w:r>
      <w:r>
        <w:br/>
      </w:r>
      <w:r>
        <w:rPr>
          <w:iCs/>
          <w:i/>
        </w:rPr>
        <w:t xml:space="preserve">Theological-ethical reading:</w:t>
      </w:r>
      <w:r>
        <w:t xml:space="preserve"> </w:t>
      </w:r>
      <w:r>
        <w:t xml:space="preserve">Limits, rhythm, worship, bodily trust</w:t>
      </w:r>
    </w:p>
    <w:p>
      <w:pPr>
        <w:pStyle w:val="BodyText"/>
        <w:jc w:val="left"/>
      </w:pPr>
      <w:r>
        <w:rPr>
          <w:bCs/>
          <w:b/>
        </w:rPr>
        <w:t xml:space="preserve">Favor cannot be counted</w:t>
      </w:r>
      <w:r>
        <w:br/>
      </w:r>
      <w:r>
        <w:rPr>
          <w:iCs/>
          <w:i/>
        </w:rPr>
        <w:t xml:space="preserve">Scientific disclosure:</w:t>
      </w:r>
      <w:r>
        <w:t xml:space="preserve"> </w:t>
      </w:r>
      <w:r>
        <w:t xml:space="preserve">Nested systems and enabling conditions</w:t>
      </w:r>
      <w:r>
        <w:br/>
      </w:r>
      <w:r>
        <w:rPr>
          <w:iCs/>
          <w:i/>
        </w:rPr>
        <w:t xml:space="preserve">Philosophical question:</w:t>
      </w:r>
      <w:r>
        <w:t xml:space="preserve"> </w:t>
      </w:r>
      <w:r>
        <w:t xml:space="preserve">Can the receiver stand outside the gift?</w:t>
      </w:r>
      <w:r>
        <w:br/>
      </w:r>
      <w:r>
        <w:rPr>
          <w:iCs/>
          <w:i/>
        </w:rPr>
        <w:t xml:space="preserve">Theological-ethical reading:</w:t>
      </w:r>
      <w:r>
        <w:t xml:space="preserve"> </w:t>
      </w:r>
      <w:r>
        <w:t xml:space="preserve">Humility, justice, gratitude</w:t>
      </w:r>
    </w:p>
    <w:p>
      <w:pPr>
        <w:pStyle w:val="BodyText"/>
        <w:jc w:val="left"/>
      </w:pPr>
      <w:r>
        <w:rPr>
          <w:bCs/>
          <w:b/>
        </w:rPr>
        <w:t xml:space="preserve">Abraham asks for security</w:t>
      </w:r>
      <w:r>
        <w:br/>
      </w:r>
      <w:r>
        <w:rPr>
          <w:iCs/>
          <w:i/>
        </w:rPr>
        <w:t xml:space="preserve">Scientific disclosure:</w:t>
      </w:r>
      <w:r>
        <w:t xml:space="preserve"> </w:t>
      </w:r>
      <w:r>
        <w:t xml:space="preserve">Institutions, ecology, water and food systems</w:t>
      </w:r>
      <w:r>
        <w:br/>
      </w:r>
      <w:r>
        <w:rPr>
          <w:iCs/>
          <w:i/>
        </w:rPr>
        <w:t xml:space="preserve">Philosophical question:</w:t>
      </w:r>
      <w:r>
        <w:t xml:space="preserve"> </w:t>
      </w:r>
      <w:r>
        <w:t xml:space="preserve">Can political order guarantee itself?</w:t>
      </w:r>
      <w:r>
        <w:br/>
      </w:r>
      <w:r>
        <w:rPr>
          <w:iCs/>
          <w:i/>
        </w:rPr>
        <w:t xml:space="preserve">Theological-ethical reading:</w:t>
      </w:r>
      <w:r>
        <w:t xml:space="preserve"> </w:t>
      </w:r>
      <w:r>
        <w:t xml:space="preserve">Prayer joined to responsible action</w:t>
      </w:r>
    </w:p>
    <w:p>
      <w:pPr>
        <w:pStyle w:val="BodyText"/>
        <w:jc w:val="left"/>
      </w:pPr>
      <w:r>
        <w:rPr>
          <w:bCs/>
          <w:b/>
        </w:rPr>
        <w:t xml:space="preserve">Protection from idols</w:t>
      </w:r>
      <w:r>
        <w:br/>
      </w:r>
      <w:r>
        <w:rPr>
          <w:iCs/>
          <w:i/>
        </w:rPr>
        <w:t xml:space="preserve">Scientific disclosure:</w:t>
      </w:r>
      <w:r>
        <w:t xml:space="preserve"> </w:t>
      </w:r>
      <w:r>
        <w:t xml:space="preserve">Psychology of attachment and ultimate concern</w:t>
      </w:r>
      <w:r>
        <w:br/>
      </w:r>
      <w:r>
        <w:rPr>
          <w:iCs/>
          <w:i/>
        </w:rPr>
        <w:t xml:space="preserve">Philosophical question:</w:t>
      </w:r>
      <w:r>
        <w:t xml:space="preserve"> </w:t>
      </w:r>
      <w:r>
        <w:t xml:space="preserve">What receives unconditional trust?</w:t>
      </w:r>
      <w:r>
        <w:br/>
      </w:r>
      <w:r>
        <w:rPr>
          <w:iCs/>
          <w:i/>
        </w:rPr>
        <w:t xml:space="preserve">Theological-ethical reading:</w:t>
      </w:r>
      <w:r>
        <w:t xml:space="preserve"> </w:t>
      </w:r>
      <w:r>
        <w:t xml:space="preserve">Tawḥīd; refusal to absolutize created power</w:t>
      </w:r>
    </w:p>
    <w:bookmarkEnd w:id="93"/>
    <w:bookmarkStart w:id="94" w:name="Xde6358aad718ee5195f2b0eaead006195ff9ff9"/>
    <w:p>
      <w:pPr>
        <w:pStyle w:val="Heading2"/>
        <w:keepNext/>
      </w:pPr>
      <w:r>
        <w:t xml:space="preserve">13. Theological synthesis: creation as sign, law, and address</w:t>
      </w:r>
    </w:p>
    <w:p>
      <w:pPr>
        <w:pStyle w:val="FirstParagraph"/>
      </w:pPr>
      <w:r>
        <w:t xml:space="preserve">Three theological insights gather the passage.</w:t>
      </w:r>
    </w:p>
    <w:p>
      <w:pPr>
        <w:pStyle w:val="BodyText"/>
      </w:pPr>
      <w:r>
        <w:t xml:space="preserve">First, creation is sign. A sign is neither opaque matter nor an equation with</w:t>
      </w:r>
      <w:r>
        <w:t xml:space="preserve"> </w:t>
      </w:r>
      <w:r>
        <w:t xml:space="preserve">“</w:t>
      </w:r>
      <w:r>
        <w:t xml:space="preserve">God</w:t>
      </w:r>
      <w:r>
        <w:t xml:space="preserve">”</w:t>
      </w:r>
      <w:r>
        <w:t xml:space="preserve"> </w:t>
      </w:r>
      <w:r>
        <w:t xml:space="preserve">substituted for an unknown. It is a reality whose intelligibility points beyond itself. Water remains water; its sign-character is perceived when its existence, order, usefulness, beauty, contingency, and moral distribution are seen together.</w:t>
      </w:r>
    </w:p>
    <w:p>
      <w:pPr>
        <w:pStyle w:val="BodyText"/>
      </w:pPr>
      <w:r>
        <w:t xml:space="preserve">Second, creation is lawlike gift. Divine command is not opposed to regularity. The command is encountered through dependable properties: water’s density, gravity’s reach, the sun’s radiation, biological metabolism, the recurrence of day and night. The believer need not fear explanation. Every increase in truthful explanation can deepen knowledge of the gift’s articulation.</w:t>
      </w:r>
    </w:p>
    <w:p>
      <w:pPr>
        <w:pStyle w:val="BodyText"/>
      </w:pPr>
      <w:r>
        <w:t xml:space="preserve">Third, creation addresses the will. The passage does not end with a theory. It ends with Abraham’s prayer. Knowledge of rain and buoyancy must become gratitude; mastery must become stewardship; vulnerability must become patience; regularity must become trust; and awareness of dependence must become refusal of idols.</w:t>
      </w:r>
    </w:p>
    <w:bookmarkEnd w:id="94"/>
    <w:bookmarkStart w:id="95" w:name="thematic-epilogue-from-river-to-prayer"/>
    <w:p>
      <w:pPr>
        <w:pStyle w:val="Heading2"/>
        <w:keepNext/>
      </w:pPr>
      <w:r>
        <w:t xml:space="preserve">Thematic epilogue: from river to prayer</w:t>
      </w:r>
    </w:p>
    <w:p>
      <w:pPr>
        <w:pStyle w:val="FirstParagraph"/>
      </w:pPr>
      <w:r>
        <w:t xml:space="preserve">The verses begin above us—in the heavens—and arrive within us, at the threshold of worship. Water falls, fruit rises, rivers run, ships cross, the sun and moon persist, night folds into day, and the mind fails to count what sustains it. Then Abraham speaks.</w:t>
      </w:r>
    </w:p>
    <w:p>
      <w:pPr>
        <w:pStyle w:val="BodyText"/>
      </w:pPr>
      <w:r>
        <w:t xml:space="preserve">That final movement is the passage’s deepest commentary. The world does not become less divine when its mechanisms are known. Archimedes’ principle does not displace</w:t>
      </w:r>
      <w:r>
        <w:t xml:space="preserve"> </w:t>
      </w:r>
      <w:r>
        <w:t xml:space="preserve">“</w:t>
      </w:r>
      <w:r>
        <w:t xml:space="preserve">by His command</w:t>
      </w:r>
      <w:r>
        <w:t xml:space="preserve">”</w:t>
      </w:r>
      <w:r>
        <w:t xml:space="preserve">; it gives exact form to one strand of the commanded order. Meteorology does not silence the sign of wind; it discloses pressure, heat, moisture, rotation, and flow as an astonishingly coordinated medium of mercy, motion, and danger. Hydrology does not explain rain away; it shows that every drop belongs to a planetary circulation that no individual owns.</w:t>
      </w:r>
    </w:p>
    <w:p>
      <w:pPr>
        <w:pStyle w:val="BodyText"/>
      </w:pPr>
      <w:r>
        <w:t xml:space="preserve">Occasionalism names one rigorous way of refusing the idolatry of mechanism. Its enduring insight is that regular sequence is not self-subsistence, description is not sovereignty, and created power is not God. Zia H. Shah’s</w:t>
      </w:r>
      <w:r>
        <w:t xml:space="preserve"> </w:t>
      </w:r>
      <w:r>
        <w:t xml:space="preserve">“</w:t>
      </w:r>
      <w:r>
        <w:t xml:space="preserve">Inshallah universe</w:t>
      </w:r>
      <w:r>
        <w:t xml:space="preserve">”</w:t>
      </w:r>
      <w:r>
        <w:t xml:space="preserve"> </w:t>
      </w:r>
      <w:r>
        <w:t xml:space="preserve">translates this into contemporary idiom: the future is open to the will of the Sustainer, the laws are stable enough for science, and the self is responsible without being absolute. Its necessary discipline is humility: quantum theory does not prove theology; metaphysical analogies are not measurements; al-Ghazālī’s precise causal doctrine remains debated; and trust never licenses intellectual or practical negligence.</w:t>
      </w:r>
    </w:p>
    <w:p>
      <w:pPr>
        <w:pStyle w:val="BodyText"/>
      </w:pPr>
      <w:r>
        <w:t xml:space="preserve">A steel ship floats because it displaces its own weight of water. It reaches port because hull, load, crew, current, wind or engine, navigation, and weather cooperate. Human beings can calculate much of this and guarantee none of it absolutely. The Qur’anic answer is neither ignorance nor paralysis. Build well. Measure honestly. Read the wind. Protect the river. Share the fruit. Give thanks. Ask for a city secure enough for worship and a heart free enough not to worship what it has made.</w:t>
      </w:r>
    </w:p>
    <w:p>
      <w:pPr>
        <w:pStyle w:val="BodyText"/>
      </w:pPr>
      <w:r>
        <w:t xml:space="preserve">In that posture, science becomes attention, philosophy becomes humility, and theology becomes gratitude in action.</w:t>
      </w:r>
    </w:p>
    <w:bookmarkEnd w:id="95"/>
    <w:bookmarkStart w:id="122" w:name="selected-references-and-research-trail"/>
    <w:p>
      <w:pPr>
        <w:pStyle w:val="Heading2"/>
        <w:keepNext/>
        <w:pageBreakBefore/>
      </w:pPr>
      <w:r>
        <w:t xml:space="preserve">Selected references and research trail</w:t>
      </w:r>
    </w:p>
    <w:bookmarkStart w:id="112" w:name="quran-translation-and-exegesis"/>
    <w:p>
      <w:pPr>
        <w:pStyle w:val="Heading3"/>
        <w:keepNext/>
      </w:pPr>
      <w:r>
        <w:t xml:space="preserve">Qur’an, translation, and exegesis</w:t>
      </w:r>
    </w:p>
    <w:p>
      <w:pPr>
        <w:numPr>
          <w:ilvl w:val="0"/>
          <w:numId w:val="1004"/>
        </w:numPr>
        <w:pStyle w:val="BodyText"/>
        <w:jc w:val="left"/>
      </w:pPr>
      <w:r>
        <w:t xml:space="preserve">Quran.com.</w:t>
      </w:r>
      <w:r>
        <w:t xml:space="preserve"> </w:t>
      </w:r>
      <w:r>
        <w:rPr>
          <w:rStyle w:val="Hyperlink"/>
        </w:rPr>
        <w:t xml:space="preserve">Qur’an 14:32–35</w:t>
      </w:r>
      <w:r>
        <w:t xml:space="preserve">;</w:t>
      </w:r>
      <w:r>
        <w:t xml:space="preserve"> </w:t>
      </w:r>
      <w:r>
        <w:rPr>
          <w:rStyle w:val="Hyperlink"/>
        </w:rPr>
        <w:t xml:space="preserve">2:164</w:t>
      </w:r>
      <w:r>
        <w:t xml:space="preserve">;</w:t>
      </w:r>
      <w:r>
        <w:t xml:space="preserve"> </w:t>
      </w:r>
      <w:r>
        <w:rPr>
          <w:rStyle w:val="Hyperlink"/>
        </w:rPr>
        <w:t xml:space="preserve">7:57</w:t>
      </w:r>
      <w:r>
        <w:t xml:space="preserve">;</w:t>
      </w:r>
      <w:r>
        <w:t xml:space="preserve"> </w:t>
      </w:r>
      <w:r>
        <w:rPr>
          <w:rStyle w:val="Hyperlink"/>
        </w:rPr>
        <w:t xml:space="preserve">10:22</w:t>
      </w:r>
      <w:r>
        <w:t xml:space="preserve">;</w:t>
      </w:r>
      <w:r>
        <w:t xml:space="preserve"> </w:t>
      </w:r>
      <w:r>
        <w:rPr>
          <w:rStyle w:val="Hyperlink"/>
        </w:rPr>
        <w:t xml:space="preserve">15:22</w:t>
      </w:r>
      <w:r>
        <w:t xml:space="preserve">;</w:t>
      </w:r>
      <w:r>
        <w:t xml:space="preserve"> </w:t>
      </w:r>
      <w:r>
        <w:rPr>
          <w:rStyle w:val="Hyperlink"/>
        </w:rPr>
        <w:t xml:space="preserve">42:32–34</w:t>
      </w:r>
      <w:r>
        <w:t xml:space="preserve">;</w:t>
      </w:r>
      <w:r>
        <w:t xml:space="preserve"> </w:t>
      </w:r>
      <w:r>
        <w:rPr>
          <w:rStyle w:val="Hyperlink"/>
        </w:rPr>
        <w:t xml:space="preserve">51:41</w:t>
      </w:r>
      <w:r>
        <w:t xml:space="preserve">;</w:t>
      </w:r>
      <w:r>
        <w:t xml:space="preserve"> </w:t>
      </w:r>
      <w:r>
        <w:rPr>
          <w:rStyle w:val="Hyperlink"/>
        </w:rPr>
        <w:t xml:space="preserve">54:19</w:t>
      </w:r>
      <w:r>
        <w:t xml:space="preserve">.</w:t>
      </w:r>
      <w:r>
        <w:rPr>
          <w:rFonts w:ascii="Calibri" w:hAnsi="Calibri"/>
          <w:color w:val="65727E"/>
          <w:sz w:val="16"/>
        </w:rPr>
        <w:t xml:space="preserve"> — https://quran.com/ibrahim/32-35 · https://quran.com/al-baqarah/164 · https://quran.com/al-araf/57 · https://quran.com/yunus/22 · https://quran.com/al-hijr/22 · https://quran.com/ash-shuraa/32-34 · https://quran.com/adh-dhariyat/41 · https://quran.com/al-qamar/19</w:t>
      </w:r>
    </w:p>
    <w:p>
      <w:pPr>
        <w:numPr>
          <w:ilvl w:val="0"/>
          <w:numId w:val="1004"/>
        </w:numPr>
        <w:pStyle w:val="BodyText"/>
        <w:jc w:val="left"/>
      </w:pPr>
      <w:r>
        <w:t xml:space="preserve">IslamAwakened. Multi-translation pages for</w:t>
      </w:r>
      <w:r>
        <w:t xml:space="preserve"> </w:t>
      </w:r>
      <w:r>
        <w:rPr>
          <w:rStyle w:val="Hyperlink"/>
        </w:rPr>
        <w:t xml:space="preserve">14:32</w:t>
      </w:r>
      <w:r>
        <w:t xml:space="preserve">,</w:t>
      </w:r>
      <w:r>
        <w:t xml:space="preserve"> </w:t>
      </w:r>
      <w:r>
        <w:rPr>
          <w:rStyle w:val="Hyperlink"/>
        </w:rPr>
        <w:t xml:space="preserve">14:33</w:t>
      </w:r>
      <w:r>
        <w:t xml:space="preserve">,</w:t>
      </w:r>
      <w:r>
        <w:t xml:space="preserve"> </w:t>
      </w:r>
      <w:r>
        <w:rPr>
          <w:rStyle w:val="Hyperlink"/>
        </w:rPr>
        <w:t xml:space="preserve">14:34</w:t>
      </w:r>
      <w:r>
        <w:t xml:space="preserve">, and</w:t>
      </w:r>
      <w:r>
        <w:t xml:space="preserve"> </w:t>
      </w:r>
      <w:r>
        <w:rPr>
          <w:rStyle w:val="Hyperlink"/>
        </w:rPr>
        <w:t xml:space="preserve">14:35</w:t>
      </w:r>
      <w:r>
        <w:t xml:space="preserve">.</w:t>
      </w:r>
      <w:r>
        <w:rPr>
          <w:rFonts w:ascii="Calibri" w:hAnsi="Calibri"/>
          <w:color w:val="65727E"/>
          <w:sz w:val="16"/>
        </w:rPr>
        <w:t xml:space="preserve"> — https://islamawakened.org/quran/14/32/default.htm · https://islamawakened.org/quran/14/33/default.htm · https://islamawakened.org/quran/14/34/default.htm · https://islamawakened.org/quran/14/35/default.htm</w:t>
      </w:r>
    </w:p>
    <w:p>
      <w:pPr>
        <w:numPr>
          <w:ilvl w:val="0"/>
          <w:numId w:val="1004"/>
        </w:numPr>
        <w:pStyle w:val="BodyText"/>
        <w:jc w:val="left"/>
      </w:pPr>
      <w:r>
        <w:t xml:space="preserve">Quranic Arabic Corpus.</w:t>
      </w:r>
      <w:r>
        <w:t xml:space="preserve"> </w:t>
      </w:r>
      <w:r>
        <w:rPr>
          <w:rStyle w:val="Hyperlink"/>
        </w:rPr>
        <w:t xml:space="preserve">Word-by-word morphology, Qur’an 14</w:t>
      </w:r>
      <w:r>
        <w:t xml:space="preserve">.</w:t>
      </w:r>
      <w:r>
        <w:rPr>
          <w:rFonts w:ascii="Calibri" w:hAnsi="Calibri"/>
          <w:color w:val="65727E"/>
          <w:sz w:val="16"/>
        </w:rPr>
        <w:t xml:space="preserve"> — https://corpus.quran.com/wordbyword.jsp?chapter=14&amp;verse=32</w:t>
      </w:r>
    </w:p>
    <w:p>
      <w:pPr>
        <w:numPr>
          <w:ilvl w:val="0"/>
          <w:numId w:val="1004"/>
        </w:numPr>
        <w:pStyle w:val="BodyText"/>
        <w:jc w:val="left"/>
      </w:pPr>
      <w:r>
        <w:t xml:space="preserve">Ibn Kathir.</w:t>
      </w:r>
      <w:r>
        <w:t xml:space="preserve"> </w:t>
      </w:r>
      <w:r>
        <w:rPr>
          <w:rStyle w:val="Hyperlink"/>
        </w:rPr>
        <w:t xml:space="preserve">Tafsir of 14:32</w:t>
      </w:r>
      <w:r>
        <w:t xml:space="preserve"> </w:t>
      </w:r>
      <w:r>
        <w:t xml:space="preserve">and</w:t>
      </w:r>
      <w:r>
        <w:t xml:space="preserve"> </w:t>
      </w:r>
      <w:r>
        <w:rPr>
          <w:rStyle w:val="Hyperlink"/>
        </w:rPr>
        <w:t xml:space="preserve">14:35</w:t>
      </w:r>
      <w:r>
        <w:t xml:space="preserve">.</w:t>
      </w:r>
      <w:r>
        <w:rPr>
          <w:rFonts w:ascii="Calibri" w:hAnsi="Calibri"/>
          <w:color w:val="65727E"/>
          <w:sz w:val="16"/>
        </w:rPr>
        <w:t xml:space="preserve"> — https://www.alim.org/quran/tafsir/ibn-kathir/surah/14/32/ · https://www.alim.org/quran/tafsir/ibn-kathir/surah/14/35/</w:t>
      </w:r>
    </w:p>
    <w:p>
      <w:pPr>
        <w:numPr>
          <w:ilvl w:val="0"/>
          <w:numId w:val="1004"/>
        </w:numPr>
        <w:pStyle w:val="BodyText"/>
        <w:jc w:val="left"/>
      </w:pPr>
      <w:r>
        <w:t xml:space="preserve">Al-Tabari.</w:t>
      </w:r>
      <w:r>
        <w:t xml:space="preserve"> </w:t>
      </w:r>
      <w:r>
        <w:rPr>
          <w:rStyle w:val="Hyperlink"/>
        </w:rPr>
        <w:t xml:space="preserve">Tafsir of 14:34</w:t>
      </w:r>
      <w:r>
        <w:t xml:space="preserve"> </w:t>
      </w:r>
      <w:r>
        <w:t xml:space="preserve">and</w:t>
      </w:r>
      <w:r>
        <w:t xml:space="preserve"> </w:t>
      </w:r>
      <w:r>
        <w:rPr>
          <w:rStyle w:val="Hyperlink"/>
        </w:rPr>
        <w:t xml:space="preserve">14:35</w:t>
      </w:r>
      <w:r>
        <w:t xml:space="preserve">.</w:t>
      </w:r>
      <w:r>
        <w:rPr>
          <w:rFonts w:ascii="Calibri" w:hAnsi="Calibri"/>
          <w:color w:val="65727E"/>
          <w:sz w:val="16"/>
        </w:rPr>
        <w:t xml:space="preserve"> — https://tafseerquran.com/en/tafsir/14/34 · https://tafseerquran.com/en/tafsir/14/35</w:t>
      </w:r>
    </w:p>
    <w:p>
      <w:pPr>
        <w:numPr>
          <w:ilvl w:val="0"/>
          <w:numId w:val="1004"/>
        </w:numPr>
        <w:pStyle w:val="BodyText"/>
        <w:jc w:val="left"/>
      </w:pPr>
      <w:r>
        <w:t xml:space="preserve">Al-Qurtubi.</w:t>
      </w:r>
      <w:r>
        <w:t xml:space="preserve"> </w:t>
      </w:r>
      <w:r>
        <w:rPr>
          <w:rStyle w:val="Hyperlink"/>
        </w:rPr>
        <w:t xml:space="preserve">Tafsir of 14:32</w:t>
      </w:r>
      <w:r>
        <w:t xml:space="preserve">.</w:t>
      </w:r>
      <w:r>
        <w:rPr>
          <w:rFonts w:ascii="Calibri" w:hAnsi="Calibri"/>
          <w:color w:val="65727E"/>
          <w:sz w:val="16"/>
        </w:rPr>
        <w:t xml:space="preserve"> — https://quran.com/ibrahim/32/tafsirs/ar-tafseer-al-qurtubi</w:t>
      </w:r>
    </w:p>
    <w:p>
      <w:pPr>
        <w:numPr>
          <w:ilvl w:val="0"/>
          <w:numId w:val="1004"/>
        </w:numPr>
        <w:pStyle w:val="BodyText"/>
        <w:jc w:val="left"/>
      </w:pPr>
      <w:r>
        <w:t xml:space="preserve">Fakhr al-Din al-Razi.</w:t>
      </w:r>
      <w:r>
        <w:t xml:space="preserve"> </w:t>
      </w:r>
      <w:r>
        <w:rPr>
          <w:rStyle w:val="Hyperlink"/>
          <w:iCs/>
          <w:i/>
        </w:rPr>
        <w:t xml:space="preserve">Mafātīḥ al-ghayb</w:t>
      </w:r>
      <w:r>
        <w:rPr>
          <w:rStyle w:val="Hyperlink"/>
        </w:rPr>
        <w:t xml:space="preserve"> </w:t>
      </w:r>
      <w:r>
        <w:rPr>
          <w:rStyle w:val="Hyperlink"/>
        </w:rPr>
        <w:t xml:space="preserve">on 14:32–34</w:t>
      </w:r>
      <w:r>
        <w:t xml:space="preserve"> </w:t>
      </w:r>
      <w:r>
        <w:t xml:space="preserve">and</w:t>
      </w:r>
      <w:r>
        <w:t xml:space="preserve"> </w:t>
      </w:r>
      <w:r>
        <w:rPr>
          <w:rStyle w:val="Hyperlink"/>
        </w:rPr>
        <w:t xml:space="preserve">14:35</w:t>
      </w:r>
      <w:r>
        <w:t xml:space="preserve">.</w:t>
      </w:r>
      <w:r>
        <w:rPr>
          <w:rFonts w:ascii="Calibri" w:hAnsi="Calibri"/>
          <w:color w:val="65727E"/>
          <w:sz w:val="16"/>
        </w:rPr>
        <w:t xml:space="preserve"> — https://quran-tafsir.net/alrazy/sura14-aya32.html · https://quran-tafsir.net/alrazy/sura14-aya35.html</w:t>
      </w:r>
    </w:p>
    <w:p>
      <w:pPr>
        <w:numPr>
          <w:ilvl w:val="0"/>
          <w:numId w:val="1004"/>
        </w:numPr>
        <w:pStyle w:val="BodyText"/>
        <w:jc w:val="left"/>
      </w:pPr>
      <w:r>
        <w:t xml:space="preserve">Maududi.</w:t>
      </w:r>
      <w:r>
        <w:t xml:space="preserve"> </w:t>
      </w:r>
      <w:r>
        <w:rPr>
          <w:rStyle w:val="Hyperlink"/>
        </w:rPr>
        <w:t xml:space="preserve">Tafhim al-Qur’an on 14:28–34</w:t>
      </w:r>
      <w:r>
        <w:t xml:space="preserve"> </w:t>
      </w:r>
      <w:r>
        <w:t xml:space="preserve">and</w:t>
      </w:r>
      <w:r>
        <w:t xml:space="preserve"> </w:t>
      </w:r>
      <w:r>
        <w:rPr>
          <w:rStyle w:val="Hyperlink"/>
        </w:rPr>
        <w:t xml:space="preserve">14:35–41</w:t>
      </w:r>
      <w:r>
        <w:t xml:space="preserve">.</w:t>
      </w:r>
      <w:r>
        <w:rPr>
          <w:rFonts w:ascii="Calibri" w:hAnsi="Calibri"/>
          <w:color w:val="65727E"/>
          <w:sz w:val="16"/>
        </w:rPr>
        <w:t xml:space="preserve"> — https://www.islamicstudies.info/tafheem.php?sura=14&amp;to=34&amp;verse=28 · https://www.islamicstudies.info/tafheem.php?sura=14&amp;to=41&amp;verse=35</w:t>
      </w:r>
    </w:p>
    <w:bookmarkEnd w:id="112"/>
    <w:bookmarkStart w:id="118" w:name="science-and-engineering"/>
    <w:p>
      <w:pPr>
        <w:pStyle w:val="Heading3"/>
        <w:keepNext/>
      </w:pPr>
      <w:r>
        <w:t xml:space="preserve">Science and engineering</w:t>
      </w:r>
    </w:p>
    <w:p>
      <w:pPr>
        <w:numPr>
          <w:ilvl w:val="0"/>
          <w:numId w:val="1005"/>
        </w:numPr>
        <w:pStyle w:val="BodyText"/>
        <w:jc w:val="left"/>
      </w:pPr>
      <w:r>
        <w:t xml:space="preserve">OpenStax.</w:t>
      </w:r>
      <w:r>
        <w:t xml:space="preserve"> </w:t>
      </w:r>
      <w:r>
        <w:rPr>
          <w:rStyle w:val="Hyperlink"/>
        </w:rPr>
        <w:t xml:space="preserve">“</w:t>
      </w:r>
      <w:r>
        <w:rPr>
          <w:rStyle w:val="Hyperlink"/>
        </w:rPr>
        <w:t xml:space="preserve">Archimedes’ Principle and Buoyancy,</w:t>
      </w:r>
      <w:r>
        <w:rPr>
          <w:rStyle w:val="Hyperlink"/>
        </w:rPr>
        <w:t xml:space="preserve">”</w:t>
      </w:r>
      <w:r>
        <w:rPr>
          <w:rStyle w:val="Hyperlink"/>
        </w:rPr>
        <w:t xml:space="preserve"> </w:t>
      </w:r>
      <w:r>
        <w:rPr>
          <w:rStyle w:val="Hyperlink"/>
          <w:iCs/>
          <w:i/>
        </w:rPr>
        <w:t xml:space="preserve">University Physics</w:t>
      </w:r>
      <w:r>
        <w:rPr>
          <w:rStyle w:val="Hyperlink"/>
        </w:rPr>
        <w:t xml:space="preserve">, vol. 1</w:t>
      </w:r>
      <w:r>
        <w:t xml:space="preserve">.</w:t>
      </w:r>
      <w:r>
        <w:rPr>
          <w:rFonts w:ascii="Calibri" w:hAnsi="Calibri"/>
          <w:color w:val="65727E"/>
          <w:sz w:val="16"/>
        </w:rPr>
        <w:t xml:space="preserve"> — https://openstax.org/books/university-physics-volume-1/pages/14-4-archimedes-principle-and-buoyancy</w:t>
      </w:r>
    </w:p>
    <w:p>
      <w:pPr>
        <w:numPr>
          <w:ilvl w:val="0"/>
          <w:numId w:val="1005"/>
        </w:numPr>
        <w:pStyle w:val="BodyText"/>
        <w:jc w:val="left"/>
      </w:pPr>
      <w:r>
        <w:t xml:space="preserve">Encyclopaedia Britannica.</w:t>
      </w:r>
      <w:r>
        <w:t xml:space="preserve"> </w:t>
      </w:r>
      <w:r>
        <w:rPr>
          <w:rStyle w:val="Hyperlink"/>
        </w:rPr>
        <w:t xml:space="preserve">“</w:t>
      </w:r>
      <w:r>
        <w:rPr>
          <w:rStyle w:val="Hyperlink"/>
        </w:rPr>
        <w:t xml:space="preserve">Archimedes’ principle</w:t>
      </w:r>
      <w:r>
        <w:rPr>
          <w:rStyle w:val="Hyperlink"/>
        </w:rPr>
        <w:t xml:space="preserve">”</w:t>
      </w:r>
      <w:r>
        <w:t xml:space="preserve">.</w:t>
      </w:r>
      <w:r>
        <w:rPr>
          <w:rFonts w:ascii="Calibri" w:hAnsi="Calibri"/>
          <w:color w:val="65727E"/>
          <w:sz w:val="16"/>
        </w:rPr>
        <w:t xml:space="preserve"> — https://www.britannica.com/science/Archimedes-principle</w:t>
      </w:r>
    </w:p>
    <w:p>
      <w:pPr>
        <w:numPr>
          <w:ilvl w:val="0"/>
          <w:numId w:val="1005"/>
        </w:numPr>
        <w:pStyle w:val="BodyText"/>
        <w:jc w:val="left"/>
      </w:pPr>
      <w:r>
        <w:t xml:space="preserve">International Maritime Organization.</w:t>
      </w:r>
      <w:r>
        <w:t xml:space="preserve"> </w:t>
      </w:r>
      <w:r>
        <w:rPr>
          <w:rStyle w:val="Hyperlink"/>
        </w:rPr>
        <w:t xml:space="preserve">“</w:t>
      </w:r>
      <w:r>
        <w:rPr>
          <w:rStyle w:val="Hyperlink"/>
        </w:rPr>
        <w:t xml:space="preserve">Ship Design and Stability</w:t>
      </w:r>
      <w:r>
        <w:rPr>
          <w:rStyle w:val="Hyperlink"/>
        </w:rPr>
        <w:t xml:space="preserve">”</w:t>
      </w:r>
      <w:r>
        <w:t xml:space="preserve">.</w:t>
      </w:r>
      <w:r>
        <w:rPr>
          <w:rFonts w:ascii="Calibri" w:hAnsi="Calibri"/>
          <w:color w:val="65727E"/>
          <w:sz w:val="16"/>
        </w:rPr>
        <w:t xml:space="preserve"> — https://www.imo.org/en/ourwork/safety/pages/shipdesignandstability-default.aspx</w:t>
      </w:r>
    </w:p>
    <w:p>
      <w:pPr>
        <w:numPr>
          <w:ilvl w:val="0"/>
          <w:numId w:val="1005"/>
        </w:numPr>
        <w:pStyle w:val="BodyText"/>
        <w:jc w:val="left"/>
      </w:pPr>
      <w:r>
        <w:t xml:space="preserve">Anderson, Bryon D.</w:t>
      </w:r>
      <w:r>
        <w:t xml:space="preserve"> </w:t>
      </w:r>
      <w:r>
        <w:rPr>
          <w:rStyle w:val="Hyperlink"/>
        </w:rPr>
        <w:t xml:space="preserve">“</w:t>
      </w:r>
      <w:r>
        <w:rPr>
          <w:rStyle w:val="Hyperlink"/>
        </w:rPr>
        <w:t xml:space="preserve">The Physics of Sailing,</w:t>
      </w:r>
      <w:r>
        <w:rPr>
          <w:rStyle w:val="Hyperlink"/>
        </w:rPr>
        <w:t xml:space="preserve">”</w:t>
      </w:r>
      <w:r>
        <w:rPr>
          <w:rStyle w:val="Hyperlink"/>
        </w:rPr>
        <w:t xml:space="preserve"> </w:t>
      </w:r>
      <w:r>
        <w:rPr>
          <w:rStyle w:val="Hyperlink"/>
          <w:iCs/>
          <w:i/>
        </w:rPr>
        <w:t xml:space="preserve">Physics Today</w:t>
      </w:r>
      <w:r>
        <w:rPr>
          <w:rStyle w:val="Hyperlink"/>
        </w:rPr>
        <w:t xml:space="preserve"> </w:t>
      </w:r>
      <w:r>
        <w:rPr>
          <w:rStyle w:val="Hyperlink"/>
        </w:rPr>
        <w:t xml:space="preserve">61, no. 2 (2008)</w:t>
      </w:r>
      <w:r>
        <w:t xml:space="preserve">.</w:t>
      </w:r>
      <w:r>
        <w:rPr>
          <w:rFonts w:ascii="Calibri" w:hAnsi="Calibri"/>
          <w:color w:val="65727E"/>
          <w:sz w:val="16"/>
        </w:rPr>
        <w:t xml:space="preserve"> — https://physicstoday.aip.org/features/the-physics-of-sailing</w:t>
      </w:r>
    </w:p>
    <w:p>
      <w:pPr>
        <w:numPr>
          <w:ilvl w:val="0"/>
          <w:numId w:val="1005"/>
        </w:numPr>
        <w:pStyle w:val="BodyText"/>
        <w:jc w:val="left"/>
      </w:pPr>
      <w:r>
        <w:t xml:space="preserve">US Geological Survey.</w:t>
      </w:r>
      <w:r>
        <w:t xml:space="preserve"> </w:t>
      </w:r>
      <w:r>
        <w:rPr>
          <w:rStyle w:val="Hyperlink"/>
        </w:rPr>
        <w:t xml:space="preserve">“</w:t>
      </w:r>
      <w:r>
        <w:rPr>
          <w:rStyle w:val="Hyperlink"/>
        </w:rPr>
        <w:t xml:space="preserve">Water Cycle</w:t>
      </w:r>
      <w:r>
        <w:rPr>
          <w:rStyle w:val="Hyperlink"/>
        </w:rPr>
        <w:t xml:space="preserve">”</w:t>
      </w:r>
      <w:r>
        <w:t xml:space="preserve">;</w:t>
      </w:r>
      <w:r>
        <w:t xml:space="preserve"> </w:t>
      </w:r>
      <w:r>
        <w:rPr>
          <w:rStyle w:val="Hyperlink"/>
        </w:rPr>
        <w:t xml:space="preserve">“</w:t>
      </w:r>
      <w:r>
        <w:rPr>
          <w:rStyle w:val="Hyperlink"/>
        </w:rPr>
        <w:t xml:space="preserve">Surface Runoff and the Water Cycle</w:t>
      </w:r>
      <w:r>
        <w:rPr>
          <w:rStyle w:val="Hyperlink"/>
        </w:rPr>
        <w:t xml:space="preserve">”</w:t>
      </w:r>
      <w:r>
        <w:t xml:space="preserve">;</w:t>
      </w:r>
      <w:r>
        <w:t xml:space="preserve"> </w:t>
      </w:r>
      <w:r>
        <w:rPr>
          <w:rStyle w:val="Hyperlink"/>
          <w:iCs/>
          <w:i/>
        </w:rPr>
        <w:t xml:space="preserve">Basic Hydraulic Principles of Open-Channel Flow</w:t>
      </w:r>
      <w:r>
        <w:t xml:space="preserve">.</w:t>
      </w:r>
      <w:r>
        <w:rPr>
          <w:rFonts w:ascii="Calibri" w:hAnsi="Calibri"/>
          <w:color w:val="65727E"/>
          <w:sz w:val="16"/>
        </w:rPr>
        <w:t xml:space="preserve"> — https://www.usgs.gov/water-science-school/water-cycle · https://www.usgs.gov/water-science-school/science/surface-runoff-and-water-cycle · https://www.usgs.gov/publications/basic-hydraulic-principles-open-channel-flow</w:t>
      </w:r>
    </w:p>
    <w:p>
      <w:pPr>
        <w:numPr>
          <w:ilvl w:val="0"/>
          <w:numId w:val="1005"/>
        </w:numPr>
        <w:pStyle w:val="BodyText"/>
        <w:jc w:val="left"/>
      </w:pPr>
      <w:r>
        <w:t xml:space="preserve">NASA Earth Observatory.</w:t>
      </w:r>
      <w:r>
        <w:t xml:space="preserve"> </w:t>
      </w:r>
      <w:r>
        <w:rPr>
          <w:rStyle w:val="Hyperlink"/>
        </w:rPr>
        <w:t xml:space="preserve">“</w:t>
      </w:r>
      <w:r>
        <w:rPr>
          <w:rStyle w:val="Hyperlink"/>
        </w:rPr>
        <w:t xml:space="preserve">The Water Cycle</w:t>
      </w:r>
      <w:r>
        <w:rPr>
          <w:rStyle w:val="Hyperlink"/>
        </w:rPr>
        <w:t xml:space="preserve">”</w:t>
      </w:r>
      <w:r>
        <w:t xml:space="preserve">.</w:t>
      </w:r>
      <w:r>
        <w:rPr>
          <w:rFonts w:ascii="Calibri" w:hAnsi="Calibri"/>
          <w:color w:val="65727E"/>
          <w:sz w:val="16"/>
        </w:rPr>
        <w:t xml:space="preserve"> — https://science.nasa.gov/earth/earth-observatory/the-water-cycle/</w:t>
      </w:r>
    </w:p>
    <w:p>
      <w:pPr>
        <w:numPr>
          <w:ilvl w:val="0"/>
          <w:numId w:val="1005"/>
        </w:numPr>
        <w:pStyle w:val="BodyText"/>
        <w:jc w:val="left"/>
      </w:pPr>
      <w:r>
        <w:t xml:space="preserve">US Army Corps of Engineers.</w:t>
      </w:r>
      <w:r>
        <w:t xml:space="preserve"> </w:t>
      </w:r>
      <w:r>
        <w:rPr>
          <w:rStyle w:val="Hyperlink"/>
        </w:rPr>
        <w:t xml:space="preserve">“</w:t>
      </w:r>
      <w:r>
        <w:rPr>
          <w:rStyle w:val="Hyperlink"/>
        </w:rPr>
        <w:t xml:space="preserve">Channel Flow: Basic Concepts, Equations, and Solution Techniques</w:t>
      </w:r>
      <w:r>
        <w:rPr>
          <w:rStyle w:val="Hyperlink"/>
        </w:rPr>
        <w:t xml:space="preserve">”</w:t>
      </w:r>
      <w:r>
        <w:t xml:space="preserve">.</w:t>
      </w:r>
      <w:r>
        <w:rPr>
          <w:rFonts w:ascii="Calibri" w:hAnsi="Calibri"/>
          <w:color w:val="65727E"/>
          <w:sz w:val="16"/>
        </w:rPr>
        <w:t xml:space="preserve"> — https://www.hec.usace.army.mil/confluence/hmsdocs/hmstrm/channel-flow/channel-flow-basic-concepts-equations-and-solution-techniques</w:t>
      </w:r>
    </w:p>
    <w:p>
      <w:pPr>
        <w:numPr>
          <w:ilvl w:val="0"/>
          <w:numId w:val="1005"/>
        </w:numPr>
        <w:pStyle w:val="BodyText"/>
        <w:jc w:val="left"/>
      </w:pPr>
      <w:r>
        <w:t xml:space="preserve">NOAA.</w:t>
      </w:r>
      <w:r>
        <w:t xml:space="preserve"> </w:t>
      </w:r>
      <w:r>
        <w:rPr>
          <w:rStyle w:val="Hyperlink"/>
        </w:rPr>
        <w:t xml:space="preserve">“</w:t>
      </w:r>
      <w:r>
        <w:rPr>
          <w:rStyle w:val="Hyperlink"/>
        </w:rPr>
        <w:t xml:space="preserve">What Causes Tides?</w:t>
      </w:r>
      <w:r>
        <w:rPr>
          <w:rStyle w:val="Hyperlink"/>
        </w:rPr>
        <w:t xml:space="preserve">”</w:t>
      </w:r>
      <w:r>
        <w:t xml:space="preserve"> </w:t>
      </w:r>
      <w:r>
        <w:t xml:space="preserve">and</w:t>
      </w:r>
      <w:r>
        <w:t xml:space="preserve"> </w:t>
      </w:r>
      <w:r>
        <w:rPr>
          <w:rStyle w:val="Hyperlink"/>
        </w:rPr>
        <w:t xml:space="preserve">“</w:t>
      </w:r>
      <w:r>
        <w:rPr>
          <w:rStyle w:val="Hyperlink"/>
        </w:rPr>
        <w:t xml:space="preserve">How Clouds Form</w:t>
      </w:r>
      <w:r>
        <w:rPr>
          <w:rStyle w:val="Hyperlink"/>
        </w:rPr>
        <w:t xml:space="preserve">”</w:t>
      </w:r>
      <w:r>
        <w:t xml:space="preserve">.</w:t>
      </w:r>
      <w:r>
        <w:rPr>
          <w:rFonts w:ascii="Calibri" w:hAnsi="Calibri"/>
          <w:color w:val="65727E"/>
          <w:sz w:val="16"/>
        </w:rPr>
        <w:t xml:space="preserve"> — https://www.nesdis.noaa.gov/about/k-12-education/oceans-coasts/what-causes-tides · https://www.noaa.gov/jetstream/clouds/how-clouds-form</w:t>
      </w:r>
    </w:p>
    <w:p>
      <w:pPr>
        <w:numPr>
          <w:ilvl w:val="0"/>
          <w:numId w:val="1005"/>
        </w:numPr>
        <w:pStyle w:val="BodyText"/>
        <w:jc w:val="left"/>
      </w:pPr>
      <w:r>
        <w:t xml:space="preserve">National Institute of General Medical Sciences.</w:t>
      </w:r>
      <w:r>
        <w:t xml:space="preserve"> </w:t>
      </w:r>
      <w:r>
        <w:rPr>
          <w:rStyle w:val="Hyperlink"/>
        </w:rPr>
        <w:t xml:space="preserve">“</w:t>
      </w:r>
      <w:r>
        <w:rPr>
          <w:rStyle w:val="Hyperlink"/>
        </w:rPr>
        <w:t xml:space="preserve">Circadian Rhythms</w:t>
      </w:r>
      <w:r>
        <w:rPr>
          <w:rStyle w:val="Hyperlink"/>
        </w:rPr>
        <w:t xml:space="preserve">”</w:t>
      </w:r>
      <w:r>
        <w:t xml:space="preserve">.</w:t>
      </w:r>
      <w:r>
        <w:rPr>
          <w:rFonts w:ascii="Calibri" w:hAnsi="Calibri"/>
          <w:color w:val="65727E"/>
          <w:sz w:val="16"/>
        </w:rPr>
        <w:t xml:space="preserve"> — https://www.nigms.nih.gov/education/fact-sheets/Pages/circadian-rhythms</w:t>
      </w:r>
    </w:p>
    <w:p>
      <w:pPr>
        <w:numPr>
          <w:ilvl w:val="0"/>
          <w:numId w:val="1005"/>
        </w:numPr>
        <w:pStyle w:val="BodyText"/>
        <w:jc w:val="left"/>
      </w:pPr>
      <w:r>
        <w:t xml:space="preserve">UCAR Center for Science Education.</w:t>
      </w:r>
      <w:r>
        <w:t xml:space="preserve"> </w:t>
      </w:r>
      <w:r>
        <w:rPr>
          <w:rStyle w:val="Hyperlink"/>
        </w:rPr>
        <w:t xml:space="preserve">“</w:t>
      </w:r>
      <w:r>
        <w:rPr>
          <w:rStyle w:val="Hyperlink"/>
        </w:rPr>
        <w:t xml:space="preserve">What Are Monsoons and Why Do They Happen?</w:t>
      </w:r>
      <w:r>
        <w:rPr>
          <w:rStyle w:val="Hyperlink"/>
        </w:rPr>
        <w:t xml:space="preserve">”</w:t>
      </w:r>
      <w:r>
        <w:t xml:space="preserve">.</w:t>
      </w:r>
      <w:r>
        <w:rPr>
          <w:rFonts w:ascii="Calibri" w:hAnsi="Calibri"/>
          <w:color w:val="65727E"/>
          <w:sz w:val="16"/>
        </w:rPr>
        <w:t xml:space="preserve"> — https://scied.ucar.edu/learning-zone/storms/monsoons</w:t>
      </w:r>
    </w:p>
    <w:p>
      <w:pPr>
        <w:numPr>
          <w:ilvl w:val="0"/>
          <w:numId w:val="1005"/>
        </w:numPr>
        <w:pStyle w:val="BodyText"/>
        <w:jc w:val="left"/>
      </w:pPr>
      <w:r>
        <w:t xml:space="preserve">International Maritime Organization.</w:t>
      </w:r>
      <w:r>
        <w:t xml:space="preserve"> </w:t>
      </w:r>
      <w:r>
        <w:rPr>
          <w:rStyle w:val="Hyperlink"/>
        </w:rPr>
        <w:t xml:space="preserve">“</w:t>
      </w:r>
      <w:r>
        <w:rPr>
          <w:rStyle w:val="Hyperlink"/>
        </w:rPr>
        <w:t xml:space="preserve">Ship Design and Stability</w:t>
      </w:r>
      <w:r>
        <w:rPr>
          <w:rStyle w:val="Hyperlink"/>
        </w:rPr>
        <w:t xml:space="preserve">”</w:t>
      </w:r>
      <w:r>
        <w:t xml:space="preserve">.</w:t>
      </w:r>
      <w:r>
        <w:rPr>
          <w:rFonts w:ascii="Calibri" w:hAnsi="Calibri"/>
          <w:color w:val="65727E"/>
          <w:sz w:val="16"/>
        </w:rPr>
        <w:t xml:space="preserve"> — https://www.imo.org/en/ourwork/safety/pages/shipdesignandstability-default.aspx</w:t>
      </w:r>
    </w:p>
    <w:bookmarkEnd w:id="118"/>
    <w:bookmarkStart w:id="121" w:name="philosophy-theology-and-occasionalism"/>
    <w:p>
      <w:pPr>
        <w:pStyle w:val="Heading3"/>
        <w:keepNext/>
      </w:pPr>
      <w:r>
        <w:t xml:space="preserve">Philosophy, theology, and occasionalism</w:t>
      </w:r>
    </w:p>
    <w:p>
      <w:pPr>
        <w:numPr>
          <w:ilvl w:val="0"/>
          <w:numId w:val="1006"/>
        </w:numPr>
        <w:pStyle w:val="BodyText"/>
        <w:jc w:val="left"/>
      </w:pPr>
      <w:r>
        <w:t xml:space="preserve">Stanford Encyclopedia of Philosophy.</w:t>
      </w:r>
      <w:r>
        <w:t xml:space="preserve"> </w:t>
      </w:r>
      <w:r>
        <w:rPr>
          <w:rStyle w:val="Hyperlink"/>
        </w:rPr>
        <w:t xml:space="preserve">“</w:t>
      </w:r>
      <w:r>
        <w:rPr>
          <w:rStyle w:val="Hyperlink"/>
        </w:rPr>
        <w:t xml:space="preserve">Occasionalism</w:t>
      </w:r>
      <w:r>
        <w:rPr>
          <w:rStyle w:val="Hyperlink"/>
        </w:rPr>
        <w:t xml:space="preserve">”</w:t>
      </w:r>
      <w:r>
        <w:t xml:space="preserve">;</w:t>
      </w:r>
      <w:r>
        <w:t xml:space="preserve"> </w:t>
      </w:r>
      <w:r>
        <w:rPr>
          <w:rStyle w:val="Hyperlink"/>
        </w:rPr>
        <w:t xml:space="preserve">“</w:t>
      </w:r>
      <w:r>
        <w:rPr>
          <w:rStyle w:val="Hyperlink"/>
        </w:rPr>
        <w:t xml:space="preserve">al-Ghazali</w:t>
      </w:r>
      <w:r>
        <w:rPr>
          <w:rStyle w:val="Hyperlink"/>
        </w:rPr>
        <w:t xml:space="preserve">”</w:t>
      </w:r>
      <w:r>
        <w:t xml:space="preserve">;</w:t>
      </w:r>
      <w:r>
        <w:t xml:space="preserve"> </w:t>
      </w:r>
      <w:r>
        <w:rPr>
          <w:rStyle w:val="Hyperlink"/>
        </w:rPr>
        <w:t xml:space="preserve">“</w:t>
      </w:r>
      <w:r>
        <w:rPr>
          <w:rStyle w:val="Hyperlink"/>
        </w:rPr>
        <w:t xml:space="preserve">Philosophical Issues in Quantum Theory</w:t>
      </w:r>
      <w:r>
        <w:rPr>
          <w:rStyle w:val="Hyperlink"/>
        </w:rPr>
        <w:t xml:space="preserve">”</w:t>
      </w:r>
      <w:r>
        <w:t xml:space="preserve">.</w:t>
      </w:r>
      <w:r>
        <w:rPr>
          <w:rFonts w:ascii="Calibri" w:hAnsi="Calibri"/>
          <w:color w:val="65727E"/>
          <w:sz w:val="16"/>
        </w:rPr>
        <w:t xml:space="preserve"> — https://plato.stanford.edu/entries/occasionalism/ · https://plato.stanford.edu/entries/al-ghazali/ · https://plato.stanford.edu/entries/qt-issues/index.html</w:t>
      </w:r>
    </w:p>
    <w:p>
      <w:pPr>
        <w:numPr>
          <w:ilvl w:val="0"/>
          <w:numId w:val="1006"/>
        </w:numPr>
        <w:pStyle w:val="BodyText"/>
        <w:jc w:val="left"/>
      </w:pPr>
      <w:r>
        <w:t xml:space="preserve">The Nobel Prize.</w:t>
      </w:r>
      <w:r>
        <w:t xml:space="preserve"> </w:t>
      </w:r>
      <w:r>
        <w:rPr>
          <w:rStyle w:val="Hyperlink"/>
        </w:rPr>
        <w:t xml:space="preserve">“</w:t>
      </w:r>
      <w:r>
        <w:rPr>
          <w:rStyle w:val="Hyperlink"/>
        </w:rPr>
        <w:t xml:space="preserve">The Nobel Prize in Physics 2022: Press Release</w:t>
      </w:r>
      <w:r>
        <w:rPr>
          <w:rStyle w:val="Hyperlink"/>
        </w:rPr>
        <w:t xml:space="preserve">”</w:t>
      </w:r>
      <w:r>
        <w:t xml:space="preserve">.</w:t>
      </w:r>
      <w:r>
        <w:rPr>
          <w:rFonts w:ascii="Calibri" w:hAnsi="Calibri"/>
          <w:color w:val="65727E"/>
          <w:sz w:val="16"/>
        </w:rPr>
        <w:t xml:space="preserve"> — https://www.nobelprize.org/prizes/physics/2022/press-release/</w:t>
      </w:r>
    </w:p>
    <w:p>
      <w:pPr>
        <w:numPr>
          <w:ilvl w:val="0"/>
          <w:numId w:val="1006"/>
        </w:numPr>
        <w:pStyle w:val="BodyText"/>
        <w:jc w:val="left"/>
      </w:pPr>
      <w:r>
        <w:t xml:space="preserve">Shah, Zia H., MD.</w:t>
      </w:r>
      <w:r>
        <w:t xml:space="preserve"> </w:t>
      </w:r>
      <w:r>
        <w:rPr>
          <w:rStyle w:val="Hyperlink"/>
        </w:rPr>
        <w:t xml:space="preserve">Occasionalism category</w:t>
      </w:r>
      <w:r>
        <w:t xml:space="preserve"> </w:t>
      </w:r>
      <w:r>
        <w:t xml:space="preserve">(four index pages accessed 29 August 2026).</w:t>
      </w:r>
      <w:r>
        <w:rPr>
          <w:rFonts w:ascii="Calibri" w:hAnsi="Calibri"/>
          <w:color w:val="65727E"/>
          <w:sz w:val="16"/>
        </w:rPr>
        <w:t xml:space="preserve"> — https://thequran.love/category/occasionalism/</w:t>
      </w:r>
    </w:p>
    <w:p>
      <w:pPr>
        <w:numPr>
          <w:ilvl w:val="0"/>
          <w:numId w:val="1006"/>
        </w:numPr>
        <w:pStyle w:val="BodyText"/>
        <w:jc w:val="left"/>
      </w:pPr>
      <w:r>
        <w:t xml:space="preserve">Shah, Zia H., MD.</w:t>
      </w:r>
      <w:r>
        <w:t xml:space="preserve"> </w:t>
      </w:r>
      <w:r>
        <w:rPr>
          <w:rStyle w:val="Hyperlink"/>
        </w:rPr>
        <w:t xml:space="preserve">“</w:t>
      </w:r>
      <w:r>
        <w:rPr>
          <w:rStyle w:val="Hyperlink"/>
        </w:rPr>
        <w:t xml:space="preserve">Dr. Zia H. Shah’s Occasionalism: A Comprehensive Synthesis</w:t>
      </w:r>
      <w:r>
        <w:rPr>
          <w:rStyle w:val="Hyperlink"/>
        </w:rPr>
        <w:t xml:space="preserve">”</w:t>
      </w:r>
      <w:r>
        <w:t xml:space="preserve">, 10 June 2026.</w:t>
      </w:r>
      <w:r>
        <w:rPr>
          <w:rFonts w:ascii="Calibri" w:hAnsi="Calibri"/>
          <w:color w:val="65727E"/>
          <w:sz w:val="16"/>
        </w:rPr>
        <w:t xml:space="preserve"> — https://thequran.love/2026/06/10/dr-zia-h-shahs-occasionalism-a-comprehensive-synthesis/</w:t>
      </w:r>
    </w:p>
    <w:p>
      <w:pPr>
        <w:numPr>
          <w:ilvl w:val="0"/>
          <w:numId w:val="1006"/>
        </w:numPr>
        <w:pStyle w:val="BodyText"/>
        <w:jc w:val="left"/>
      </w:pPr>
      <w:r>
        <w:t xml:space="preserve">Shah, Zia H., MD.</w:t>
      </w:r>
      <w:r>
        <w:t xml:space="preserve"> </w:t>
      </w:r>
      <w:r>
        <w:rPr>
          <w:rStyle w:val="Hyperlink"/>
        </w:rPr>
        <w:t xml:space="preserve">“</w:t>
      </w:r>
      <w:r>
        <w:rPr>
          <w:rStyle w:val="Hyperlink"/>
        </w:rPr>
        <w:t xml:space="preserve">The Ever-Present God: Al-Ghazālī’s Occasionalism as Presented by Zia H. Shah, MD</w:t>
      </w:r>
      <w:r>
        <w:rPr>
          <w:rStyle w:val="Hyperlink"/>
        </w:rPr>
        <w:t xml:space="preserve">”</w:t>
      </w:r>
      <w:r>
        <w:t xml:space="preserve">, 26 August 2026.</w:t>
      </w:r>
      <w:r>
        <w:rPr>
          <w:rFonts w:ascii="Calibri" w:hAnsi="Calibri"/>
          <w:color w:val="65727E"/>
          <w:sz w:val="16"/>
        </w:rPr>
        <w:t xml:space="preserve"> — https://thequran.love/2026/08/26/the-ever-present-god-al-ghazalis-occasionalism-as-presented-by-zia-h-shah-md-a-defense-of-divine-participation-without-denying-human-free-will/</w:t>
      </w:r>
    </w:p>
    <w:p>
      <w:pPr>
        <w:numPr>
          <w:ilvl w:val="0"/>
          <w:numId w:val="1006"/>
        </w:numPr>
        <w:pStyle w:val="BodyText"/>
        <w:jc w:val="left"/>
      </w:pPr>
      <w:r>
        <w:t xml:space="preserve">Shah, Zia H., MD.</w:t>
      </w:r>
      <w:r>
        <w:t xml:space="preserve"> </w:t>
      </w:r>
      <w:r>
        <w:rPr>
          <w:rStyle w:val="Hyperlink"/>
        </w:rPr>
        <w:t xml:space="preserve">“</w:t>
      </w:r>
      <w:r>
        <w:rPr>
          <w:rStyle w:val="Hyperlink"/>
        </w:rPr>
        <w:t xml:space="preserve">Al-Ghazali’s Occasionalism and Laws of Nature</w:t>
      </w:r>
      <w:r>
        <w:rPr>
          <w:rStyle w:val="Hyperlink"/>
        </w:rPr>
        <w:t xml:space="preserve">”</w:t>
      </w:r>
      <w:r>
        <w:t xml:space="preserve">, 8 August 2025.</w:t>
      </w:r>
      <w:r>
        <w:rPr>
          <w:rFonts w:ascii="Calibri" w:hAnsi="Calibri"/>
          <w:color w:val="65727E"/>
          <w:sz w:val="16"/>
        </w:rPr>
        <w:t xml:space="preserve"> — https://thequran.love/2025/08/08/al-ghazalis-occasionalism-and-laws-of-nature/</w:t>
      </w:r>
    </w:p>
    <w:p>
      <w:pPr>
        <w:numPr>
          <w:ilvl w:val="0"/>
          <w:numId w:val="1006"/>
        </w:numPr>
        <w:pStyle w:val="BodyText"/>
        <w:jc w:val="left"/>
      </w:pPr>
      <w:r>
        <w:t xml:space="preserve">Shah, Zia H., MD.</w:t>
      </w:r>
      <w:r>
        <w:t xml:space="preserve"> </w:t>
      </w:r>
      <w:r>
        <w:rPr>
          <w:rStyle w:val="Hyperlink"/>
        </w:rPr>
        <w:t xml:space="preserve">“</w:t>
      </w:r>
      <w:r>
        <w:rPr>
          <w:rStyle w:val="Hyperlink"/>
        </w:rPr>
        <w:t xml:space="preserve">God’s Control, Human Choice, and the Fabric of Reality</w:t>
      </w:r>
      <w:r>
        <w:rPr>
          <w:rStyle w:val="Hyperlink"/>
        </w:rPr>
        <w:t xml:space="preserve">”</w:t>
      </w:r>
      <w:r>
        <w:t xml:space="preserve">, 10 September 2025.</w:t>
      </w:r>
      <w:r>
        <w:rPr>
          <w:rFonts w:ascii="Calibri" w:hAnsi="Calibri"/>
          <w:color w:val="65727E"/>
          <w:sz w:val="16"/>
        </w:rPr>
        <w:t xml:space="preserve"> — https://thequran.love/2025/09/10/gods-control-human-choice-and-the-fabric-of-reality/</w:t>
      </w:r>
    </w:p>
    <w:p>
      <w:pPr>
        <w:numPr>
          <w:ilvl w:val="0"/>
          <w:numId w:val="1006"/>
        </w:numPr>
        <w:pStyle w:val="BodyText"/>
        <w:jc w:val="left"/>
      </w:pPr>
      <w:r>
        <w:t xml:space="preserve">Shah, Zia H., MD.</w:t>
      </w:r>
      <w:r>
        <w:t xml:space="preserve"> </w:t>
      </w:r>
      <w:r>
        <w:rPr>
          <w:rStyle w:val="Hyperlink"/>
        </w:rPr>
        <w:t xml:space="preserve">“</w:t>
      </w:r>
      <w:r>
        <w:rPr>
          <w:rStyle w:val="Hyperlink"/>
        </w:rPr>
        <w:t xml:space="preserve">The Breath of the Divine: A Thematic and Scientific Analysis of Wind in the Quran</w:t>
      </w:r>
      <w:r>
        <w:rPr>
          <w:rStyle w:val="Hyperlink"/>
        </w:rPr>
        <w:t xml:space="preserve">”</w:t>
      </w:r>
      <w:r>
        <w:t xml:space="preserve">, 15 January 2026.</w:t>
      </w:r>
      <w:r>
        <w:rPr>
          <w:rFonts w:ascii="Calibri" w:hAnsi="Calibri"/>
          <w:color w:val="65727E"/>
          <w:sz w:val="16"/>
        </w:rPr>
        <w:t xml:space="preserve"> — https://thequran.love/2026/01/15/the-breath-of-the-divine-a-thematic-and-scientific-analysis-of-wind-in-the-quran/</w:t>
      </w:r>
    </w:p>
    <w:p>
      <w:pPr>
        <w:numPr>
          <w:ilvl w:val="0"/>
          <w:numId w:val="1006"/>
        </w:numPr>
        <w:pStyle w:val="BodyText"/>
        <w:jc w:val="left"/>
      </w:pPr>
      <w:r>
        <w:t xml:space="preserve">United Nations Environment Programme.</w:t>
      </w:r>
      <w:r>
        <w:t xml:space="preserve"> </w:t>
      </w:r>
      <w:r>
        <w:rPr>
          <w:rStyle w:val="Hyperlink"/>
        </w:rPr>
        <w:t xml:space="preserve">“</w:t>
      </w:r>
      <w:r>
        <w:rPr>
          <w:rStyle w:val="Hyperlink"/>
        </w:rPr>
        <w:t xml:space="preserve">Al-Mizan: A Covenant for the Earth</w:t>
      </w:r>
      <w:r>
        <w:rPr>
          <w:rStyle w:val="Hyperlink"/>
        </w:rPr>
        <w:t xml:space="preserve">”</w:t>
      </w:r>
      <w:r>
        <w:t xml:space="preserve">.</w:t>
      </w:r>
      <w:r>
        <w:rPr>
          <w:rFonts w:ascii="Calibri" w:hAnsi="Calibri"/>
          <w:color w:val="65727E"/>
          <w:sz w:val="16"/>
        </w:rPr>
        <w:t xml:space="preserve"> — https://www.unep.org/al-mizan-covenant-earth</w:t>
      </w:r>
    </w:p>
    <w:bookmarkEnd w:id="121"/>
    <w:bookmarkEnd w:id="122"/>
    <w:bookmarkStart w:id="123" w:name="claim-to-source-ledger"/>
    <w:p>
      <w:pPr>
        <w:pStyle w:val="Heading2"/>
        <w:keepNext/>
      </w:pPr>
      <w:r>
        <w:t xml:space="preserve">Claim-to-source ledger</w:t>
      </w:r>
    </w:p>
    <w:p>
      <w:pPr>
        <w:pStyle w:val="BodyText"/>
        <w:jc w:val="left"/>
      </w:pPr>
      <w:r>
        <w:rPr>
          <w:bCs/>
          <w:b/>
        </w:rPr>
        <w:t xml:space="preserve">Arabic wording and six translations</w:t>
      </w:r>
      <w:r>
        <w:br/>
      </w:r>
      <w:r>
        <w:rPr>
          <w:iCs/>
          <w:i/>
        </w:rPr>
        <w:t xml:space="preserve">Primary support:</w:t>
      </w:r>
      <w:r>
        <w:t xml:space="preserve"> </w:t>
      </w:r>
      <w:r>
        <w:t xml:space="preserve">Quran.com; IslamAwakened translation pages</w:t>
      </w:r>
      <w:r>
        <w:br/>
      </w:r>
      <w:r>
        <w:rPr>
          <w:iCs/>
          <w:i/>
        </w:rPr>
        <w:t xml:space="preserve">Status / limitation:</w:t>
      </w:r>
      <w:r>
        <w:t xml:space="preserve"> </w:t>
      </w:r>
      <w:r>
        <w:t xml:space="preserve">Direct textual source; punctuation normalized minimally</w:t>
      </w:r>
    </w:p>
    <w:p>
      <w:pPr>
        <w:pStyle w:val="BodyText"/>
        <w:jc w:val="left"/>
      </w:pPr>
      <w:r>
        <w:rPr>
          <w:bCs/>
          <w:b/>
        </w:rPr>
        <w:t xml:space="preserve">Literary context links favor, gratitude, rivals, and Abrahamic prayer</w:t>
      </w:r>
      <w:r>
        <w:br/>
      </w:r>
      <w:r>
        <w:rPr>
          <w:iCs/>
          <w:i/>
        </w:rPr>
        <w:t xml:space="preserve">Primary support:</w:t>
      </w:r>
      <w:r>
        <w:t xml:space="preserve"> </w:t>
      </w:r>
      <w:r>
        <w:t xml:space="preserve">Qur’an 14:28–41; Ibn Kathir; Maududi; al-Tabari</w:t>
      </w:r>
      <w:r>
        <w:br/>
      </w:r>
      <w:r>
        <w:rPr>
          <w:iCs/>
          <w:i/>
        </w:rPr>
        <w:t xml:space="preserve">Status / limitation:</w:t>
      </w:r>
      <w:r>
        <w:t xml:space="preserve"> </w:t>
      </w:r>
      <w:r>
        <w:t xml:space="preserve">High-confidence contextual synthesis</w:t>
      </w:r>
    </w:p>
    <w:p>
      <w:pPr>
        <w:pStyle w:val="BodyText"/>
        <w:jc w:val="left"/>
      </w:pPr>
      <w:r>
        <w:rPr>
          <w:iCs/>
          <w:i/>
          <w:bCs/>
          <w:b/>
        </w:rPr>
        <w:t xml:space="preserve">Sakhkhara</w:t>
      </w:r>
      <w:r>
        <w:rPr>
          <w:bCs/>
          <w:b/>
        </w:rPr>
        <w:t xml:space="preserve"> </w:t>
      </w:r>
      <w:r>
        <w:rPr>
          <w:bCs/>
          <w:b/>
        </w:rPr>
        <w:t xml:space="preserve">means made serviceable/subservient</w:t>
      </w:r>
      <w:r>
        <w:br/>
      </w:r>
      <w:r>
        <w:rPr>
          <w:iCs/>
          <w:i/>
        </w:rPr>
        <w:t xml:space="preserve">Primary support:</w:t>
      </w:r>
      <w:r>
        <w:t xml:space="preserve"> </w:t>
      </w:r>
      <w:r>
        <w:t xml:space="preserve">Arabic morphology; translation convergence; classical tafsir</w:t>
      </w:r>
      <w:r>
        <w:br/>
      </w:r>
      <w:r>
        <w:rPr>
          <w:iCs/>
          <w:i/>
        </w:rPr>
        <w:t xml:space="preserve">Status / limitation:</w:t>
      </w:r>
      <w:r>
        <w:t xml:space="preserve"> </w:t>
      </w:r>
      <w:r>
        <w:t xml:space="preserve">Lexical range; ecological stewardship is a modern ethical application</w:t>
      </w:r>
    </w:p>
    <w:p>
      <w:pPr>
        <w:pStyle w:val="BodyText"/>
        <w:jc w:val="left"/>
      </w:pPr>
      <w:r>
        <w:rPr>
          <w:bCs/>
          <w:b/>
        </w:rPr>
        <w:t xml:space="preserve">Water cycle is powered chiefly by solar energy and gravity</w:t>
      </w:r>
      <w:r>
        <w:br/>
      </w:r>
      <w:r>
        <w:rPr>
          <w:iCs/>
          <w:i/>
        </w:rPr>
        <w:t xml:space="preserve">Primary support:</w:t>
      </w:r>
      <w:r>
        <w:t xml:space="preserve"> </w:t>
      </w:r>
      <w:r>
        <w:t xml:space="preserve">USGS; NASA Earth Observatory</w:t>
      </w:r>
      <w:r>
        <w:br/>
      </w:r>
      <w:r>
        <w:rPr>
          <w:iCs/>
          <w:i/>
        </w:rPr>
        <w:t xml:space="preserve">Status / limitation:</w:t>
      </w:r>
      <w:r>
        <w:t xml:space="preserve"> </w:t>
      </w:r>
      <w:r>
        <w:t xml:space="preserve">Scientific consensus; local hydrologic balances vary</w:t>
      </w:r>
    </w:p>
    <w:p>
      <w:pPr>
        <w:pStyle w:val="BodyText"/>
        <w:jc w:val="left"/>
      </w:pPr>
      <w:r>
        <w:rPr>
          <w:bCs/>
          <w:b/>
        </w:rPr>
        <w:t xml:space="preserve">Rivers are gravity-driven open-channel systems</w:t>
      </w:r>
      <w:r>
        <w:br/>
      </w:r>
      <w:r>
        <w:rPr>
          <w:iCs/>
          <w:i/>
        </w:rPr>
        <w:t xml:space="preserve">Primary support:</w:t>
      </w:r>
      <w:r>
        <w:t xml:space="preserve"> </w:t>
      </w:r>
      <w:r>
        <w:t xml:space="preserve">USGS; USACE</w:t>
      </w:r>
      <w:r>
        <w:br/>
      </w:r>
      <w:r>
        <w:rPr>
          <w:iCs/>
          <w:i/>
        </w:rPr>
        <w:t xml:space="preserve">Status / limitation:</w:t>
      </w:r>
      <w:r>
        <w:t xml:space="preserve"> </w:t>
      </w:r>
      <w:r>
        <w:t xml:space="preserve">High-confidence mechanics; simplified overview</w:t>
      </w:r>
    </w:p>
    <w:p>
      <w:pPr>
        <w:pStyle w:val="BodyText"/>
        <w:jc w:val="left"/>
      </w:pPr>
      <w:r>
        <w:rPr>
          <w:bCs/>
          <w:b/>
        </w:rPr>
        <w:t xml:space="preserve">Buoyant force equals displaced-fluid weight</w:t>
      </w:r>
      <w:r>
        <w:br/>
      </w:r>
      <w:r>
        <w:rPr>
          <w:iCs/>
          <w:i/>
        </w:rPr>
        <w:t xml:space="preserve">Primary support:</w:t>
      </w:r>
      <w:r>
        <w:t xml:space="preserve"> </w:t>
      </w:r>
      <w:r>
        <w:t xml:space="preserve">OpenStax; Britannica</w:t>
      </w:r>
      <w:r>
        <w:br/>
      </w:r>
      <w:r>
        <w:rPr>
          <w:iCs/>
          <w:i/>
        </w:rPr>
        <w:t xml:space="preserve">Status / limitation:</w:t>
      </w:r>
      <w:r>
        <w:t xml:space="preserve"> </w:t>
      </w:r>
      <w:r>
        <w:t xml:space="preserve">High-confidence;</w:t>
      </w:r>
      <w:r>
        <w:t xml:space="preserve"> </w:t>
      </w:r>
      <m:oMath>
        <m:r>
          <m:t>ρ</m:t>
        </m:r>
        <m:r>
          <m:t>V</m:t>
        </m:r>
        <m:r>
          <m:t>g</m:t>
        </m:r>
      </m:oMath>
      <w:r>
        <w:t xml:space="preserve"> </w:t>
      </w:r>
      <w:r>
        <w:t xml:space="preserve">assumes roughly uniform density and gravity</w:t>
      </w:r>
    </w:p>
    <w:p>
      <w:pPr>
        <w:pStyle w:val="BodyText"/>
        <w:jc w:val="left"/>
      </w:pPr>
      <w:r>
        <w:rPr>
          <w:bCs/>
          <w:b/>
        </w:rPr>
        <w:t xml:space="preserve">Steel ships float by displacement and overall average density</w:t>
      </w:r>
      <w:r>
        <w:br/>
      </w:r>
      <w:r>
        <w:rPr>
          <w:iCs/>
          <w:i/>
        </w:rPr>
        <w:t xml:space="preserve">Primary support:</w:t>
      </w:r>
      <w:r>
        <w:t xml:space="preserve"> </w:t>
      </w:r>
      <w:r>
        <w:t xml:space="preserve">OpenStax</w:t>
      </w:r>
      <w:r>
        <w:br/>
      </w:r>
      <w:r>
        <w:rPr>
          <w:iCs/>
          <w:i/>
        </w:rPr>
        <w:t xml:space="preserve">Status / limitation:</w:t>
      </w:r>
      <w:r>
        <w:t xml:space="preserve"> </w:t>
      </w:r>
      <w:r>
        <w:t xml:space="preserve">High-confidence; not sufficient for stability</w:t>
      </w:r>
    </w:p>
    <w:p>
      <w:pPr>
        <w:pStyle w:val="BodyText"/>
        <w:jc w:val="left"/>
      </w:pPr>
      <w:r>
        <w:rPr>
          <w:bCs/>
          <w:b/>
        </w:rPr>
        <w:t xml:space="preserve">Flotation differs from stability</w:t>
      </w:r>
      <w:r>
        <w:br/>
      </w:r>
      <w:r>
        <w:rPr>
          <w:iCs/>
          <w:i/>
        </w:rPr>
        <w:t xml:space="preserve">Primary support:</w:t>
      </w:r>
      <w:r>
        <w:t xml:space="preserve"> </w:t>
      </w:r>
      <w:r>
        <w:t xml:space="preserve">IMO</w:t>
      </w:r>
      <w:r>
        <w:br/>
      </w:r>
      <w:r>
        <w:rPr>
          <w:iCs/>
          <w:i/>
        </w:rPr>
        <w:t xml:space="preserve">Status / limitation:</w:t>
      </w:r>
      <w:r>
        <w:t xml:space="preserve"> </w:t>
      </w:r>
      <w:r>
        <w:t xml:space="preserve">High-confidence naval architecture</w:t>
      </w:r>
    </w:p>
    <w:p>
      <w:pPr>
        <w:pStyle w:val="BodyText"/>
        <w:jc w:val="left"/>
      </w:pPr>
      <w:r>
        <w:rPr>
          <w:bCs/>
          <w:b/>
        </w:rPr>
        <w:t xml:space="preserve">Sail propulsion differs from buoyant support</w:t>
      </w:r>
      <w:r>
        <w:br/>
      </w:r>
      <w:r>
        <w:rPr>
          <w:iCs/>
          <w:i/>
        </w:rPr>
        <w:t xml:space="preserve">Primary support:</w:t>
      </w:r>
      <w:r>
        <w:t xml:space="preserve"> </w:t>
      </w:r>
      <w:r>
        <w:t xml:space="preserve">Physics Today; OpenStax</w:t>
      </w:r>
      <w:r>
        <w:br/>
      </w:r>
      <w:r>
        <w:rPr>
          <w:iCs/>
          <w:i/>
        </w:rPr>
        <w:t xml:space="preserve">Status / limitation:</w:t>
      </w:r>
      <w:r>
        <w:t xml:space="preserve"> </w:t>
      </w:r>
      <w:r>
        <w:t xml:space="preserve">High-confidence; sailing regimes vary</w:t>
      </w:r>
    </w:p>
    <w:p>
      <w:pPr>
        <w:pStyle w:val="BodyText"/>
        <w:jc w:val="left"/>
      </w:pPr>
      <w:r>
        <w:rPr>
          <w:bCs/>
          <w:b/>
        </w:rPr>
        <w:t xml:space="preserve">Wind plurality/singularity is a tendency, not a rule</w:t>
      </w:r>
      <w:r>
        <w:br/>
      </w:r>
      <w:r>
        <w:rPr>
          <w:iCs/>
          <w:i/>
        </w:rPr>
        <w:t xml:space="preserve">Primary support:</w:t>
      </w:r>
      <w:r>
        <w:t xml:space="preserve"> </w:t>
      </w:r>
      <w:r>
        <w:t xml:space="preserve">Qur’an 7:57, 10:22, 34:12, 38:36, 42:33</w:t>
      </w:r>
      <w:r>
        <w:br/>
      </w:r>
      <w:r>
        <w:rPr>
          <w:iCs/>
          <w:i/>
        </w:rPr>
        <w:t xml:space="preserve">Status / limitation:</w:t>
      </w:r>
      <w:r>
        <w:t xml:space="preserve"> </w:t>
      </w:r>
      <w:r>
        <w:t xml:space="preserve">Direct counterexamples defeat an absolute rule</w:t>
      </w:r>
    </w:p>
    <w:p>
      <w:pPr>
        <w:pStyle w:val="BodyText"/>
        <w:jc w:val="left"/>
      </w:pPr>
      <w:r>
        <w:rPr>
          <w:bCs/>
          <w:b/>
        </w:rPr>
        <w:t xml:space="preserve">Al-Ghazālī criticizes necessary creaturely causation</w:t>
      </w:r>
      <w:r>
        <w:br/>
      </w:r>
      <w:r>
        <w:rPr>
          <w:iCs/>
          <w:i/>
        </w:rPr>
        <w:t xml:space="preserve">Primary support:</w:t>
      </w:r>
      <w:r>
        <w:t xml:space="preserve"> </w:t>
      </w:r>
      <w:r>
        <w:t xml:space="preserve">SEP Occasionalism and al-Ghazali</w:t>
      </w:r>
      <w:r>
        <w:br/>
      </w:r>
      <w:r>
        <w:rPr>
          <w:iCs/>
          <w:i/>
        </w:rPr>
        <w:t xml:space="preserve">Status / limitation:</w:t>
      </w:r>
      <w:r>
        <w:t xml:space="preserve"> </w:t>
      </w:r>
      <w:r>
        <w:t xml:space="preserve">High-confidence; global occasionalist reading remains disputed</w:t>
      </w:r>
    </w:p>
    <w:p>
      <w:pPr>
        <w:pStyle w:val="BodyText"/>
        <w:jc w:val="left"/>
      </w:pPr>
      <w:r>
        <w:rPr>
          <w:bCs/>
          <w:b/>
        </w:rPr>
        <w:t xml:space="preserve">Shah frames laws as divine habit and occasionalism as</w:t>
      </w:r>
      <w:r>
        <w:rPr>
          <w:bCs/>
          <w:b/>
        </w:rPr>
        <w:t xml:space="preserve"> </w:t>
      </w:r>
      <w:r>
        <w:rPr>
          <w:bCs/>
          <w:b/>
        </w:rPr>
        <w:t xml:space="preserve">“</w:t>
      </w:r>
      <w:r>
        <w:rPr>
          <w:bCs/>
          <w:b/>
        </w:rPr>
        <w:t xml:space="preserve">Inshallah</w:t>
      </w:r>
      <w:r>
        <w:rPr>
          <w:bCs/>
          <w:b/>
        </w:rPr>
        <w:t xml:space="preserve">”</w:t>
      </w:r>
      <w:r>
        <w:rPr>
          <w:bCs/>
          <w:b/>
        </w:rPr>
        <w:t xml:space="preserve"> </w:t>
      </w:r>
      <w:r>
        <w:rPr>
          <w:bCs/>
          <w:b/>
        </w:rPr>
        <w:t xml:space="preserve">metaphysics</w:t>
      </w:r>
      <w:r>
        <w:br/>
      </w:r>
      <w:r>
        <w:rPr>
          <w:iCs/>
          <w:i/>
        </w:rPr>
        <w:t xml:space="preserve">Primary support:</w:t>
      </w:r>
      <w:r>
        <w:t xml:space="preserve"> </w:t>
      </w:r>
      <w:r>
        <w:t xml:space="preserve">thequran.love synthesis and corpus</w:t>
      </w:r>
      <w:r>
        <w:br/>
      </w:r>
      <w:r>
        <w:rPr>
          <w:iCs/>
          <w:i/>
        </w:rPr>
        <w:t xml:space="preserve">Status / limitation:</w:t>
      </w:r>
      <w:r>
        <w:t xml:space="preserve"> </w:t>
      </w:r>
      <w:r>
        <w:t xml:space="preserve">Faith-position synthesis, not scientific consensus</w:t>
      </w:r>
    </w:p>
    <w:p>
      <w:pPr>
        <w:pStyle w:val="BodyText"/>
        <w:jc w:val="left"/>
      </w:pPr>
      <w:r>
        <w:rPr>
          <w:bCs/>
          <w:b/>
        </w:rPr>
        <w:t xml:space="preserve">Quantum experiments do not prove occasionalism</w:t>
      </w:r>
      <w:r>
        <w:br/>
      </w:r>
      <w:r>
        <w:rPr>
          <w:iCs/>
          <w:i/>
        </w:rPr>
        <w:t xml:space="preserve">Primary support:</w:t>
      </w:r>
      <w:r>
        <w:t xml:space="preserve"> </w:t>
      </w:r>
      <w:r>
        <w:t xml:space="preserve">SEP quantum issues; Nobel source; Shah synthesis’s own caveat</w:t>
      </w:r>
      <w:r>
        <w:br/>
      </w:r>
      <w:r>
        <w:rPr>
          <w:iCs/>
          <w:i/>
        </w:rPr>
        <w:t xml:space="preserve">Status / limitation:</w:t>
      </w:r>
      <w:r>
        <w:t xml:space="preserve"> </w:t>
      </w:r>
      <w:r>
        <w:t xml:space="preserve">High-confidence methodological boundary</w:t>
      </w:r>
    </w:p>
    <w:p>
      <w:pPr>
        <w:pStyle w:val="BodyText"/>
        <w:jc w:val="left"/>
      </w:pPr>
      <w:r>
        <w:rPr>
          <w:iCs/>
          <w:i/>
          <w:bCs/>
          <w:b/>
        </w:rPr>
        <w:t xml:space="preserve">Taskhīr</w:t>
      </w:r>
      <w:r>
        <w:rPr>
          <w:bCs/>
          <w:b/>
        </w:rPr>
        <w:t xml:space="preserve"> </w:t>
      </w:r>
      <w:r>
        <w:rPr>
          <w:bCs/>
          <w:b/>
        </w:rPr>
        <w:t xml:space="preserve">implies stewardship rather than exploitation</w:t>
      </w:r>
      <w:r>
        <w:br/>
      </w:r>
      <w:r>
        <w:rPr>
          <w:iCs/>
          <w:i/>
        </w:rPr>
        <w:t xml:space="preserve">Primary support:</w:t>
      </w:r>
      <w:r>
        <w:t xml:space="preserve"> </w:t>
      </w:r>
      <w:r>
        <w:t xml:space="preserve">Verse 34; Qur’anic ethical synthesis; UNEP Al-Mizan</w:t>
      </w:r>
      <w:r>
        <w:br/>
      </w:r>
      <w:r>
        <w:rPr>
          <w:iCs/>
          <w:i/>
        </w:rPr>
        <w:t xml:space="preserve">Status / limitation:</w:t>
      </w:r>
      <w:r>
        <w:t xml:space="preserve"> </w:t>
      </w:r>
      <w:r>
        <w:t xml:space="preserve">Normative inference, not a narrow lexical definition</w:t>
      </w:r>
    </w:p>
    <w:bookmarkEnd w:id="123"/>
    <w:bookmarkStart w:id="124" w:name="limitations"/>
    <w:p>
      <w:pPr>
        <w:pStyle w:val="Heading2"/>
        <w:keepNext/>
      </w:pPr>
      <w:r>
        <w:t xml:space="preserve">Limitations</w:t>
      </w:r>
    </w:p>
    <w:p>
      <w:pPr>
        <w:pStyle w:val="FirstParagraph"/>
      </w:pPr>
      <w:r>
        <w:t xml:space="preserve">This is an interdisciplinary commentary, not a substitute for a critical Arabic edition, a full history of tafsir, a hydrology or naval-architecture textbook, or a monograph on Islamic causation. The six translations are sampled for comparison, not adjudicated as a definitive translation. Classical tafsir is represented selectively. The account of Zia H. Shah’s corpus is thematic and comprehensive at the level of recurring arguments, not an annotation of every individual post. Scientific sources explain mechanisms but cannot establish theological meanings; theological readings supply metaphysical and moral interpretation but should not be presented as experimentally proven. Qur’an 14:32–35 is compatible with more than one orthodox account of secondary causation, even though its grammar strongly resists the autonomy of created powers.</w:t>
      </w:r>
    </w:p>
    <w:bookmarkEnd w:id="124"/>
    <w:bookmarkEnd w:id="125"/>
    <w:sectPr w:rsidR="00FC693F" w:rsidRPr="0006063C" w:rsidSect="00034616">
      <w:headerReference w:type="default" r:id="rId9"/>
      <w:footerReference w:type="default" r:id="rId10"/>
      <w:pgSz w:h="15840" w:w="12240"/>
      <w:pgMar w:bottom="1123" w:footer="605" w:gutter="0" w:header="547" w:left="1368" w:right="1368" w:top="1267"/>
      <w:cols w:space="720"/>
      <w:titlePg/>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Calibri" w:hAnsi="Calibri"/>
        <w:color w:val="65727E"/>
        <w:sz w:val="16"/>
      </w:rPr>
      <w:fldChar w:fldCharType="begin"/>
      <w:instrText xml:space="preserve"> PAGE </w:instrText>
      <w:fldChar w:fldCharType="separate"/>
      <w:fldChar w:fldCharType="end"/>
    </w: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Bdr>
        <w:bottom w:val="single" w:sz="10" w:space="8" w:color="B28A3A"/>
      </w:pBdr>
    </w:pPr>
    <w:r>
      <w:rPr>
        <w:rFonts w:ascii="Calibri" w:hAnsi="Calibri"/>
        <w:b/>
        <w:color w:val="65727E"/>
        <w:sz w:val="16"/>
      </w:rPr>
      <w:t>QUR’AN 14:32–35  ·  SCIENCE, PHILOSOPHY &amp; THEOLOGY</w:t>
    </w: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abstractNum w:abstractNumId="0">
    <w:nsid w:val="FFFFFF7C"/>
    <w:multiLevelType w:val="singleLevel"/>
    <w:tmpl w:val="C310EC42"/>
    <w:lvl w:ilvl="0">
      <w:start w:val="1"/>
      <w:numFmt w:val="decimal"/>
      <w:lvlText w:val="%1."/>
      <w:lvlJc w:val="left"/>
      <w:pPr>
        <w:tabs>
          <w:tab w:pos="1800" w:val="num"/>
        </w:tabs>
        <w:ind w:hanging="360" w:left="1800"/>
      </w:pPr>
    </w:lvl>
  </w:abstractNum>
  <w:abstractNum w:abstractNumId="1">
    <w:nsid w:val="FFFFFF7D"/>
    <w:multiLevelType w:val="singleLevel"/>
    <w:tmpl w:val="E4089024"/>
    <w:lvl w:ilvl="0">
      <w:start w:val="1"/>
      <w:numFmt w:val="decimal"/>
      <w:lvlText w:val="%1."/>
      <w:lvlJc w:val="left"/>
      <w:pPr>
        <w:tabs>
          <w:tab w:pos="1440" w:val="num"/>
        </w:tabs>
        <w:ind w:hanging="360" w:left="1440"/>
      </w:pPr>
    </w:lvl>
  </w:abstractNum>
  <w:abstractNum w:abstractNumId="2">
    <w:nsid w:val="FFFFFF7E"/>
    <w:multiLevelType w:val="singleLevel"/>
    <w:tmpl w:val="FB12693A"/>
    <w:lvl w:ilvl="0">
      <w:start w:val="1"/>
      <w:numFmt w:val="decimal"/>
      <w:pStyle w:val="ListNumber3"/>
      <w:lvlText w:val="%1."/>
      <w:lvlJc w:val="left"/>
      <w:pPr>
        <w:tabs>
          <w:tab w:pos="1080" w:val="num"/>
        </w:tabs>
        <w:ind w:hanging="360" w:left="1080"/>
      </w:pPr>
    </w:lvl>
  </w:abstractNum>
  <w:abstractNum w:abstractNumId="3">
    <w:nsid w:val="FFFFFF7F"/>
    <w:multiLevelType w:val="singleLevel"/>
    <w:tmpl w:val="38441652"/>
    <w:lvl w:ilvl="0">
      <w:start w:val="1"/>
      <w:numFmt w:val="decimal"/>
      <w:pStyle w:val="ListNumber2"/>
      <w:lvlText w:val="%1."/>
      <w:lvlJc w:val="left"/>
      <w:pPr>
        <w:tabs>
          <w:tab w:pos="720" w:val="num"/>
        </w:tabs>
        <w:ind w:hanging="360" w:left="720"/>
      </w:pPr>
    </w:lvl>
  </w:abstractNum>
  <w:abstractNum w:abstractNumId="4">
    <w:nsid w:val="FFFFFF81"/>
    <w:multiLevelType w:val="singleLevel"/>
    <w:tmpl w:val="171AC3A4"/>
    <w:lvl w:ilvl="0">
      <w:start w:val="1"/>
      <w:numFmt w:val="bullet"/>
      <w:lvlText w:val=""/>
      <w:lvlJc w:val="left"/>
      <w:pPr>
        <w:tabs>
          <w:tab w:pos="1440" w:val="num"/>
        </w:tabs>
        <w:ind w:hanging="360" w:left="144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pos="1080" w:val="num"/>
        </w:tabs>
        <w:ind w:hanging="360" w:left="108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pos="720" w:val="num"/>
        </w:tabs>
        <w:ind w:hanging="360" w:left="72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pos="360" w:val="num"/>
        </w:tabs>
        <w:ind w:hanging="360" w:left="360"/>
      </w:pPr>
    </w:lvl>
  </w:abstractNum>
  <w:abstractNum w:abstractNumId="8">
    <w:nsid w:val="FFFFFF89"/>
    <w:multiLevelType w:val="singleLevel"/>
    <w:tmpl w:val="29761A62"/>
    <w:lvl w:ilvl="0">
      <w:start w:val="1"/>
      <w:numFmt w:val="bullet"/>
      <w:pStyle w:val="ListBullet"/>
      <w:lvlText w:val=""/>
      <w:lvlJc w:val="left"/>
      <w:pPr>
        <w:tabs>
          <w:tab w:pos="360" w:val="num"/>
        </w:tabs>
        <w:ind w:hanging="360" w:left="360"/>
      </w:pPr>
      <w:rPr>
        <w:rFonts w:ascii="Symbol" w:hAnsi="Symbol" w:hint="default"/>
      </w:rPr>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11">
    <w:nsid w:val="A9941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embedSystemFonts/>
  <w:stylePaneFormatFilter w:val="0004"/>
  <w:footnotePr>
    <w:footnote w:id="-1"/>
    <w:footnote w:id="0"/>
  </w:footnotePr>
  <w:doNotTrackMoves/>
  <w:drawingGridHorizontalSpacing w:val="360"/>
  <w:drawingGridVerticalSpacing w:val="360"/>
  <w:displayHorizontalDrawingGridEvery w:val="0"/>
  <w:displayVerticalDrawingGridEvery w:val="0"/>
  <w:rsids>
  </w:rsids>
  <w:clrSchemeMapping w:accent1="accent1" w:accent2="accent2" w:accent3="accent3" w:accent4="accent4" w:accent5="accent5" w:accent6="accent6" w:bg1="light1" w:bg2="light2" w:followedHyperlink="followedHyperlink" w:hyperlink="hyperlink" w:t1="dark1" w:t2="dark2"/>
  <w:zoom w:val="bestFit"/>
  <w:proofState w:grammar="clean" w:spelling="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eastAsia="ja-JP"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cstheme="minorBidi" w:eastAsiaTheme="minorEastAsia" w:hAnsiTheme="minorHAnsi"/>
        <w:sz w:val="22"/>
        <w:szCs w:val="22"/>
        <w:lang w:bidi="ar-SA" w:eastAsia="en-US" w:val="en-US"/>
      </w:rPr>
    </w:rPrDefault>
    <w:pPrDefault>
      <w:pPr>
        <w:spacing w:after="200" w:line="276" w:lineRule="auto"/>
      </w:pPr>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rsid w:val="00FC693F"/>
    <w:pPr>
      <w:spacing w:after="130" w:before="0" w:line="283" w:lineRule="auto"/>
      <w:jc w:val="both"/>
    </w:pPr>
    <w:rPr>
      <w:rFonts w:ascii="Calibri" w:hAnsi="Calibri"/>
      <w:color w:val="263238"/>
      <w:sz w:val="21"/>
    </w:rPr>
  </w:style>
  <w:style w:styleId="Header" w:type="paragraph">
    <w:name w:val="header"/>
    <w:basedOn w:val="Normal"/>
    <w:link w:val="HeaderChar"/>
    <w:uiPriority w:val="99"/>
    <w:unhideWhenUsed/>
    <w:rsid w:val="00E618BF"/>
    <w:pPr>
      <w:tabs>
        <w:tab w:pos="4680" w:val="center"/>
        <w:tab w:pos="9360" w:val="right"/>
      </w:tabs>
      <w:spacing w:after="0" w:line="240" w:lineRule="auto"/>
    </w:pPr>
  </w:style>
  <w:style w:customStyle="1" w:styleId="HeaderChar" w:type="character">
    <w:name w:val="Header Char"/>
    <w:basedOn w:val="DefaultParagraphFont"/>
    <w:link w:val="Header"/>
    <w:uiPriority w:val="99"/>
    <w:rsid w:val="00E618BF"/>
  </w:style>
  <w:style w:styleId="Footer" w:type="paragraph">
    <w:name w:val="footer"/>
    <w:basedOn w:val="Normal"/>
    <w:link w:val="FooterChar"/>
    <w:uiPriority w:val="99"/>
    <w:unhideWhenUsed/>
    <w:rsid w:val="00E618BF"/>
    <w:pPr>
      <w:tabs>
        <w:tab w:pos="4680" w:val="center"/>
        <w:tab w:pos="9360" w:val="right"/>
      </w:tabs>
      <w:spacing w:after="0" w:line="240" w:lineRule="auto"/>
    </w:pPr>
  </w:style>
  <w:style w:customStyle="1" w:styleId="FooterChar" w:type="character">
    <w:name w:val="Footer Char"/>
    <w:basedOn w:val="DefaultParagraphFont"/>
    <w:link w:val="Footer"/>
    <w:uiPriority w:val="99"/>
    <w:rsid w:val="00E618BF"/>
  </w:style>
  <w:style w:styleId="Heading1" w:type="paragraph">
    <w:name w:val="heading 1"/>
    <w:basedOn w:val="Normal"/>
    <w:next w:val="Normal"/>
    <w:link w:val="Heading1Char"/>
    <w:uiPriority w:val="9"/>
    <w:qFormat/>
    <w:rsid w:val="00FC693F"/>
    <w:pPr>
      <w:keepNext/>
      <w:keepLines/>
      <w:spacing w:after="200" w:before="360"/>
      <w:outlineLvl w:val="0"/>
    </w:pPr>
    <w:rPr>
      <w:rFonts w:ascii="Calibri" w:asciiTheme="majorHAnsi" w:cstheme="majorBidi" w:eastAsiaTheme="majorEastAsia" w:hAnsi="Calibri" w:hAnsiTheme="majorHAnsi"/>
      <w:b/>
      <w:bCs/>
      <w:color w:val="17365D"/>
      <w:sz w:val="40"/>
      <w:szCs w:val="28"/>
    </w:rPr>
  </w:style>
  <w:style w:styleId="Heading2" w:type="paragraph">
    <w:name w:val="heading 2"/>
    <w:basedOn w:val="Normal"/>
    <w:next w:val="Normal"/>
    <w:link w:val="Heading2Char"/>
    <w:uiPriority w:val="9"/>
    <w:unhideWhenUsed/>
    <w:qFormat/>
    <w:rsid w:val="00FC693F"/>
    <w:pPr>
      <w:keepNext/>
      <w:keepLines/>
      <w:spacing w:after="160" w:before="300"/>
      <w:outlineLvl w:val="1"/>
    </w:pPr>
    <w:rPr>
      <w:rFonts w:ascii="Calibri" w:asciiTheme="majorHAnsi" w:cstheme="majorBidi" w:eastAsiaTheme="majorEastAsia" w:hAnsi="Calibri" w:hAnsiTheme="majorHAnsi"/>
      <w:b/>
      <w:bCs/>
      <w:color w:val="2E74B5"/>
      <w:sz w:val="30"/>
      <w:szCs w:val="26"/>
    </w:rPr>
  </w:style>
  <w:style w:styleId="Heading3" w:type="paragraph">
    <w:name w:val="heading 3"/>
    <w:basedOn w:val="Normal"/>
    <w:next w:val="Normal"/>
    <w:link w:val="Heading3Char"/>
    <w:uiPriority w:val="9"/>
    <w:unhideWhenUsed/>
    <w:qFormat/>
    <w:rsid w:val="00FC693F"/>
    <w:pPr>
      <w:keepNext/>
      <w:keepLines/>
      <w:spacing w:after="100" w:before="200"/>
      <w:outlineLvl w:val="2"/>
    </w:pPr>
    <w:rPr>
      <w:rFonts w:ascii="Calibri" w:asciiTheme="majorHAnsi" w:cstheme="majorBidi" w:eastAsiaTheme="majorEastAsia" w:hAnsi="Calibri" w:hAnsiTheme="majorHAnsi"/>
      <w:b/>
      <w:bCs/>
      <w:color w:val="1F4D78"/>
      <w:sz w:val="24"/>
    </w:rPr>
  </w:style>
  <w:style w:styleId="Heading4" w:type="paragraph">
    <w:name w:val="heading 4"/>
    <w:basedOn w:val="Normal"/>
    <w:next w:val="Normal"/>
    <w:link w:val="Heading4Char"/>
    <w:uiPriority w:val="9"/>
    <w:semiHidden/>
    <w:unhideWhenUsed/>
    <w:qFormat/>
    <w:rsid w:val="00FC693F"/>
    <w:pPr>
      <w:keepNext/>
      <w:keepLines/>
      <w:spacing w:after="80" w:before="160"/>
      <w:outlineLvl w:val="3"/>
    </w:pPr>
    <w:rPr>
      <w:rFonts w:ascii="Calibri" w:asciiTheme="majorHAnsi" w:cstheme="majorBidi" w:eastAsiaTheme="majorEastAsia" w:hAnsi="Calibri" w:hAnsiTheme="majorHAnsi"/>
      <w:b/>
      <w:bCs/>
      <w:i/>
      <w:iCs/>
      <w:color w:val="263238"/>
      <w:sz w:val="21"/>
    </w:rPr>
  </w:style>
  <w:style w:styleId="Heading5" w:type="paragraph">
    <w:name w:val="heading 5"/>
    <w:basedOn w:val="Normal"/>
    <w:next w:val="Normal"/>
    <w:link w:val="Heading5Char"/>
    <w:uiPriority w:val="9"/>
    <w:semiHidden/>
    <w:unhideWhenUsed/>
    <w:qFormat/>
    <w:rsid w:val="00FC693F"/>
    <w:pPr>
      <w:keepNext/>
      <w:keepLines/>
      <w:spacing w:after="0" w:before="200"/>
      <w:outlineLvl w:val="4"/>
    </w:pPr>
    <w:rPr>
      <w:rFonts w:asciiTheme="majorHAnsi" w:cstheme="majorBidi" w:eastAsiaTheme="majorEastAsia" w:hAnsiTheme="majorHAnsi"/>
      <w:color w:themeColor="accent1" w:themeShade="7F" w:val="243F60"/>
    </w:rPr>
  </w:style>
  <w:style w:styleId="Heading6" w:type="paragraph">
    <w:name w:val="heading 6"/>
    <w:basedOn w:val="Normal"/>
    <w:next w:val="Normal"/>
    <w:link w:val="Heading6Char"/>
    <w:uiPriority w:val="9"/>
    <w:semiHidden/>
    <w:unhideWhenUsed/>
    <w:qFormat/>
    <w:rsid w:val="00FC693F"/>
    <w:pPr>
      <w:keepNext/>
      <w:keepLines/>
      <w:spacing w:after="0" w:before="200"/>
      <w:outlineLvl w:val="5"/>
    </w:pPr>
    <w:rPr>
      <w:rFonts w:asciiTheme="majorHAnsi" w:cstheme="majorBidi" w:eastAsiaTheme="majorEastAsia" w:hAnsiTheme="majorHAnsi"/>
      <w:i/>
      <w:iCs/>
      <w:color w:themeColor="accent1" w:themeShade="7F" w:val="243F60"/>
    </w:rPr>
  </w:style>
  <w:style w:styleId="Heading7" w:type="paragraph">
    <w:name w:val="heading 7"/>
    <w:basedOn w:val="Normal"/>
    <w:next w:val="Normal"/>
    <w:link w:val="Heading7Char"/>
    <w:uiPriority w:val="9"/>
    <w:semiHidden/>
    <w:unhideWhenUsed/>
    <w:qFormat/>
    <w:rsid w:val="00FC693F"/>
    <w:pPr>
      <w:keepNext/>
      <w:keepLines/>
      <w:spacing w:after="0" w:before="200"/>
      <w:outlineLvl w:val="6"/>
    </w:pPr>
    <w:rPr>
      <w:rFonts w:asciiTheme="majorHAnsi" w:cstheme="majorBidi" w:eastAsiaTheme="majorEastAsia" w:hAnsiTheme="majorHAnsi"/>
      <w:i/>
      <w:iCs/>
      <w:color w:themeColor="text1" w:themeTint="BF" w:val="404040"/>
    </w:rPr>
  </w:style>
  <w:style w:styleId="Heading8" w:type="paragraph">
    <w:name w:val="heading 8"/>
    <w:basedOn w:val="Normal"/>
    <w:next w:val="Normal"/>
    <w:link w:val="Heading8Char"/>
    <w:uiPriority w:val="9"/>
    <w:semiHidden/>
    <w:unhideWhenUsed/>
    <w:qFormat/>
    <w:rsid w:val="00FC693F"/>
    <w:pPr>
      <w:keepNext/>
      <w:keepLines/>
      <w:spacing w:after="0" w:before="200"/>
      <w:outlineLvl w:val="7"/>
    </w:pPr>
    <w:rPr>
      <w:rFonts w:asciiTheme="majorHAnsi" w:cstheme="majorBidi" w:eastAsiaTheme="majorEastAsia" w:hAnsiTheme="majorHAnsi"/>
      <w:color w:themeColor="accent1" w:val="4F81BD"/>
      <w:sz w:val="20"/>
      <w:szCs w:val="20"/>
    </w:rPr>
  </w:style>
  <w:style w:styleId="Heading9" w:type="paragraph">
    <w:name w:val="heading 9"/>
    <w:basedOn w:val="Normal"/>
    <w:next w:val="Normal"/>
    <w:link w:val="Heading9Char"/>
    <w:uiPriority w:val="9"/>
    <w:semiHidden/>
    <w:unhideWhenUsed/>
    <w:qFormat/>
    <w:rsid w:val="00FC693F"/>
    <w:pPr>
      <w:keepNext/>
      <w:keepLines/>
      <w:spacing w:after="0" w:before="200"/>
      <w:outlineLvl w:val="8"/>
    </w:pPr>
    <w:rPr>
      <w:rFonts w:asciiTheme="majorHAnsi" w:cstheme="majorBidi" w:eastAsiaTheme="majorEastAsia" w:hAnsiTheme="majorHAnsi"/>
      <w:i/>
      <w:iCs/>
      <w:color w:themeColor="text1" w:themeTint="BF" w:val="404040"/>
      <w:sz w:val="20"/>
      <w:szCs w:val="20"/>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NoSpacing" w:type="paragraph">
    <w:name w:val="No Spacing"/>
    <w:uiPriority w:val="1"/>
    <w:qFormat/>
    <w:rsid w:val="00FC693F"/>
    <w:pPr>
      <w:spacing w:after="0" w:line="240" w:lineRule="auto"/>
    </w:pPr>
  </w:style>
  <w:style w:customStyle="1" w:styleId="Heading1Char" w:type="character">
    <w:name w:val="Heading 1 Char"/>
    <w:basedOn w:val="DefaultParagraphFont"/>
    <w:link w:val="Heading1"/>
    <w:uiPriority w:val="9"/>
    <w:rsid w:val="00FC693F"/>
    <w:rPr>
      <w:rFonts w:asciiTheme="majorHAnsi" w:cstheme="majorBidi" w:eastAsiaTheme="majorEastAsia" w:hAnsiTheme="majorHAnsi"/>
      <w:b/>
      <w:bCs/>
      <w:color w:themeColor="accent1" w:themeShade="BF" w:val="365F91"/>
      <w:sz w:val="28"/>
      <w:szCs w:val="28"/>
    </w:rPr>
  </w:style>
  <w:style w:customStyle="1" w:styleId="Heading2Char" w:type="character">
    <w:name w:val="Heading 2 Char"/>
    <w:basedOn w:val="DefaultParagraphFont"/>
    <w:link w:val="Heading2"/>
    <w:uiPriority w:val="9"/>
    <w:rsid w:val="00FC693F"/>
    <w:rPr>
      <w:rFonts w:asciiTheme="majorHAnsi" w:cstheme="majorBidi" w:eastAsiaTheme="majorEastAsia" w:hAnsiTheme="majorHAnsi"/>
      <w:b/>
      <w:bCs/>
      <w:color w:themeColor="accent1" w:val="4F81BD"/>
      <w:sz w:val="26"/>
      <w:szCs w:val="26"/>
    </w:rPr>
  </w:style>
  <w:style w:customStyle="1" w:styleId="Heading3Char" w:type="character">
    <w:name w:val="Heading 3 Char"/>
    <w:basedOn w:val="DefaultParagraphFont"/>
    <w:link w:val="Heading3"/>
    <w:uiPriority w:val="9"/>
    <w:rsid w:val="00FC693F"/>
    <w:rPr>
      <w:rFonts w:asciiTheme="majorHAnsi" w:cstheme="majorBidi" w:eastAsiaTheme="majorEastAsia" w:hAnsiTheme="majorHAnsi"/>
      <w:b/>
      <w:bCs/>
      <w:color w:themeColor="accent1" w:val="4F81BD"/>
    </w:rPr>
  </w:style>
  <w:style w:styleId="Title" w:type="paragraph">
    <w:name w:val="Title"/>
    <w:basedOn w:val="Normal"/>
    <w:next w:val="Normal"/>
    <w:link w:val="TitleChar"/>
    <w:uiPriority w:val="10"/>
    <w:qFormat/>
    <w:rsid w:val="00FC693F"/>
    <w:pPr>
      <w:keepNext/>
      <w:pBdr>
        <w:bottom w:color="4F81BD" w:space="4" w:sz="8" w:themeColor="accent1" w:val="single"/>
      </w:pBdr>
      <w:spacing w:after="240" w:before="0" w:line="240" w:lineRule="auto"/>
      <w:contextualSpacing/>
    </w:pPr>
    <w:rPr>
      <w:rFonts w:ascii="Calibri" w:asciiTheme="majorHAnsi" w:cstheme="majorBidi" w:eastAsiaTheme="majorEastAsia" w:hAnsi="Calibri" w:hAnsiTheme="majorHAnsi"/>
      <w:b/>
      <w:color w:val="17365D"/>
      <w:spacing w:val="5"/>
      <w:kern w:val="28"/>
      <w:sz w:val="56"/>
      <w:szCs w:val="52"/>
    </w:rPr>
  </w:style>
  <w:style w:customStyle="1" w:styleId="TitleChar" w:type="character">
    <w:name w:val="Title Char"/>
    <w:basedOn w:val="DefaultParagraphFont"/>
    <w:link w:val="Title"/>
    <w:uiPriority w:val="10"/>
    <w:rsid w:val="00FC693F"/>
    <w:rPr>
      <w:rFonts w:asciiTheme="majorHAnsi" w:cstheme="majorBidi" w:eastAsiaTheme="majorEastAsia" w:hAnsiTheme="majorHAnsi"/>
      <w:color w:themeColor="text2" w:themeShade="BF" w:val="17365D"/>
      <w:spacing w:val="5"/>
      <w:kern w:val="28"/>
      <w:sz w:val="52"/>
      <w:szCs w:val="52"/>
    </w:rPr>
  </w:style>
  <w:style w:styleId="Subtitle" w:type="paragraph">
    <w:name w:val="Subtitle"/>
    <w:basedOn w:val="Normal"/>
    <w:next w:val="Normal"/>
    <w:link w:val="SubtitleChar"/>
    <w:uiPriority w:val="11"/>
    <w:qFormat/>
    <w:rsid w:val="00FC693F"/>
    <w:pPr>
      <w:keepNext/>
      <w:numPr>
        <w:ilvl w:val="1"/>
      </w:numPr>
      <w:spacing w:after="320" w:before="0"/>
    </w:pPr>
    <w:rPr>
      <w:rFonts w:ascii="Calibri" w:asciiTheme="majorHAnsi" w:cstheme="majorBidi" w:eastAsiaTheme="majorEastAsia" w:hAnsi="Calibri" w:hAnsiTheme="majorHAnsi"/>
      <w:b/>
      <w:i/>
      <w:iCs/>
      <w:color w:val="65727E"/>
      <w:spacing w:val="15"/>
      <w:sz w:val="28"/>
      <w:szCs w:val="24"/>
    </w:rPr>
  </w:style>
  <w:style w:customStyle="1" w:styleId="SubtitleChar" w:type="character">
    <w:name w:val="Subtitle Char"/>
    <w:basedOn w:val="DefaultParagraphFont"/>
    <w:link w:val="Subtitle"/>
    <w:uiPriority w:val="11"/>
    <w:rsid w:val="00FC693F"/>
    <w:rPr>
      <w:rFonts w:asciiTheme="majorHAnsi" w:cstheme="majorBidi" w:eastAsiaTheme="majorEastAsia" w:hAnsiTheme="majorHAnsi"/>
      <w:i/>
      <w:iCs/>
      <w:color w:themeColor="accent1" w:val="4F81BD"/>
      <w:spacing w:val="15"/>
      <w:sz w:val="24"/>
      <w:szCs w:val="24"/>
    </w:rPr>
  </w:style>
  <w:style w:styleId="ListParagraph" w:type="paragraph">
    <w:name w:val="List Paragraph"/>
    <w:basedOn w:val="Normal"/>
    <w:uiPriority w:val="34"/>
    <w:qFormat/>
    <w:rsid w:val="00FC693F"/>
    <w:pPr>
      <w:ind w:left="720"/>
      <w:contextualSpacing/>
    </w:pPr>
  </w:style>
  <w:style w:styleId="BodyText" w:type="paragraph">
    <w:name w:val="Body Text"/>
    <w:basedOn w:val="Normal"/>
    <w:link w:val="BodyTextChar"/>
    <w:uiPriority w:val="99"/>
    <w:unhideWhenUsed/>
    <w:rsid w:val="00AA1D8D"/>
    <w:pPr>
      <w:spacing w:after="120"/>
    </w:pPr>
  </w:style>
  <w:style w:customStyle="1" w:styleId="BodyTextChar" w:type="character">
    <w:name w:val="Body Text Char"/>
    <w:basedOn w:val="DefaultParagraphFont"/>
    <w:link w:val="BodyText"/>
    <w:uiPriority w:val="99"/>
    <w:rsid w:val="00AA1D8D"/>
  </w:style>
  <w:style w:styleId="BodyText2" w:type="paragraph">
    <w:name w:val="Body Text 2"/>
    <w:basedOn w:val="Normal"/>
    <w:link w:val="BodyText2Char"/>
    <w:uiPriority w:val="99"/>
    <w:unhideWhenUsed/>
    <w:rsid w:val="00AA1D8D"/>
    <w:pPr>
      <w:spacing w:after="120" w:line="480" w:lineRule="auto"/>
    </w:pPr>
  </w:style>
  <w:style w:customStyle="1" w:styleId="BodyText2Char" w:type="character">
    <w:name w:val="Body Text 2 Char"/>
    <w:basedOn w:val="DefaultParagraphFont"/>
    <w:link w:val="BodyText2"/>
    <w:uiPriority w:val="99"/>
    <w:rsid w:val="00AA1D8D"/>
  </w:style>
  <w:style w:styleId="BodyText3" w:type="paragraph">
    <w:name w:val="Body Text 3"/>
    <w:basedOn w:val="Normal"/>
    <w:link w:val="BodyText3Char"/>
    <w:uiPriority w:val="99"/>
    <w:unhideWhenUsed/>
    <w:rsid w:val="00AA1D8D"/>
    <w:pPr>
      <w:spacing w:after="120"/>
    </w:pPr>
    <w:rPr>
      <w:sz w:val="16"/>
      <w:szCs w:val="16"/>
    </w:rPr>
  </w:style>
  <w:style w:customStyle="1" w:styleId="BodyText3Char" w:type="character">
    <w:name w:val="Body Text 3 Char"/>
    <w:basedOn w:val="DefaultParagraphFont"/>
    <w:link w:val="BodyText3"/>
    <w:uiPriority w:val="99"/>
    <w:rsid w:val="00AA1D8D"/>
    <w:rPr>
      <w:sz w:val="16"/>
      <w:szCs w:val="16"/>
    </w:rPr>
  </w:style>
  <w:style w:styleId="List" w:type="paragraph">
    <w:name w:val="List"/>
    <w:basedOn w:val="Normal"/>
    <w:uiPriority w:val="99"/>
    <w:unhideWhenUsed/>
    <w:rsid w:val="00AA1D8D"/>
    <w:pPr>
      <w:ind w:hanging="360" w:left="360"/>
      <w:contextualSpacing/>
    </w:pPr>
  </w:style>
  <w:style w:styleId="List2" w:type="paragraph">
    <w:name w:val="List 2"/>
    <w:basedOn w:val="Normal"/>
    <w:uiPriority w:val="99"/>
    <w:unhideWhenUsed/>
    <w:rsid w:val="00326F90"/>
    <w:pPr>
      <w:ind w:hanging="360" w:left="720"/>
      <w:contextualSpacing/>
    </w:pPr>
  </w:style>
  <w:style w:styleId="List3" w:type="paragraph">
    <w:name w:val="List 3"/>
    <w:basedOn w:val="Normal"/>
    <w:uiPriority w:val="99"/>
    <w:unhideWhenUsed/>
    <w:rsid w:val="00326F90"/>
    <w:pPr>
      <w:ind w:hanging="360" w:left="1080"/>
      <w:contextualSpacing/>
    </w:pPr>
  </w:style>
  <w:style w:styleId="ListBullet" w:type="paragraph">
    <w:name w:val="List Bullet"/>
    <w:basedOn w:val="Normal"/>
    <w:uiPriority w:val="99"/>
    <w:unhideWhenUsed/>
    <w:rsid w:val="00326F90"/>
    <w:pPr>
      <w:numPr>
        <w:numId w:val="1"/>
      </w:numPr>
      <w:contextualSpacing/>
    </w:pPr>
  </w:style>
  <w:style w:styleId="ListBullet2" w:type="paragraph">
    <w:name w:val="List Bullet 2"/>
    <w:basedOn w:val="Normal"/>
    <w:uiPriority w:val="99"/>
    <w:unhideWhenUsed/>
    <w:rsid w:val="00326F90"/>
    <w:pPr>
      <w:numPr>
        <w:numId w:val="2"/>
      </w:numPr>
      <w:contextualSpacing/>
    </w:pPr>
  </w:style>
  <w:style w:styleId="ListBullet3" w:type="paragraph">
    <w:name w:val="List Bullet 3"/>
    <w:basedOn w:val="Normal"/>
    <w:uiPriority w:val="99"/>
    <w:unhideWhenUsed/>
    <w:rsid w:val="00326F90"/>
    <w:pPr>
      <w:numPr>
        <w:numId w:val="3"/>
      </w:numPr>
      <w:contextualSpacing/>
    </w:pPr>
  </w:style>
  <w:style w:styleId="ListNumber" w:type="paragraph">
    <w:name w:val="List Number"/>
    <w:basedOn w:val="Normal"/>
    <w:uiPriority w:val="99"/>
    <w:unhideWhenUsed/>
    <w:rsid w:val="00326F90"/>
    <w:pPr>
      <w:numPr>
        <w:numId w:val="5"/>
      </w:numPr>
      <w:contextualSpacing/>
    </w:pPr>
  </w:style>
  <w:style w:styleId="ListNumber2" w:type="paragraph">
    <w:name w:val="List Number 2"/>
    <w:basedOn w:val="Normal"/>
    <w:uiPriority w:val="99"/>
    <w:unhideWhenUsed/>
    <w:rsid w:val="0029639D"/>
    <w:pPr>
      <w:numPr>
        <w:numId w:val="6"/>
      </w:numPr>
      <w:contextualSpacing/>
    </w:pPr>
  </w:style>
  <w:style w:styleId="ListNumber3" w:type="paragraph">
    <w:name w:val="List Number 3"/>
    <w:basedOn w:val="Normal"/>
    <w:uiPriority w:val="99"/>
    <w:unhideWhenUsed/>
    <w:rsid w:val="0029639D"/>
    <w:pPr>
      <w:numPr>
        <w:numId w:val="7"/>
      </w:numPr>
      <w:contextualSpacing/>
    </w:pPr>
  </w:style>
  <w:style w:styleId="ListContinue" w:type="paragraph">
    <w:name w:val="List Continue"/>
    <w:basedOn w:val="Normal"/>
    <w:uiPriority w:val="99"/>
    <w:unhideWhenUsed/>
    <w:rsid w:val="0029639D"/>
    <w:pPr>
      <w:spacing w:after="120"/>
      <w:ind w:left="360"/>
      <w:contextualSpacing/>
    </w:pPr>
  </w:style>
  <w:style w:styleId="ListContinue2" w:type="paragraph">
    <w:name w:val="List Continue 2"/>
    <w:basedOn w:val="Normal"/>
    <w:uiPriority w:val="99"/>
    <w:unhideWhenUsed/>
    <w:rsid w:val="0029639D"/>
    <w:pPr>
      <w:spacing w:after="120"/>
      <w:ind w:left="720"/>
      <w:contextualSpacing/>
    </w:pPr>
  </w:style>
  <w:style w:styleId="ListContinue3" w:type="paragraph">
    <w:name w:val="List Continue 3"/>
    <w:basedOn w:val="Normal"/>
    <w:uiPriority w:val="99"/>
    <w:unhideWhenUsed/>
    <w:rsid w:val="0029639D"/>
    <w:pPr>
      <w:spacing w:after="120"/>
      <w:ind w:left="1080"/>
      <w:contextualSpacing/>
    </w:pPr>
  </w:style>
  <w:style w:styleId="MacroText" w:type="paragraph">
    <w:name w:val="macro"/>
    <w:link w:val="MacroTextChar"/>
    <w:uiPriority w:val="99"/>
    <w:unhideWhenUsed/>
    <w:rsid w:val="0029639D"/>
    <w:pPr>
      <w:tabs>
        <w:tab w:pos="576" w:val="left"/>
        <w:tab w:pos="1152" w:val="left"/>
        <w:tab w:pos="1728" w:val="left"/>
        <w:tab w:pos="2304" w:val="left"/>
        <w:tab w:pos="2880" w:val="left"/>
        <w:tab w:pos="3456" w:val="left"/>
        <w:tab w:pos="4032" w:val="left"/>
      </w:tabs>
    </w:pPr>
    <w:rPr>
      <w:rFonts w:ascii="Courier" w:hAnsi="Courier"/>
      <w:sz w:val="20"/>
      <w:szCs w:val="20"/>
    </w:rPr>
  </w:style>
  <w:style w:customStyle="1" w:styleId="MacroTextChar" w:type="character">
    <w:name w:val="Macro Text Char"/>
    <w:basedOn w:val="DefaultParagraphFont"/>
    <w:link w:val="MacroText"/>
    <w:uiPriority w:val="99"/>
    <w:rsid w:val="0029639D"/>
    <w:rPr>
      <w:rFonts w:ascii="Courier" w:hAnsi="Courier"/>
      <w:sz w:val="20"/>
      <w:szCs w:val="20"/>
    </w:rPr>
  </w:style>
  <w:style w:styleId="Quote" w:type="paragraph">
    <w:name w:val="Quote"/>
    <w:basedOn w:val="Normal"/>
    <w:next w:val="Normal"/>
    <w:link w:val="QuoteChar"/>
    <w:uiPriority w:val="29"/>
    <w:qFormat/>
    <w:rsid w:val="00FC693F"/>
    <w:pPr>
      <w:spacing w:after="160" w:before="120"/>
      <w:ind w:left="403" w:right="216"/>
    </w:pPr>
    <w:rPr>
      <w:rFonts w:ascii="Calibri" w:hAnsi="Calibri"/>
      <w:i/>
      <w:iCs/>
      <w:color w:val="263238"/>
      <w:sz w:val="21"/>
    </w:rPr>
  </w:style>
  <w:style w:customStyle="1" w:styleId="QuoteChar" w:type="character">
    <w:name w:val="Quote Char"/>
    <w:basedOn w:val="DefaultParagraphFont"/>
    <w:link w:val="Quote"/>
    <w:uiPriority w:val="29"/>
    <w:rsid w:val="00FC693F"/>
    <w:rPr>
      <w:i/>
      <w:iCs/>
      <w:color w:themeColor="text1" w:val="000000"/>
    </w:rPr>
  </w:style>
  <w:style w:customStyle="1" w:styleId="Heading4Char" w:type="character">
    <w:name w:val="Heading 4 Char"/>
    <w:basedOn w:val="DefaultParagraphFont"/>
    <w:link w:val="Heading4"/>
    <w:uiPriority w:val="9"/>
    <w:semiHidden/>
    <w:rsid w:val="00FC693F"/>
    <w:rPr>
      <w:rFonts w:asciiTheme="majorHAnsi" w:cstheme="majorBidi" w:eastAsiaTheme="majorEastAsia" w:hAnsiTheme="majorHAnsi"/>
      <w:b/>
      <w:bCs/>
      <w:i/>
      <w:iCs/>
      <w:color w:themeColor="accent1" w:val="4F81BD"/>
    </w:rPr>
  </w:style>
  <w:style w:customStyle="1" w:styleId="Heading5Char" w:type="character">
    <w:name w:val="Heading 5 Char"/>
    <w:basedOn w:val="DefaultParagraphFont"/>
    <w:link w:val="Heading5"/>
    <w:uiPriority w:val="9"/>
    <w:semiHidden/>
    <w:rsid w:val="00FC693F"/>
    <w:rPr>
      <w:rFonts w:asciiTheme="majorHAnsi" w:cstheme="majorBidi" w:eastAsiaTheme="majorEastAsia" w:hAnsiTheme="majorHAnsi"/>
      <w:color w:themeColor="accent1" w:themeShade="7F" w:val="243F60"/>
    </w:rPr>
  </w:style>
  <w:style w:customStyle="1" w:styleId="Heading6Char" w:type="character">
    <w:name w:val="Heading 6 Char"/>
    <w:basedOn w:val="DefaultParagraphFont"/>
    <w:link w:val="Heading6"/>
    <w:uiPriority w:val="9"/>
    <w:semiHidden/>
    <w:rsid w:val="00FC693F"/>
    <w:rPr>
      <w:rFonts w:asciiTheme="majorHAnsi" w:cstheme="majorBidi" w:eastAsiaTheme="majorEastAsia" w:hAnsiTheme="majorHAnsi"/>
      <w:i/>
      <w:iCs/>
      <w:color w:themeColor="accent1" w:themeShade="7F" w:val="243F60"/>
    </w:rPr>
  </w:style>
  <w:style w:customStyle="1" w:styleId="Heading7Char" w:type="character">
    <w:name w:val="Heading 7 Char"/>
    <w:basedOn w:val="DefaultParagraphFont"/>
    <w:link w:val="Heading7"/>
    <w:uiPriority w:val="9"/>
    <w:semiHidden/>
    <w:rsid w:val="00FC693F"/>
    <w:rPr>
      <w:rFonts w:asciiTheme="majorHAnsi" w:cstheme="majorBidi" w:eastAsiaTheme="majorEastAsia" w:hAnsiTheme="majorHAnsi"/>
      <w:i/>
      <w:iCs/>
      <w:color w:themeColor="text1" w:themeTint="BF" w:val="404040"/>
    </w:rPr>
  </w:style>
  <w:style w:customStyle="1" w:styleId="Heading8Char" w:type="character">
    <w:name w:val="Heading 8 Char"/>
    <w:basedOn w:val="DefaultParagraphFont"/>
    <w:link w:val="Heading8"/>
    <w:uiPriority w:val="9"/>
    <w:semiHidden/>
    <w:rsid w:val="00FC693F"/>
    <w:rPr>
      <w:rFonts w:asciiTheme="majorHAnsi" w:cstheme="majorBidi" w:eastAsiaTheme="majorEastAsia" w:hAnsiTheme="majorHAnsi"/>
      <w:color w:themeColor="accent1" w:val="4F81BD"/>
      <w:sz w:val="20"/>
      <w:szCs w:val="20"/>
    </w:rPr>
  </w:style>
  <w:style w:customStyle="1" w:styleId="Heading9Char" w:type="character">
    <w:name w:val="Heading 9 Char"/>
    <w:basedOn w:val="DefaultParagraphFont"/>
    <w:link w:val="Heading9"/>
    <w:uiPriority w:val="9"/>
    <w:semiHidden/>
    <w:rsid w:val="00FC693F"/>
    <w:rPr>
      <w:rFonts w:asciiTheme="majorHAnsi" w:cstheme="majorBidi" w:eastAsiaTheme="majorEastAsia" w:hAnsiTheme="majorHAnsi"/>
      <w:i/>
      <w:iCs/>
      <w:color w:themeColor="text1" w:themeTint="BF" w:val="404040"/>
      <w:sz w:val="20"/>
      <w:szCs w:val="20"/>
    </w:rPr>
  </w:style>
  <w:style w:styleId="Caption" w:type="paragraph">
    <w:name w:val="caption"/>
    <w:basedOn w:val="Normal"/>
    <w:next w:val="Normal"/>
    <w:uiPriority w:val="35"/>
    <w:semiHidden/>
    <w:unhideWhenUsed/>
    <w:qFormat/>
    <w:rsid w:val="00FC693F"/>
    <w:pPr>
      <w:spacing w:line="240" w:lineRule="auto"/>
    </w:pPr>
    <w:rPr>
      <w:rFonts w:ascii="Calibri" w:hAnsi="Calibri"/>
      <w:b/>
      <w:bCs/>
      <w:i/>
      <w:color w:val="65727E"/>
      <w:sz w:val="18"/>
      <w:szCs w:val="18"/>
    </w:rPr>
  </w:style>
  <w:style w:styleId="Strong" w:type="character">
    <w:name w:val="Strong"/>
    <w:basedOn w:val="DefaultParagraphFont"/>
    <w:uiPriority w:val="22"/>
    <w:qFormat/>
    <w:rsid w:val="00FC693F"/>
    <w:rPr>
      <w:b/>
      <w:bCs/>
    </w:rPr>
  </w:style>
  <w:style w:styleId="Emphasis" w:type="character">
    <w:name w:val="Emphasis"/>
    <w:basedOn w:val="DefaultParagraphFont"/>
    <w:uiPriority w:val="20"/>
    <w:qFormat/>
    <w:rsid w:val="00FC693F"/>
    <w:rPr>
      <w:i/>
      <w:iCs/>
    </w:rPr>
  </w:style>
  <w:style w:styleId="IntenseQuote" w:type="paragraph">
    <w:name w:val="Intense Quote"/>
    <w:basedOn w:val="Normal"/>
    <w:next w:val="Normal"/>
    <w:link w:val="IntenseQuoteChar"/>
    <w:uiPriority w:val="30"/>
    <w:qFormat/>
    <w:rsid w:val="00FC693F"/>
    <w:pPr>
      <w:pBdr>
        <w:bottom w:color="4F81BD" w:space="4" w:sz="4" w:themeColor="accent1" w:val="single"/>
      </w:pBdr>
      <w:spacing w:after="280" w:before="200"/>
      <w:ind w:left="936" w:right="936"/>
    </w:pPr>
    <w:rPr>
      <w:b/>
      <w:bCs/>
      <w:i/>
      <w:iCs/>
      <w:color w:themeColor="accent1" w:val="4F81BD"/>
    </w:rPr>
  </w:style>
  <w:style w:customStyle="1" w:styleId="IntenseQuoteChar" w:type="character">
    <w:name w:val="Intense Quote Char"/>
    <w:basedOn w:val="DefaultParagraphFont"/>
    <w:link w:val="IntenseQuote"/>
    <w:uiPriority w:val="30"/>
    <w:rsid w:val="00FC693F"/>
    <w:rPr>
      <w:b/>
      <w:bCs/>
      <w:i/>
      <w:iCs/>
      <w:color w:themeColor="accent1" w:val="4F81BD"/>
    </w:rPr>
  </w:style>
  <w:style w:styleId="SubtleEmphasis" w:type="character">
    <w:name w:val="Subtle Emphasis"/>
    <w:basedOn w:val="DefaultParagraphFont"/>
    <w:uiPriority w:val="19"/>
    <w:qFormat/>
    <w:rsid w:val="00FC693F"/>
    <w:rPr>
      <w:i/>
      <w:iCs/>
      <w:color w:themeColor="text1" w:themeTint="7F" w:val="808080"/>
    </w:rPr>
  </w:style>
  <w:style w:styleId="IntenseEmphasis" w:type="character">
    <w:name w:val="Intense Emphasis"/>
    <w:basedOn w:val="DefaultParagraphFont"/>
    <w:uiPriority w:val="21"/>
    <w:qFormat/>
    <w:rsid w:val="00FC693F"/>
    <w:rPr>
      <w:b/>
      <w:bCs/>
      <w:i/>
      <w:iCs/>
      <w:color w:themeColor="accent1" w:val="4F81BD"/>
    </w:rPr>
  </w:style>
  <w:style w:styleId="SubtleReference" w:type="character">
    <w:name w:val="Subtle Reference"/>
    <w:basedOn w:val="DefaultParagraphFont"/>
    <w:uiPriority w:val="31"/>
    <w:qFormat/>
    <w:rsid w:val="00FC693F"/>
    <w:rPr>
      <w:smallCaps/>
      <w:color w:themeColor="accent2" w:val="C0504D"/>
      <w:u w:val="single"/>
    </w:rPr>
  </w:style>
  <w:style w:styleId="IntenseReference" w:type="character">
    <w:name w:val="Intense Reference"/>
    <w:basedOn w:val="DefaultParagraphFont"/>
    <w:uiPriority w:val="32"/>
    <w:qFormat/>
    <w:rsid w:val="00FC693F"/>
    <w:rPr>
      <w:b/>
      <w:bCs/>
      <w:smallCaps/>
      <w:color w:themeColor="accent2" w:val="C0504D"/>
      <w:spacing w:val="5"/>
      <w:u w:val="single"/>
    </w:rPr>
  </w:style>
  <w:style w:styleId="BookTitle" w:type="character">
    <w:name w:val="Book Title"/>
    <w:basedOn w:val="DefaultParagraphFont"/>
    <w:uiPriority w:val="33"/>
    <w:qFormat/>
    <w:rsid w:val="00FC693F"/>
    <w:rPr>
      <w:b/>
      <w:bCs/>
      <w:smallCaps/>
      <w:spacing w:val="5"/>
    </w:rPr>
  </w:style>
  <w:style w:styleId="TOCHeading" w:type="paragraph">
    <w:name w:val="TOC Heading"/>
    <w:basedOn w:val="Heading1"/>
    <w:next w:val="Normal"/>
    <w:uiPriority w:val="39"/>
    <w:semiHidden/>
    <w:unhideWhenUsed/>
    <w:qFormat/>
    <w:rsid w:val="00FC693F"/>
    <w:pPr>
      <w:outlineLvl w:val="9"/>
    </w:pPr>
  </w:style>
  <w:style w:styleId="TableGrid" w:type="table">
    <w:name w:val="Table Grid"/>
    <w:basedOn w:val="TableNormal"/>
    <w:uiPriority w:val="59"/>
    <w:rsid w:val="00FC693F"/>
    <w:pPr>
      <w:spacing w:after="0" w:line="240" w:lineRule="auto"/>
    </w:pPr>
    <w:tblPr>
      <w:tblInd w:type="dxa" w:w="0"/>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CellMar>
        <w:top w:type="dxa" w:w="0"/>
        <w:left w:type="dxa" w:w="108"/>
        <w:bottom w:type="dxa" w:w="0"/>
        <w:right w:type="dxa" w:w="108"/>
      </w:tblCellMar>
    </w:tblPr>
  </w:style>
  <w:style w:styleId="LightShading" w:type="table">
    <w:name w:val="Light Shading"/>
    <w:basedOn w:val="TableNormal"/>
    <w:uiPriority w:val="60"/>
    <w:rsid w:val="00FC693F"/>
    <w:pPr>
      <w:spacing w:after="0" w:line="240" w:lineRule="auto"/>
    </w:pPr>
    <w:rPr>
      <w:color w:themeColor="text1" w:themeShade="BF" w:val="000000"/>
    </w:rPr>
    <w:tblPr>
      <w:tblStyleRowBandSize w:val="1"/>
      <w:tblStyleColBandSize w:val="1"/>
      <w:tblInd w:type="dxa" w:w="0"/>
      <w:tblBorders>
        <w:top w:color="000000" w:space="0" w:sz="8" w:themeColor="text1" w:val="single"/>
        <w:bottom w:color="000000" w:space="0" w:sz="8" w:themeColor="text1" w:val="single"/>
      </w:tblBorders>
      <w:tblCellMar>
        <w:top w:type="dxa" w:w="0"/>
        <w:left w:type="dxa" w:w="108"/>
        <w:bottom w:type="dxa" w:w="0"/>
        <w:right w:type="dxa" w:w="108"/>
      </w:tblCellMar>
    </w:tblPr>
    <w:tblStylePr w:type="firstRow">
      <w:pPr>
        <w:spacing w:after="0" w:before="0" w:line="240" w:lineRule="auto"/>
      </w:pPr>
      <w:rPr>
        <w:b/>
        <w:bCs/>
      </w:rPr>
      <w:tblPr/>
      <w:tcPr>
        <w:tcBorders>
          <w:top w:color="000000" w:space="0" w:sz="8" w:themeColor="text1" w:val="single"/>
          <w:left w:val="nil"/>
          <w:bottom w:color="000000" w:space="0" w:sz="8" w:themeColor="text1" w:val="single"/>
          <w:right w:val="nil"/>
          <w:insideH w:val="nil"/>
          <w:insideV w:val="nil"/>
        </w:tcBorders>
      </w:tcPr>
    </w:tblStylePr>
    <w:tblStylePr w:type="lastRow">
      <w:pPr>
        <w:spacing w:after="0" w:before="0" w:line="240" w:lineRule="auto"/>
      </w:pPr>
      <w:rPr>
        <w:b/>
        <w:bCs/>
      </w:rPr>
      <w:tblPr/>
      <w:tcPr>
        <w:tcBorders>
          <w:top w:color="000000" w:space="0" w:sz="8" w:themeColor="text1" w:val="single"/>
          <w:left w:val="nil"/>
          <w:bottom w:color="000000" w:space="0" w:sz="8" w:themeColor="text1"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C0C0C0" w:themeFill="text1" w:themeFillTint="3F" w:val="clear"/>
      </w:tcPr>
    </w:tblStylePr>
    <w:tblStylePr w:type="band1Horz">
      <w:tblPr/>
      <w:tcPr>
        <w:tcBorders>
          <w:left w:val="nil"/>
          <w:right w:val="nil"/>
          <w:insideH w:val="nil"/>
          <w:insideV w:val="nil"/>
        </w:tcBorders>
        <w:shd w:color="auto" w:fill="C0C0C0" w:themeFill="text1" w:themeFillTint="3F" w:val="clear"/>
      </w:tcPr>
    </w:tblStylePr>
  </w:style>
  <w:style w:styleId="LightShading-Accent1" w:type="table">
    <w:name w:val="Light Shading Accent 1"/>
    <w:basedOn w:val="TableNormal"/>
    <w:uiPriority w:val="60"/>
    <w:rsid w:val="00FC693F"/>
    <w:pPr>
      <w:spacing w:after="0" w:line="240" w:lineRule="auto"/>
    </w:pPr>
    <w:rPr>
      <w:color w:themeColor="accent1" w:themeShade="BF" w:val="365F91"/>
    </w:rPr>
    <w:tblPr>
      <w:tblStyleRowBandSize w:val="1"/>
      <w:tblStyleColBandSize w:val="1"/>
      <w:tblInd w:type="dxa" w:w="0"/>
      <w:tblBorders>
        <w:top w:color="4F81BD" w:space="0" w:sz="8" w:themeColor="accent1" w:val="single"/>
        <w:bottom w:color="4F81BD" w:space="0" w:sz="8" w:themeColor="accent1" w:val="single"/>
      </w:tblBorders>
      <w:tblCellMar>
        <w:top w:type="dxa" w:w="0"/>
        <w:left w:type="dxa" w:w="108"/>
        <w:bottom w:type="dxa" w:w="0"/>
        <w:right w:type="dxa" w:w="108"/>
      </w:tblCellMar>
    </w:tblPr>
    <w:tblStylePr w:type="firstRow">
      <w:pPr>
        <w:spacing w:after="0" w:before="0" w:line="240" w:lineRule="auto"/>
      </w:pPr>
      <w:rPr>
        <w:b/>
        <w:bCs/>
      </w:rPr>
      <w:tblPr/>
      <w:tcPr>
        <w:tcBorders>
          <w:top w:color="4F81BD" w:space="0" w:sz="8" w:themeColor="accent1" w:val="single"/>
          <w:left w:val="nil"/>
          <w:bottom w:color="4F81BD" w:space="0" w:sz="8" w:themeColor="accent1" w:val="single"/>
          <w:right w:val="nil"/>
          <w:insideH w:val="nil"/>
          <w:insideV w:val="nil"/>
        </w:tcBorders>
      </w:tcPr>
    </w:tblStylePr>
    <w:tblStylePr w:type="lastRow">
      <w:pPr>
        <w:spacing w:after="0" w:before="0" w:line="240" w:lineRule="auto"/>
      </w:pPr>
      <w:rPr>
        <w:b/>
        <w:bCs/>
      </w:rPr>
      <w:tblPr/>
      <w:tcPr>
        <w:tcBorders>
          <w:top w:color="4F81BD" w:space="0" w:sz="8" w:themeColor="accent1" w:val="single"/>
          <w:left w:val="nil"/>
          <w:bottom w:color="4F81BD" w:space="0" w:sz="8" w:themeColor="accent1"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D3DFEE" w:themeFill="accent1" w:themeFillTint="3F" w:val="clear"/>
      </w:tcPr>
    </w:tblStylePr>
    <w:tblStylePr w:type="band1Horz">
      <w:tblPr/>
      <w:tcPr>
        <w:tcBorders>
          <w:left w:val="nil"/>
          <w:right w:val="nil"/>
          <w:insideH w:val="nil"/>
          <w:insideV w:val="nil"/>
        </w:tcBorders>
        <w:shd w:color="auto" w:fill="D3DFEE" w:themeFill="accent1" w:themeFillTint="3F" w:val="clear"/>
      </w:tcPr>
    </w:tblStylePr>
  </w:style>
  <w:style w:styleId="LightShading-Accent2" w:type="table">
    <w:name w:val="Light Shading Accent 2"/>
    <w:basedOn w:val="TableNormal"/>
    <w:uiPriority w:val="60"/>
    <w:rsid w:val="00FC693F"/>
    <w:pPr>
      <w:spacing w:after="0" w:line="240" w:lineRule="auto"/>
    </w:pPr>
    <w:rPr>
      <w:color w:themeColor="accent2" w:themeShade="BF" w:val="943634"/>
    </w:rPr>
    <w:tblPr>
      <w:tblStyleRowBandSize w:val="1"/>
      <w:tblStyleColBandSize w:val="1"/>
      <w:tblInd w:type="dxa" w:w="0"/>
      <w:tblBorders>
        <w:top w:color="C0504D" w:space="0" w:sz="8" w:themeColor="accent2" w:val="single"/>
        <w:bottom w:color="C0504D" w:space="0" w:sz="8" w:themeColor="accent2" w:val="single"/>
      </w:tblBorders>
      <w:tblCellMar>
        <w:top w:type="dxa" w:w="0"/>
        <w:left w:type="dxa" w:w="108"/>
        <w:bottom w:type="dxa" w:w="0"/>
        <w:right w:type="dxa" w:w="108"/>
      </w:tblCellMar>
    </w:tblPr>
    <w:tblStylePr w:type="firstRow">
      <w:pPr>
        <w:spacing w:after="0" w:before="0" w:line="240" w:lineRule="auto"/>
      </w:pPr>
      <w:rPr>
        <w:b/>
        <w:bCs/>
      </w:rPr>
      <w:tblPr/>
      <w:tcPr>
        <w:tcBorders>
          <w:top w:color="C0504D" w:space="0" w:sz="8" w:themeColor="accent2" w:val="single"/>
          <w:left w:val="nil"/>
          <w:bottom w:color="C0504D" w:space="0" w:sz="8" w:themeColor="accent2" w:val="single"/>
          <w:right w:val="nil"/>
          <w:insideH w:val="nil"/>
          <w:insideV w:val="nil"/>
        </w:tcBorders>
      </w:tcPr>
    </w:tblStylePr>
    <w:tblStylePr w:type="lastRow">
      <w:pPr>
        <w:spacing w:after="0" w:before="0" w:line="240" w:lineRule="auto"/>
      </w:pPr>
      <w:rPr>
        <w:b/>
        <w:bCs/>
      </w:rPr>
      <w:tblPr/>
      <w:tcPr>
        <w:tcBorders>
          <w:top w:color="C0504D" w:space="0" w:sz="8" w:themeColor="accent2" w:val="single"/>
          <w:left w:val="nil"/>
          <w:bottom w:color="C0504D" w:space="0" w:sz="8" w:themeColor="accent2"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EFD3D2" w:themeFill="accent2" w:themeFillTint="3F" w:val="clear"/>
      </w:tcPr>
    </w:tblStylePr>
    <w:tblStylePr w:type="band1Horz">
      <w:tblPr/>
      <w:tcPr>
        <w:tcBorders>
          <w:left w:val="nil"/>
          <w:right w:val="nil"/>
          <w:insideH w:val="nil"/>
          <w:insideV w:val="nil"/>
        </w:tcBorders>
        <w:shd w:color="auto" w:fill="EFD3D2" w:themeFill="accent2" w:themeFillTint="3F" w:val="clear"/>
      </w:tcPr>
    </w:tblStylePr>
  </w:style>
  <w:style w:styleId="LightShading-Accent3" w:type="table">
    <w:name w:val="Light Shading Accent 3"/>
    <w:basedOn w:val="TableNormal"/>
    <w:uiPriority w:val="60"/>
    <w:rsid w:val="00FC693F"/>
    <w:pPr>
      <w:spacing w:after="0" w:line="240" w:lineRule="auto"/>
    </w:pPr>
    <w:rPr>
      <w:color w:themeColor="accent3" w:themeShade="BF" w:val="76923C"/>
    </w:rPr>
    <w:tblPr>
      <w:tblStyleRowBandSize w:val="1"/>
      <w:tblStyleColBandSize w:val="1"/>
      <w:tblInd w:type="dxa" w:w="0"/>
      <w:tblBorders>
        <w:top w:color="9BBB59" w:space="0" w:sz="8" w:themeColor="accent3" w:val="single"/>
        <w:bottom w:color="9BBB59" w:space="0" w:sz="8" w:themeColor="accent3" w:val="single"/>
      </w:tblBorders>
      <w:tblCellMar>
        <w:top w:type="dxa" w:w="0"/>
        <w:left w:type="dxa" w:w="108"/>
        <w:bottom w:type="dxa" w:w="0"/>
        <w:right w:type="dxa" w:w="108"/>
      </w:tblCellMar>
    </w:tblPr>
    <w:tblStylePr w:type="firstRow">
      <w:pPr>
        <w:spacing w:after="0" w:before="0" w:line="240" w:lineRule="auto"/>
      </w:pPr>
      <w:rPr>
        <w:b/>
        <w:bCs/>
      </w:rPr>
      <w:tblPr/>
      <w:tcPr>
        <w:tcBorders>
          <w:top w:color="9BBB59" w:space="0" w:sz="8" w:themeColor="accent3" w:val="single"/>
          <w:left w:val="nil"/>
          <w:bottom w:color="9BBB59" w:space="0" w:sz="8" w:themeColor="accent3" w:val="single"/>
          <w:right w:val="nil"/>
          <w:insideH w:val="nil"/>
          <w:insideV w:val="nil"/>
        </w:tcBorders>
      </w:tcPr>
    </w:tblStylePr>
    <w:tblStylePr w:type="lastRow">
      <w:pPr>
        <w:spacing w:after="0" w:before="0" w:line="240" w:lineRule="auto"/>
      </w:pPr>
      <w:rPr>
        <w:b/>
        <w:bCs/>
      </w:rPr>
      <w:tblPr/>
      <w:tcPr>
        <w:tcBorders>
          <w:top w:color="9BBB59" w:space="0" w:sz="8" w:themeColor="accent3" w:val="single"/>
          <w:left w:val="nil"/>
          <w:bottom w:color="9BBB59" w:space="0" w:sz="8" w:themeColor="accent3"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E6EED5" w:themeFill="accent3" w:themeFillTint="3F" w:val="clear"/>
      </w:tcPr>
    </w:tblStylePr>
    <w:tblStylePr w:type="band1Horz">
      <w:tblPr/>
      <w:tcPr>
        <w:tcBorders>
          <w:left w:val="nil"/>
          <w:right w:val="nil"/>
          <w:insideH w:val="nil"/>
          <w:insideV w:val="nil"/>
        </w:tcBorders>
        <w:shd w:color="auto" w:fill="E6EED5" w:themeFill="accent3" w:themeFillTint="3F" w:val="clear"/>
      </w:tcPr>
    </w:tblStylePr>
  </w:style>
  <w:style w:styleId="LightShading-Accent4" w:type="table">
    <w:name w:val="Light Shading Accent 4"/>
    <w:basedOn w:val="TableNormal"/>
    <w:uiPriority w:val="60"/>
    <w:rsid w:val="00FC693F"/>
    <w:pPr>
      <w:spacing w:after="0" w:line="240" w:lineRule="auto"/>
    </w:pPr>
    <w:rPr>
      <w:color w:themeColor="accent4" w:themeShade="BF" w:val="5F497A"/>
    </w:rPr>
    <w:tblPr>
      <w:tblStyleRowBandSize w:val="1"/>
      <w:tblStyleColBandSize w:val="1"/>
      <w:tblInd w:type="dxa" w:w="0"/>
      <w:tblBorders>
        <w:top w:color="8064A2" w:space="0" w:sz="8" w:themeColor="accent4" w:val="single"/>
        <w:bottom w:color="8064A2" w:space="0" w:sz="8" w:themeColor="accent4" w:val="single"/>
      </w:tblBorders>
      <w:tblCellMar>
        <w:top w:type="dxa" w:w="0"/>
        <w:left w:type="dxa" w:w="108"/>
        <w:bottom w:type="dxa" w:w="0"/>
        <w:right w:type="dxa" w:w="108"/>
      </w:tblCellMar>
    </w:tblPr>
    <w:tblStylePr w:type="firstRow">
      <w:pPr>
        <w:spacing w:after="0" w:before="0" w:line="240" w:lineRule="auto"/>
      </w:pPr>
      <w:rPr>
        <w:b/>
        <w:bCs/>
      </w:rPr>
      <w:tblPr/>
      <w:tcPr>
        <w:tcBorders>
          <w:top w:color="8064A2" w:space="0" w:sz="8" w:themeColor="accent4" w:val="single"/>
          <w:left w:val="nil"/>
          <w:bottom w:color="8064A2" w:space="0" w:sz="8" w:themeColor="accent4" w:val="single"/>
          <w:right w:val="nil"/>
          <w:insideH w:val="nil"/>
          <w:insideV w:val="nil"/>
        </w:tcBorders>
      </w:tcPr>
    </w:tblStylePr>
    <w:tblStylePr w:type="lastRow">
      <w:pPr>
        <w:spacing w:after="0" w:before="0" w:line="240" w:lineRule="auto"/>
      </w:pPr>
      <w:rPr>
        <w:b/>
        <w:bCs/>
      </w:rPr>
      <w:tblPr/>
      <w:tcPr>
        <w:tcBorders>
          <w:top w:color="8064A2" w:space="0" w:sz="8" w:themeColor="accent4" w:val="single"/>
          <w:left w:val="nil"/>
          <w:bottom w:color="8064A2" w:space="0" w:sz="8" w:themeColor="accent4"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DFD8E8" w:themeFill="accent4" w:themeFillTint="3F" w:val="clear"/>
      </w:tcPr>
    </w:tblStylePr>
    <w:tblStylePr w:type="band1Horz">
      <w:tblPr/>
      <w:tcPr>
        <w:tcBorders>
          <w:left w:val="nil"/>
          <w:right w:val="nil"/>
          <w:insideH w:val="nil"/>
          <w:insideV w:val="nil"/>
        </w:tcBorders>
        <w:shd w:color="auto" w:fill="DFD8E8" w:themeFill="accent4" w:themeFillTint="3F" w:val="clear"/>
      </w:tcPr>
    </w:tblStylePr>
  </w:style>
  <w:style w:styleId="LightShading-Accent5" w:type="table">
    <w:name w:val="Light Shading Accent 5"/>
    <w:basedOn w:val="TableNormal"/>
    <w:uiPriority w:val="60"/>
    <w:rsid w:val="00FC693F"/>
    <w:pPr>
      <w:spacing w:after="0" w:line="240" w:lineRule="auto"/>
    </w:pPr>
    <w:rPr>
      <w:color w:themeColor="accent5" w:themeShade="BF" w:val="31849B"/>
    </w:rPr>
    <w:tblPr>
      <w:tblStyleRowBandSize w:val="1"/>
      <w:tblStyleColBandSize w:val="1"/>
      <w:tblInd w:type="dxa" w:w="0"/>
      <w:tblBorders>
        <w:top w:color="4BACC6" w:space="0" w:sz="8" w:themeColor="accent5" w:val="single"/>
        <w:bottom w:color="4BACC6" w:space="0" w:sz="8" w:themeColor="accent5" w:val="single"/>
      </w:tblBorders>
      <w:tblCellMar>
        <w:top w:type="dxa" w:w="0"/>
        <w:left w:type="dxa" w:w="108"/>
        <w:bottom w:type="dxa" w:w="0"/>
        <w:right w:type="dxa" w:w="108"/>
      </w:tblCellMar>
    </w:tblPr>
    <w:tblStylePr w:type="firstRow">
      <w:pPr>
        <w:spacing w:after="0" w:before="0" w:line="240" w:lineRule="auto"/>
      </w:pPr>
      <w:rPr>
        <w:b/>
        <w:bCs/>
      </w:rPr>
      <w:tblPr/>
      <w:tcPr>
        <w:tcBorders>
          <w:top w:color="4BACC6" w:space="0" w:sz="8" w:themeColor="accent5" w:val="single"/>
          <w:left w:val="nil"/>
          <w:bottom w:color="4BACC6" w:space="0" w:sz="8" w:themeColor="accent5" w:val="single"/>
          <w:right w:val="nil"/>
          <w:insideH w:val="nil"/>
          <w:insideV w:val="nil"/>
        </w:tcBorders>
      </w:tcPr>
    </w:tblStylePr>
    <w:tblStylePr w:type="lastRow">
      <w:pPr>
        <w:spacing w:after="0" w:before="0" w:line="240" w:lineRule="auto"/>
      </w:pPr>
      <w:rPr>
        <w:b/>
        <w:bCs/>
      </w:rPr>
      <w:tblPr/>
      <w:tcPr>
        <w:tcBorders>
          <w:top w:color="4BACC6" w:space="0" w:sz="8" w:themeColor="accent5" w:val="single"/>
          <w:left w:val="nil"/>
          <w:bottom w:color="4BACC6" w:space="0" w:sz="8" w:themeColor="accent5"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D2EAF1" w:themeFill="accent5" w:themeFillTint="3F" w:val="clear"/>
      </w:tcPr>
    </w:tblStylePr>
    <w:tblStylePr w:type="band1Horz">
      <w:tblPr/>
      <w:tcPr>
        <w:tcBorders>
          <w:left w:val="nil"/>
          <w:right w:val="nil"/>
          <w:insideH w:val="nil"/>
          <w:insideV w:val="nil"/>
        </w:tcBorders>
        <w:shd w:color="auto" w:fill="D2EAF1" w:themeFill="accent5" w:themeFillTint="3F" w:val="clear"/>
      </w:tcPr>
    </w:tblStylePr>
  </w:style>
  <w:style w:styleId="LightShading-Accent6" w:type="table">
    <w:name w:val="Light Shading Accent 6"/>
    <w:basedOn w:val="TableNormal"/>
    <w:uiPriority w:val="60"/>
    <w:rsid w:val="00FC693F"/>
    <w:pPr>
      <w:spacing w:after="0" w:line="240" w:lineRule="auto"/>
    </w:pPr>
    <w:rPr>
      <w:color w:themeColor="accent6" w:themeShade="BF" w:val="E36C0A"/>
    </w:rPr>
    <w:tblPr>
      <w:tblStyleRowBandSize w:val="1"/>
      <w:tblStyleColBandSize w:val="1"/>
      <w:tblInd w:type="dxa" w:w="0"/>
      <w:tblBorders>
        <w:top w:color="F79646" w:space="0" w:sz="8" w:themeColor="accent6" w:val="single"/>
        <w:bottom w:color="F79646" w:space="0" w:sz="8" w:themeColor="accent6" w:val="single"/>
      </w:tblBorders>
      <w:tblCellMar>
        <w:top w:type="dxa" w:w="0"/>
        <w:left w:type="dxa" w:w="108"/>
        <w:bottom w:type="dxa" w:w="0"/>
        <w:right w:type="dxa" w:w="108"/>
      </w:tblCellMar>
    </w:tblPr>
    <w:tblStylePr w:type="firstRow">
      <w:pPr>
        <w:spacing w:after="0" w:before="0" w:line="240" w:lineRule="auto"/>
      </w:pPr>
      <w:rPr>
        <w:b/>
        <w:bCs/>
      </w:rPr>
      <w:tblPr/>
      <w:tcPr>
        <w:tcBorders>
          <w:top w:color="F79646" w:space="0" w:sz="8" w:themeColor="accent6" w:val="single"/>
          <w:left w:val="nil"/>
          <w:bottom w:color="F79646" w:space="0" w:sz="8" w:themeColor="accent6" w:val="single"/>
          <w:right w:val="nil"/>
          <w:insideH w:val="nil"/>
          <w:insideV w:val="nil"/>
        </w:tcBorders>
      </w:tcPr>
    </w:tblStylePr>
    <w:tblStylePr w:type="lastRow">
      <w:pPr>
        <w:spacing w:after="0" w:before="0" w:line="240" w:lineRule="auto"/>
      </w:pPr>
      <w:rPr>
        <w:b/>
        <w:bCs/>
      </w:rPr>
      <w:tblPr/>
      <w:tcPr>
        <w:tcBorders>
          <w:top w:color="F79646" w:space="0" w:sz="8" w:themeColor="accent6" w:val="single"/>
          <w:left w:val="nil"/>
          <w:bottom w:color="F79646" w:space="0" w:sz="8" w:themeColor="accent6"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FDE4D0" w:themeFill="accent6" w:themeFillTint="3F" w:val="clear"/>
      </w:tcPr>
    </w:tblStylePr>
    <w:tblStylePr w:type="band1Horz">
      <w:tblPr/>
      <w:tcPr>
        <w:tcBorders>
          <w:left w:val="nil"/>
          <w:right w:val="nil"/>
          <w:insideH w:val="nil"/>
          <w:insideV w:val="nil"/>
        </w:tcBorders>
        <w:shd w:color="auto" w:fill="FDE4D0" w:themeFill="accent6" w:themeFillTint="3F" w:val="clear"/>
      </w:tcPr>
    </w:tblStylePr>
  </w:style>
  <w:style w:styleId="LightList" w:type="table">
    <w:name w:val="Light List"/>
    <w:basedOn w:val="TableNormal"/>
    <w:uiPriority w:val="61"/>
    <w:rsid w:val="00FC693F"/>
    <w:pPr>
      <w:spacing w:after="0" w:line="240" w:lineRule="auto"/>
    </w:p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000000" w:themeFill="text1" w:val="clear"/>
      </w:tcPr>
    </w:tblStylePr>
    <w:tblStylePr w:type="lastRow">
      <w:pPr>
        <w:spacing w:after="0" w:before="0" w:line="240" w:lineRule="auto"/>
      </w:pPr>
      <w:rPr>
        <w:b/>
        <w:bCs/>
      </w:rPr>
      <w:tblPr/>
      <w:tcPr>
        <w:tcBorders>
          <w:top w:color="000000" w:space="0" w:sz="6" w:themeColor="text1" w:val="double"/>
          <w:left w:color="000000" w:space="0" w:sz="8" w:themeColor="text1" w:val="single"/>
          <w:bottom w:color="000000" w:space="0" w:sz="8" w:themeColor="text1" w:val="single"/>
          <w:right w:color="000000" w:space="0" w:sz="8" w:themeColor="text1" w:val="single"/>
        </w:tcBorders>
      </w:tcPr>
    </w:tblStylePr>
    <w:tblStylePr w:type="firstCol">
      <w:rPr>
        <w:b/>
        <w:bCs/>
      </w:rPr>
    </w:tblStylePr>
    <w:tblStylePr w:type="lastCol">
      <w:rPr>
        <w:b/>
        <w:bCs/>
      </w:rPr>
    </w:tblStylePr>
    <w:tblStylePr w:type="band1Vert">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tblStylePr w:type="band1Horz">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style>
  <w:style w:styleId="LightList-Accent1" w:type="table">
    <w:name w:val="Light List Accent 1"/>
    <w:basedOn w:val="TableNormal"/>
    <w:uiPriority w:val="61"/>
    <w:rsid w:val="00FC693F"/>
    <w:pPr>
      <w:spacing w:after="0" w:line="240" w:lineRule="auto"/>
    </w:p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4F81BD" w:themeFill="accent1" w:val="clear"/>
      </w:tcPr>
    </w:tblStylePr>
    <w:tblStylePr w:type="lastRow">
      <w:pPr>
        <w:spacing w:after="0" w:before="0" w:line="240" w:lineRule="auto"/>
      </w:pPr>
      <w:rPr>
        <w:b/>
        <w:bCs/>
      </w:rPr>
      <w:tblPr/>
      <w:tcPr>
        <w:tcBorders>
          <w:top w:color="4F81BD" w:space="0" w:sz="6" w:themeColor="accent1" w:val="double"/>
          <w:left w:color="4F81BD" w:space="0" w:sz="8" w:themeColor="accent1" w:val="single"/>
          <w:bottom w:color="4F81BD" w:space="0" w:sz="8" w:themeColor="accent1" w:val="single"/>
          <w:right w:color="4F81BD" w:space="0" w:sz="8" w:themeColor="accent1" w:val="single"/>
        </w:tcBorders>
      </w:tcPr>
    </w:tblStylePr>
    <w:tblStylePr w:type="firstCol">
      <w:rPr>
        <w:b/>
        <w:bCs/>
      </w:rPr>
    </w:tblStylePr>
    <w:tblStylePr w:type="lastCol">
      <w:rPr>
        <w:b/>
        <w:bCs/>
      </w:rPr>
    </w:tblStylePr>
    <w:tblStylePr w:type="band1Vert">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tblStylePr w:type="band1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style>
  <w:style w:styleId="LightList-Accent2" w:type="table">
    <w:name w:val="Light List Accent 2"/>
    <w:basedOn w:val="TableNormal"/>
    <w:uiPriority w:val="61"/>
    <w:rsid w:val="00CB0664"/>
    <w:pPr>
      <w:spacing w:after="0" w:line="240" w:lineRule="auto"/>
    </w:p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C0504D" w:themeFill="accent2" w:val="clear"/>
      </w:tcPr>
    </w:tblStylePr>
    <w:tblStylePr w:type="lastRow">
      <w:pPr>
        <w:spacing w:after="0" w:before="0" w:line="240" w:lineRule="auto"/>
      </w:pPr>
      <w:rPr>
        <w:b/>
        <w:bCs/>
      </w:rPr>
      <w:tblPr/>
      <w:tcPr>
        <w:tcBorders>
          <w:top w:color="C0504D" w:space="0" w:sz="6" w:themeColor="accent2" w:val="double"/>
          <w:left w:color="C0504D" w:space="0" w:sz="8" w:themeColor="accent2" w:val="single"/>
          <w:bottom w:color="C0504D" w:space="0" w:sz="8" w:themeColor="accent2" w:val="single"/>
          <w:right w:color="C0504D" w:space="0" w:sz="8" w:themeColor="accent2" w:val="single"/>
        </w:tcBorders>
      </w:tcPr>
    </w:tblStylePr>
    <w:tblStylePr w:type="firstCol">
      <w:rPr>
        <w:b/>
        <w:bCs/>
      </w:rPr>
    </w:tblStylePr>
    <w:tblStylePr w:type="lastCol">
      <w:rPr>
        <w:b/>
        <w:bCs/>
      </w:rPr>
    </w:tblStylePr>
    <w:tblStylePr w:type="band1Vert">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tblStylePr w:type="band1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style>
  <w:style w:styleId="LightList-Accent3" w:type="table">
    <w:name w:val="Light List Accent 3"/>
    <w:basedOn w:val="TableNormal"/>
    <w:uiPriority w:val="61"/>
    <w:rsid w:val="00CB0664"/>
    <w:pPr>
      <w:spacing w:after="0" w:line="240" w:lineRule="auto"/>
    </w:p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9BBB59" w:themeFill="accent3" w:val="clear"/>
      </w:tcPr>
    </w:tblStylePr>
    <w:tblStylePr w:type="lastRow">
      <w:pPr>
        <w:spacing w:after="0" w:before="0" w:line="240" w:lineRule="auto"/>
      </w:pPr>
      <w:rPr>
        <w:b/>
        <w:bCs/>
      </w:rPr>
      <w:tblPr/>
      <w:tcPr>
        <w:tcBorders>
          <w:top w:color="9BBB59" w:space="0" w:sz="6" w:themeColor="accent3" w:val="double"/>
          <w:left w:color="9BBB59" w:space="0" w:sz="8" w:themeColor="accent3" w:val="single"/>
          <w:bottom w:color="9BBB59" w:space="0" w:sz="8" w:themeColor="accent3" w:val="single"/>
          <w:right w:color="9BBB59" w:space="0" w:sz="8" w:themeColor="accent3" w:val="single"/>
        </w:tcBorders>
      </w:tcPr>
    </w:tblStylePr>
    <w:tblStylePr w:type="firstCol">
      <w:rPr>
        <w:b/>
        <w:bCs/>
      </w:rPr>
    </w:tblStylePr>
    <w:tblStylePr w:type="lastCol">
      <w:rPr>
        <w:b/>
        <w:bCs/>
      </w:rPr>
    </w:tblStylePr>
    <w:tblStylePr w:type="band1Vert">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tblStylePr w:type="band1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style>
  <w:style w:styleId="LightList-Accent4" w:type="table">
    <w:name w:val="Light List Accent 4"/>
    <w:basedOn w:val="TableNormal"/>
    <w:uiPriority w:val="61"/>
    <w:rsid w:val="00CB0664"/>
    <w:pPr>
      <w:spacing w:after="0" w:line="240" w:lineRule="auto"/>
    </w:p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8064A2" w:themeFill="accent4" w:val="clear"/>
      </w:tcPr>
    </w:tblStylePr>
    <w:tblStylePr w:type="lastRow">
      <w:pPr>
        <w:spacing w:after="0" w:before="0" w:line="240" w:lineRule="auto"/>
      </w:pPr>
      <w:rPr>
        <w:b/>
        <w:bCs/>
      </w:rPr>
      <w:tblPr/>
      <w:tcPr>
        <w:tcBorders>
          <w:top w:color="8064A2" w:space="0" w:sz="6" w:themeColor="accent4" w:val="double"/>
          <w:left w:color="8064A2" w:space="0" w:sz="8" w:themeColor="accent4" w:val="single"/>
          <w:bottom w:color="8064A2" w:space="0" w:sz="8" w:themeColor="accent4" w:val="single"/>
          <w:right w:color="8064A2" w:space="0" w:sz="8" w:themeColor="accent4" w:val="single"/>
        </w:tcBorders>
      </w:tcPr>
    </w:tblStylePr>
    <w:tblStylePr w:type="firstCol">
      <w:rPr>
        <w:b/>
        <w:bCs/>
      </w:rPr>
    </w:tblStylePr>
    <w:tblStylePr w:type="lastCol">
      <w:rPr>
        <w:b/>
        <w:bCs/>
      </w:rPr>
    </w:tblStylePr>
    <w:tblStylePr w:type="band1Vert">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tblStylePr w:type="band1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style>
  <w:style w:styleId="LightList-Accent5" w:type="table">
    <w:name w:val="Light List Accent 5"/>
    <w:basedOn w:val="TableNormal"/>
    <w:uiPriority w:val="61"/>
    <w:rsid w:val="00CB0664"/>
    <w:pPr>
      <w:spacing w:after="0" w:line="240" w:lineRule="auto"/>
    </w:p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4BACC6" w:themeFill="accent5" w:val="clear"/>
      </w:tcPr>
    </w:tblStylePr>
    <w:tblStylePr w:type="lastRow">
      <w:pPr>
        <w:spacing w:after="0" w:before="0" w:line="240" w:lineRule="auto"/>
      </w:pPr>
      <w:rPr>
        <w:b/>
        <w:bCs/>
      </w:rPr>
      <w:tblPr/>
      <w:tcPr>
        <w:tcBorders>
          <w:top w:color="4BACC6" w:space="0" w:sz="6" w:themeColor="accent5" w:val="double"/>
          <w:left w:color="4BACC6" w:space="0" w:sz="8" w:themeColor="accent5" w:val="single"/>
          <w:bottom w:color="4BACC6" w:space="0" w:sz="8" w:themeColor="accent5" w:val="single"/>
          <w:right w:color="4BACC6" w:space="0" w:sz="8" w:themeColor="accent5" w:val="single"/>
        </w:tcBorders>
      </w:tcPr>
    </w:tblStylePr>
    <w:tblStylePr w:type="firstCol">
      <w:rPr>
        <w:b/>
        <w:bCs/>
      </w:rPr>
    </w:tblStylePr>
    <w:tblStylePr w:type="lastCol">
      <w:rPr>
        <w:b/>
        <w:bCs/>
      </w:rPr>
    </w:tblStylePr>
    <w:tblStylePr w:type="band1Vert">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tblStylePr w:type="band1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style>
  <w:style w:styleId="LightList-Accent6" w:type="table">
    <w:name w:val="Light List Accent 6"/>
    <w:basedOn w:val="TableNormal"/>
    <w:uiPriority w:val="61"/>
    <w:rsid w:val="00CB0664"/>
    <w:pPr>
      <w:spacing w:after="0" w:line="240" w:lineRule="auto"/>
    </w:p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F79646" w:themeFill="accent6" w:val="clear"/>
      </w:tcPr>
    </w:tblStylePr>
    <w:tblStylePr w:type="lastRow">
      <w:pPr>
        <w:spacing w:after="0" w:before="0" w:line="240" w:lineRule="auto"/>
      </w:pPr>
      <w:rPr>
        <w:b/>
        <w:bCs/>
      </w:rPr>
      <w:tblPr/>
      <w:tcPr>
        <w:tcBorders>
          <w:top w:color="F79646" w:space="0" w:sz="6" w:themeColor="accent6" w:val="double"/>
          <w:left w:color="F79646" w:space="0" w:sz="8" w:themeColor="accent6" w:val="single"/>
          <w:bottom w:color="F79646" w:space="0" w:sz="8" w:themeColor="accent6" w:val="single"/>
          <w:right w:color="F79646" w:space="0" w:sz="8" w:themeColor="accent6" w:val="single"/>
        </w:tcBorders>
      </w:tcPr>
    </w:tblStylePr>
    <w:tblStylePr w:type="firstCol">
      <w:rPr>
        <w:b/>
        <w:bCs/>
      </w:rPr>
    </w:tblStylePr>
    <w:tblStylePr w:type="lastCol">
      <w:rPr>
        <w:b/>
        <w:bCs/>
      </w:rPr>
    </w:tblStylePr>
    <w:tblStylePr w:type="band1Vert">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tblStylePr w:type="band1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style>
  <w:style w:styleId="LightGrid" w:type="table">
    <w:name w:val="Light Grid"/>
    <w:basedOn w:val="TableNormal"/>
    <w:uiPriority w:val="62"/>
    <w:rsid w:val="00CB0664"/>
    <w:pPr>
      <w:spacing w:after="0" w:line="240" w:lineRule="auto"/>
    </w:p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insideH w:color="000000" w:space="0" w:sz="8" w:themeColor="text1" w:val="single"/>
        <w:insideV w:color="000000" w:space="0" w:sz="8" w:themeColor="text1"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000000" w:space="0" w:sz="8" w:themeColor="text1" w:val="single"/>
          <w:left w:color="000000" w:space="0" w:sz="8" w:themeColor="text1" w:val="single"/>
          <w:bottom w:color="000000" w:space="0" w:sz="18" w:themeColor="text1" w:val="single"/>
          <w:right w:color="000000" w:space="0" w:sz="8" w:themeColor="text1" w:val="single"/>
          <w:insideH w:val="nil"/>
          <w:insideV w:color="000000" w:space="0" w:sz="8" w:themeColor="text1" w:val="single"/>
        </w:tcBorders>
      </w:tcPr>
    </w:tblStylePr>
    <w:tblStylePr w:type="lastRow">
      <w:pPr>
        <w:spacing w:after="0" w:before="0" w:line="240" w:lineRule="auto"/>
      </w:pPr>
      <w:rPr>
        <w:rFonts w:asciiTheme="majorHAnsi" w:cstheme="majorBidi" w:eastAsiaTheme="majorEastAsia" w:hAnsiTheme="majorHAnsi"/>
        <w:b/>
        <w:bCs/>
      </w:rPr>
      <w:tblPr/>
      <w:tcPr>
        <w:tcBorders>
          <w:top w:color="000000" w:space="0" w:sz="6" w:themeColor="text1" w:val="double"/>
          <w:left w:color="000000" w:space="0" w:sz="8" w:themeColor="text1" w:val="single"/>
          <w:bottom w:color="000000" w:space="0" w:sz="8" w:themeColor="text1" w:val="single"/>
          <w:right w:color="000000" w:space="0" w:sz="8" w:themeColor="text1" w:val="single"/>
          <w:insideH w:val="nil"/>
          <w:insideV w:color="000000" w:space="0" w:sz="8" w:themeColor="text1"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tblStylePr w:type="band1Vert">
      <w:tblPr/>
      <w:tcPr>
        <w:tcBorders>
          <w:top w:color="000000" w:space="0" w:sz="8" w:themeColor="text1" w:val="single"/>
          <w:left w:color="000000" w:space="0" w:sz="8" w:themeColor="text1" w:val="single"/>
          <w:bottom w:color="000000" w:space="0" w:sz="8" w:themeColor="text1" w:val="single"/>
          <w:right w:color="000000" w:space="0" w:sz="8" w:themeColor="text1" w:val="single"/>
        </w:tcBorders>
        <w:shd w:color="auto" w:fill="C0C0C0" w:themeFill="text1" w:themeFillTint="3F" w:val="clear"/>
      </w:tcPr>
    </w:tblStylePr>
    <w:tblStylePr w:type="band1Horz">
      <w:tblPr/>
      <w:tcPr>
        <w:tcBorders>
          <w:top w:color="000000" w:space="0" w:sz="8" w:themeColor="text1" w:val="single"/>
          <w:left w:color="000000" w:space="0" w:sz="8" w:themeColor="text1" w:val="single"/>
          <w:bottom w:color="000000" w:space="0" w:sz="8" w:themeColor="text1" w:val="single"/>
          <w:right w:color="000000" w:space="0" w:sz="8" w:themeColor="text1" w:val="single"/>
          <w:insideV w:color="000000" w:space="0" w:sz="8" w:themeColor="text1" w:val="single"/>
        </w:tcBorders>
        <w:shd w:color="auto" w:fill="C0C0C0" w:themeFill="text1" w:themeFillTint="3F" w:val="clear"/>
      </w:tcPr>
    </w:tblStylePr>
    <w:tblStylePr w:type="band2Horz">
      <w:tblPr/>
      <w:tcPr>
        <w:tcBorders>
          <w:top w:color="000000" w:space="0" w:sz="8" w:themeColor="text1" w:val="single"/>
          <w:left w:color="000000" w:space="0" w:sz="8" w:themeColor="text1" w:val="single"/>
          <w:bottom w:color="000000" w:space="0" w:sz="8" w:themeColor="text1" w:val="single"/>
          <w:right w:color="000000" w:space="0" w:sz="8" w:themeColor="text1" w:val="single"/>
          <w:insideV w:color="000000" w:space="0" w:sz="8" w:themeColor="text1" w:val="single"/>
        </w:tcBorders>
      </w:tcPr>
    </w:tblStylePr>
  </w:style>
  <w:style w:styleId="LightGrid-Accent1" w:type="table">
    <w:name w:val="Light Grid Accent 1"/>
    <w:basedOn w:val="TableNormal"/>
    <w:uiPriority w:val="62"/>
    <w:rsid w:val="00CB0664"/>
    <w:pPr>
      <w:spacing w:after="0" w:line="240" w:lineRule="auto"/>
    </w:p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insideH w:color="4F81BD" w:space="0" w:sz="8" w:themeColor="accent1" w:val="single"/>
        <w:insideV w:color="4F81BD" w:space="0" w:sz="8" w:themeColor="accent1"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4F81BD" w:space="0" w:sz="8" w:themeColor="accent1" w:val="single"/>
          <w:left w:color="4F81BD" w:space="0" w:sz="8" w:themeColor="accent1" w:val="single"/>
          <w:bottom w:color="4F81BD" w:space="0" w:sz="18" w:themeColor="accent1" w:val="single"/>
          <w:right w:color="4F81BD" w:space="0" w:sz="8" w:themeColor="accent1" w:val="single"/>
          <w:insideH w:val="nil"/>
          <w:insideV w:color="4F81BD" w:space="0" w:sz="8" w:themeColor="accent1" w:val="single"/>
        </w:tcBorders>
      </w:tcPr>
    </w:tblStylePr>
    <w:tblStylePr w:type="lastRow">
      <w:pPr>
        <w:spacing w:after="0" w:before="0" w:line="240" w:lineRule="auto"/>
      </w:pPr>
      <w:rPr>
        <w:rFonts w:asciiTheme="majorHAnsi" w:cstheme="majorBidi" w:eastAsiaTheme="majorEastAsia" w:hAnsiTheme="majorHAnsi"/>
        <w:b/>
        <w:bCs/>
      </w:rPr>
      <w:tblPr/>
      <w:tcPr>
        <w:tcBorders>
          <w:top w:color="4F81BD" w:space="0" w:sz="6" w:themeColor="accent1" w:val="double"/>
          <w:left w:color="4F81BD" w:space="0" w:sz="8" w:themeColor="accent1" w:val="single"/>
          <w:bottom w:color="4F81BD" w:space="0" w:sz="8" w:themeColor="accent1" w:val="single"/>
          <w:right w:color="4F81BD" w:space="0" w:sz="8" w:themeColor="accent1" w:val="single"/>
          <w:insideH w:val="nil"/>
          <w:insideV w:color="4F81BD" w:space="0" w:sz="8" w:themeColor="accent1"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tblStylePr w:type="band1Vert">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shd w:color="auto" w:fill="D3DFEE" w:themeFill="accent1" w:themeFillTint="3F" w:val="clear"/>
      </w:tcPr>
    </w:tblStylePr>
    <w:tblStylePr w:type="band1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insideV w:color="4F81BD" w:space="0" w:sz="8" w:themeColor="accent1" w:val="single"/>
        </w:tcBorders>
        <w:shd w:color="auto" w:fill="D3DFEE" w:themeFill="accent1" w:themeFillTint="3F" w:val="clear"/>
      </w:tcPr>
    </w:tblStylePr>
    <w:tblStylePr w:type="band2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insideV w:color="4F81BD" w:space="0" w:sz="8" w:themeColor="accent1" w:val="single"/>
        </w:tcBorders>
      </w:tcPr>
    </w:tblStylePr>
  </w:style>
  <w:style w:styleId="LightGrid-Accent2" w:type="table">
    <w:name w:val="Light Grid Accent 2"/>
    <w:basedOn w:val="TableNormal"/>
    <w:uiPriority w:val="62"/>
    <w:rsid w:val="00CB0664"/>
    <w:pPr>
      <w:spacing w:after="0" w:line="240" w:lineRule="auto"/>
    </w:p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insideH w:color="C0504D" w:space="0" w:sz="8" w:themeColor="accent2" w:val="single"/>
        <w:insideV w:color="C0504D" w:space="0" w:sz="8" w:themeColor="accent2"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C0504D" w:space="0" w:sz="8" w:themeColor="accent2" w:val="single"/>
          <w:left w:color="C0504D" w:space="0" w:sz="8" w:themeColor="accent2" w:val="single"/>
          <w:bottom w:color="C0504D" w:space="0" w:sz="18" w:themeColor="accent2" w:val="single"/>
          <w:right w:color="C0504D" w:space="0" w:sz="8" w:themeColor="accent2" w:val="single"/>
          <w:insideH w:val="nil"/>
          <w:insideV w:color="C0504D" w:space="0" w:sz="8" w:themeColor="accent2" w:val="single"/>
        </w:tcBorders>
      </w:tcPr>
    </w:tblStylePr>
    <w:tblStylePr w:type="lastRow">
      <w:pPr>
        <w:spacing w:after="0" w:before="0" w:line="240" w:lineRule="auto"/>
      </w:pPr>
      <w:rPr>
        <w:rFonts w:asciiTheme="majorHAnsi" w:cstheme="majorBidi" w:eastAsiaTheme="majorEastAsia" w:hAnsiTheme="majorHAnsi"/>
        <w:b/>
        <w:bCs/>
      </w:rPr>
      <w:tblPr/>
      <w:tcPr>
        <w:tcBorders>
          <w:top w:color="C0504D" w:space="0" w:sz="6" w:themeColor="accent2" w:val="double"/>
          <w:left w:color="C0504D" w:space="0" w:sz="8" w:themeColor="accent2" w:val="single"/>
          <w:bottom w:color="C0504D" w:space="0" w:sz="8" w:themeColor="accent2" w:val="single"/>
          <w:right w:color="C0504D" w:space="0" w:sz="8" w:themeColor="accent2" w:val="single"/>
          <w:insideH w:val="nil"/>
          <w:insideV w:color="C0504D" w:space="0" w:sz="8" w:themeColor="accent2"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tblStylePr w:type="band1Vert">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shd w:color="auto" w:fill="EFD3D2" w:themeFill="accent2" w:themeFillTint="3F" w:val="clear"/>
      </w:tcPr>
    </w:tblStylePr>
    <w:tblStylePr w:type="band1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insideV w:color="C0504D" w:space="0" w:sz="8" w:themeColor="accent2" w:val="single"/>
        </w:tcBorders>
        <w:shd w:color="auto" w:fill="EFD3D2" w:themeFill="accent2" w:themeFillTint="3F" w:val="clear"/>
      </w:tcPr>
    </w:tblStylePr>
    <w:tblStylePr w:type="band2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insideV w:color="C0504D" w:space="0" w:sz="8" w:themeColor="accent2" w:val="single"/>
        </w:tcBorders>
      </w:tcPr>
    </w:tblStylePr>
  </w:style>
  <w:style w:styleId="LightGrid-Accent3" w:type="table">
    <w:name w:val="Light Grid Accent 3"/>
    <w:basedOn w:val="TableNormal"/>
    <w:uiPriority w:val="62"/>
    <w:rsid w:val="00CB0664"/>
    <w:pPr>
      <w:spacing w:after="0" w:line="240" w:lineRule="auto"/>
    </w:p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insideH w:color="9BBB59" w:space="0" w:sz="8" w:themeColor="accent3" w:val="single"/>
        <w:insideV w:color="9BBB59" w:space="0" w:sz="8" w:themeColor="accent3"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9BBB59" w:space="0" w:sz="8" w:themeColor="accent3" w:val="single"/>
          <w:left w:color="9BBB59" w:space="0" w:sz="8" w:themeColor="accent3" w:val="single"/>
          <w:bottom w:color="9BBB59" w:space="0" w:sz="18" w:themeColor="accent3" w:val="single"/>
          <w:right w:color="9BBB59" w:space="0" w:sz="8" w:themeColor="accent3" w:val="single"/>
          <w:insideH w:val="nil"/>
          <w:insideV w:color="9BBB59" w:space="0" w:sz="8" w:themeColor="accent3" w:val="single"/>
        </w:tcBorders>
      </w:tcPr>
    </w:tblStylePr>
    <w:tblStylePr w:type="lastRow">
      <w:pPr>
        <w:spacing w:after="0" w:before="0" w:line="240" w:lineRule="auto"/>
      </w:pPr>
      <w:rPr>
        <w:rFonts w:asciiTheme="majorHAnsi" w:cstheme="majorBidi" w:eastAsiaTheme="majorEastAsia" w:hAnsiTheme="majorHAnsi"/>
        <w:b/>
        <w:bCs/>
      </w:rPr>
      <w:tblPr/>
      <w:tcPr>
        <w:tcBorders>
          <w:top w:color="9BBB59" w:space="0" w:sz="6" w:themeColor="accent3" w:val="double"/>
          <w:left w:color="9BBB59" w:space="0" w:sz="8" w:themeColor="accent3" w:val="single"/>
          <w:bottom w:color="9BBB59" w:space="0" w:sz="8" w:themeColor="accent3" w:val="single"/>
          <w:right w:color="9BBB59" w:space="0" w:sz="8" w:themeColor="accent3" w:val="single"/>
          <w:insideH w:val="nil"/>
          <w:insideV w:color="9BBB59" w:space="0" w:sz="8" w:themeColor="accent3"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tblStylePr w:type="band1Vert">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shd w:color="auto" w:fill="E6EED5" w:themeFill="accent3" w:themeFillTint="3F" w:val="clear"/>
      </w:tcPr>
    </w:tblStylePr>
    <w:tblStylePr w:type="band1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insideV w:color="9BBB59" w:space="0" w:sz="8" w:themeColor="accent3" w:val="single"/>
        </w:tcBorders>
        <w:shd w:color="auto" w:fill="E6EED5" w:themeFill="accent3" w:themeFillTint="3F" w:val="clear"/>
      </w:tcPr>
    </w:tblStylePr>
    <w:tblStylePr w:type="band2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insideV w:color="9BBB59" w:space="0" w:sz="8" w:themeColor="accent3" w:val="single"/>
        </w:tcBorders>
      </w:tcPr>
    </w:tblStylePr>
  </w:style>
  <w:style w:styleId="LightGrid-Accent4" w:type="table">
    <w:name w:val="Light Grid Accent 4"/>
    <w:basedOn w:val="TableNormal"/>
    <w:uiPriority w:val="62"/>
    <w:rsid w:val="00CB0664"/>
    <w:pPr>
      <w:spacing w:after="0" w:line="240" w:lineRule="auto"/>
    </w:p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insideH w:color="8064A2" w:space="0" w:sz="8" w:themeColor="accent4" w:val="single"/>
        <w:insideV w:color="8064A2" w:space="0" w:sz="8" w:themeColor="accent4"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8064A2" w:space="0" w:sz="8" w:themeColor="accent4" w:val="single"/>
          <w:left w:color="8064A2" w:space="0" w:sz="8" w:themeColor="accent4" w:val="single"/>
          <w:bottom w:color="8064A2" w:space="0" w:sz="18" w:themeColor="accent4" w:val="single"/>
          <w:right w:color="8064A2" w:space="0" w:sz="8" w:themeColor="accent4" w:val="single"/>
          <w:insideH w:val="nil"/>
          <w:insideV w:color="8064A2" w:space="0" w:sz="8" w:themeColor="accent4" w:val="single"/>
        </w:tcBorders>
      </w:tcPr>
    </w:tblStylePr>
    <w:tblStylePr w:type="lastRow">
      <w:pPr>
        <w:spacing w:after="0" w:before="0" w:line="240" w:lineRule="auto"/>
      </w:pPr>
      <w:rPr>
        <w:rFonts w:asciiTheme="majorHAnsi" w:cstheme="majorBidi" w:eastAsiaTheme="majorEastAsia" w:hAnsiTheme="majorHAnsi"/>
        <w:b/>
        <w:bCs/>
      </w:rPr>
      <w:tblPr/>
      <w:tcPr>
        <w:tcBorders>
          <w:top w:color="8064A2" w:space="0" w:sz="6" w:themeColor="accent4" w:val="double"/>
          <w:left w:color="8064A2" w:space="0" w:sz="8" w:themeColor="accent4" w:val="single"/>
          <w:bottom w:color="8064A2" w:space="0" w:sz="8" w:themeColor="accent4" w:val="single"/>
          <w:right w:color="8064A2" w:space="0" w:sz="8" w:themeColor="accent4" w:val="single"/>
          <w:insideH w:val="nil"/>
          <w:insideV w:color="8064A2" w:space="0" w:sz="8" w:themeColor="accent4"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tblStylePr w:type="band1Vert">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shd w:color="auto" w:fill="DFD8E8" w:themeFill="accent4" w:themeFillTint="3F" w:val="clear"/>
      </w:tcPr>
    </w:tblStylePr>
    <w:tblStylePr w:type="band1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insideV w:color="8064A2" w:space="0" w:sz="8" w:themeColor="accent4" w:val="single"/>
        </w:tcBorders>
        <w:shd w:color="auto" w:fill="DFD8E8" w:themeFill="accent4" w:themeFillTint="3F" w:val="clear"/>
      </w:tcPr>
    </w:tblStylePr>
    <w:tblStylePr w:type="band2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insideV w:color="8064A2" w:space="0" w:sz="8" w:themeColor="accent4" w:val="single"/>
        </w:tcBorders>
      </w:tcPr>
    </w:tblStylePr>
  </w:style>
  <w:style w:styleId="LightGrid-Accent5" w:type="table">
    <w:name w:val="Light Grid Accent 5"/>
    <w:basedOn w:val="TableNormal"/>
    <w:uiPriority w:val="62"/>
    <w:rsid w:val="00CB0664"/>
    <w:pPr>
      <w:spacing w:after="0" w:line="240" w:lineRule="auto"/>
    </w:p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insideH w:color="4BACC6" w:space="0" w:sz="8" w:themeColor="accent5" w:val="single"/>
        <w:insideV w:color="4BACC6" w:space="0" w:sz="8" w:themeColor="accent5"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4BACC6" w:space="0" w:sz="8" w:themeColor="accent5" w:val="single"/>
          <w:left w:color="4BACC6" w:space="0" w:sz="8" w:themeColor="accent5" w:val="single"/>
          <w:bottom w:color="4BACC6" w:space="0" w:sz="18" w:themeColor="accent5" w:val="single"/>
          <w:right w:color="4BACC6" w:space="0" w:sz="8" w:themeColor="accent5" w:val="single"/>
          <w:insideH w:val="nil"/>
          <w:insideV w:color="4BACC6" w:space="0" w:sz="8" w:themeColor="accent5" w:val="single"/>
        </w:tcBorders>
      </w:tcPr>
    </w:tblStylePr>
    <w:tblStylePr w:type="lastRow">
      <w:pPr>
        <w:spacing w:after="0" w:before="0" w:line="240" w:lineRule="auto"/>
      </w:pPr>
      <w:rPr>
        <w:rFonts w:asciiTheme="majorHAnsi" w:cstheme="majorBidi" w:eastAsiaTheme="majorEastAsia" w:hAnsiTheme="majorHAnsi"/>
        <w:b/>
        <w:bCs/>
      </w:rPr>
      <w:tblPr/>
      <w:tcPr>
        <w:tcBorders>
          <w:top w:color="4BACC6" w:space="0" w:sz="6" w:themeColor="accent5" w:val="double"/>
          <w:left w:color="4BACC6" w:space="0" w:sz="8" w:themeColor="accent5" w:val="single"/>
          <w:bottom w:color="4BACC6" w:space="0" w:sz="8" w:themeColor="accent5" w:val="single"/>
          <w:right w:color="4BACC6" w:space="0" w:sz="8" w:themeColor="accent5" w:val="single"/>
          <w:insideH w:val="nil"/>
          <w:insideV w:color="4BACC6" w:space="0" w:sz="8" w:themeColor="accent5"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tblStylePr w:type="band1Vert">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shd w:color="auto" w:fill="D2EAF1" w:themeFill="accent5" w:themeFillTint="3F" w:val="clear"/>
      </w:tcPr>
    </w:tblStylePr>
    <w:tblStylePr w:type="band1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insideV w:color="4BACC6" w:space="0" w:sz="8" w:themeColor="accent5" w:val="single"/>
        </w:tcBorders>
        <w:shd w:color="auto" w:fill="D2EAF1" w:themeFill="accent5" w:themeFillTint="3F" w:val="clear"/>
      </w:tcPr>
    </w:tblStylePr>
    <w:tblStylePr w:type="band2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insideV w:color="4BACC6" w:space="0" w:sz="8" w:themeColor="accent5" w:val="single"/>
        </w:tcBorders>
      </w:tcPr>
    </w:tblStylePr>
  </w:style>
  <w:style w:styleId="LightGrid-Accent6" w:type="table">
    <w:name w:val="Light Grid Accent 6"/>
    <w:basedOn w:val="TableNormal"/>
    <w:uiPriority w:val="62"/>
    <w:rsid w:val="00CB0664"/>
    <w:pPr>
      <w:spacing w:after="0" w:line="240" w:lineRule="auto"/>
    </w:p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insideH w:color="F79646" w:space="0" w:sz="8" w:themeColor="accent6" w:val="single"/>
        <w:insideV w:color="F79646" w:space="0" w:sz="8" w:themeColor="accent6"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F79646" w:space="0" w:sz="8" w:themeColor="accent6" w:val="single"/>
          <w:left w:color="F79646" w:space="0" w:sz="8" w:themeColor="accent6" w:val="single"/>
          <w:bottom w:color="F79646" w:space="0" w:sz="18" w:themeColor="accent6" w:val="single"/>
          <w:right w:color="F79646" w:space="0" w:sz="8" w:themeColor="accent6" w:val="single"/>
          <w:insideH w:val="nil"/>
          <w:insideV w:color="F79646" w:space="0" w:sz="8" w:themeColor="accent6" w:val="single"/>
        </w:tcBorders>
      </w:tcPr>
    </w:tblStylePr>
    <w:tblStylePr w:type="lastRow">
      <w:pPr>
        <w:spacing w:after="0" w:before="0" w:line="240" w:lineRule="auto"/>
      </w:pPr>
      <w:rPr>
        <w:rFonts w:asciiTheme="majorHAnsi" w:cstheme="majorBidi" w:eastAsiaTheme="majorEastAsia" w:hAnsiTheme="majorHAnsi"/>
        <w:b/>
        <w:bCs/>
      </w:rPr>
      <w:tblPr/>
      <w:tcPr>
        <w:tcBorders>
          <w:top w:color="F79646" w:space="0" w:sz="6" w:themeColor="accent6" w:val="double"/>
          <w:left w:color="F79646" w:space="0" w:sz="8" w:themeColor="accent6" w:val="single"/>
          <w:bottom w:color="F79646" w:space="0" w:sz="8" w:themeColor="accent6" w:val="single"/>
          <w:right w:color="F79646" w:space="0" w:sz="8" w:themeColor="accent6" w:val="single"/>
          <w:insideH w:val="nil"/>
          <w:insideV w:color="F79646" w:space="0" w:sz="8" w:themeColor="accent6"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tblStylePr w:type="band1Vert">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shd w:color="auto" w:fill="FDE4D0" w:themeFill="accent6" w:themeFillTint="3F" w:val="clear"/>
      </w:tcPr>
    </w:tblStylePr>
    <w:tblStylePr w:type="band1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insideV w:color="F79646" w:space="0" w:sz="8" w:themeColor="accent6" w:val="single"/>
        </w:tcBorders>
        <w:shd w:color="auto" w:fill="FDE4D0" w:themeFill="accent6" w:themeFillTint="3F" w:val="clear"/>
      </w:tcPr>
    </w:tblStylePr>
    <w:tblStylePr w:type="band2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insideV w:color="F79646" w:space="0" w:sz="8" w:themeColor="accent6" w:val="single"/>
        </w:tcBorders>
      </w:tcPr>
    </w:tblStylePr>
  </w:style>
  <w:style w:styleId="MediumShading1" w:type="table">
    <w:name w:val="Medium Shading 1"/>
    <w:basedOn w:val="TableNormal"/>
    <w:uiPriority w:val="63"/>
    <w:rsid w:val="00CB0664"/>
    <w:pPr>
      <w:spacing w:after="0" w:line="240" w:lineRule="auto"/>
    </w:pPr>
    <w:tblPr>
      <w:tblStyleRowBandSize w:val="1"/>
      <w:tblStyleColBandSize w:val="1"/>
      <w:tblInd w:type="dxa" w:w="0"/>
      <w:tblBorders>
        <w:top w:color="404040" w:space="0" w:sz="8" w:themeColor="text1" w:themeTint="BF" w:val="single"/>
        <w:left w:color="404040" w:space="0" w:sz="8" w:themeColor="text1" w:themeTint="BF" w:val="single"/>
        <w:bottom w:color="404040" w:space="0" w:sz="8" w:themeColor="text1" w:themeTint="BF" w:val="single"/>
        <w:right w:color="404040" w:space="0" w:sz="8" w:themeColor="text1" w:themeTint="BF" w:val="single"/>
        <w:insideH w:color="404040" w:space="0" w:sz="8" w:themeColor="text1"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404040" w:space="0" w:sz="8" w:themeColor="text1" w:themeTint="BF" w:val="single"/>
          <w:left w:color="404040" w:space="0" w:sz="8" w:themeColor="text1" w:themeTint="BF" w:val="single"/>
          <w:bottom w:color="404040" w:space="0" w:sz="8" w:themeColor="text1" w:themeTint="BF" w:val="single"/>
          <w:right w:color="404040" w:space="0" w:sz="8" w:themeColor="text1" w:themeTint="BF" w:val="single"/>
          <w:insideH w:val="nil"/>
          <w:insideV w:val="nil"/>
        </w:tcBorders>
        <w:shd w:color="auto" w:fill="000000" w:themeFill="text1" w:val="clear"/>
      </w:tcPr>
    </w:tblStylePr>
    <w:tblStylePr w:type="lastRow">
      <w:pPr>
        <w:spacing w:after="0" w:before="0" w:line="240" w:lineRule="auto"/>
      </w:pPr>
      <w:rPr>
        <w:b/>
        <w:bCs/>
      </w:rPr>
      <w:tblPr/>
      <w:tcPr>
        <w:tcBorders>
          <w:top w:color="404040" w:space="0" w:sz="6" w:themeColor="text1" w:themeTint="BF" w:val="double"/>
          <w:left w:color="404040" w:space="0" w:sz="8" w:themeColor="text1" w:themeTint="BF" w:val="single"/>
          <w:bottom w:color="404040" w:space="0" w:sz="8" w:themeColor="text1" w:themeTint="BF" w:val="single"/>
          <w:right w:color="404040" w:space="0" w:sz="8" w:themeColor="text1" w:themeTint="BF" w:val="single"/>
          <w:insideH w:val="nil"/>
          <w:insideV w:val="nil"/>
        </w:tcBorders>
      </w:tcPr>
    </w:tblStylePr>
    <w:tblStylePr w:type="firstCol">
      <w:rPr>
        <w:b/>
        <w:bCs/>
      </w:rPr>
    </w:tblStylePr>
    <w:tblStylePr w:type="lastCol">
      <w:rPr>
        <w:b/>
        <w:bCs/>
      </w:rPr>
    </w:tblStylePr>
    <w:tblStylePr w:type="band1Vert">
      <w:tblPr/>
      <w:tcPr>
        <w:shd w:color="auto" w:fill="C0C0C0" w:themeFill="text1" w:themeFillTint="3F" w:val="clear"/>
      </w:tcPr>
    </w:tblStylePr>
    <w:tblStylePr w:type="band1Horz">
      <w:tblPr/>
      <w:tcPr>
        <w:tcBorders>
          <w:insideH w:val="nil"/>
          <w:insideV w:val="nil"/>
        </w:tcBorders>
        <w:shd w:color="auto" w:fill="C0C0C0" w:themeFill="text1" w:themeFillTint="3F" w:val="clear"/>
      </w:tcPr>
    </w:tblStylePr>
    <w:tblStylePr w:type="band2Horz">
      <w:tblPr/>
      <w:tcPr>
        <w:tcBorders>
          <w:insideH w:val="nil"/>
          <w:insideV w:val="nil"/>
        </w:tcBorders>
      </w:tcPr>
    </w:tblStylePr>
  </w:style>
  <w:style w:styleId="MediumShading1-Accent1" w:type="table">
    <w:name w:val="Medium Shading 1 Accent 1"/>
    <w:basedOn w:val="TableNormal"/>
    <w:uiPriority w:val="63"/>
    <w:rsid w:val="00CB0664"/>
    <w:pPr>
      <w:spacing w:after="0" w:line="240" w:lineRule="auto"/>
    </w:pPr>
    <w:tblPr>
      <w:tblStyleRowBandSize w:val="1"/>
      <w:tblStyleColBandSize w:val="1"/>
      <w:tblInd w:type="dxa" w:w="0"/>
      <w:tblBorders>
        <w:top w:color="7BA0CD" w:space="0" w:sz="8" w:themeColor="accent1" w:themeTint="BF" w:val="single"/>
        <w:left w:color="7BA0CD" w:space="0" w:sz="8" w:themeColor="accent1" w:themeTint="BF" w:val="single"/>
        <w:bottom w:color="7BA0CD" w:space="0" w:sz="8" w:themeColor="accent1" w:themeTint="BF" w:val="single"/>
        <w:right w:color="7BA0CD" w:space="0" w:sz="8" w:themeColor="accent1" w:themeTint="BF" w:val="single"/>
        <w:insideH w:color="7BA0CD" w:space="0" w:sz="8" w:themeColor="accent1"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7BA0CD" w:space="0" w:sz="8" w:themeColor="accent1" w:themeTint="BF" w:val="single"/>
          <w:left w:color="7BA0CD" w:space="0" w:sz="8" w:themeColor="accent1" w:themeTint="BF" w:val="single"/>
          <w:bottom w:color="7BA0CD" w:space="0" w:sz="8" w:themeColor="accent1" w:themeTint="BF" w:val="single"/>
          <w:right w:color="7BA0CD" w:space="0" w:sz="8" w:themeColor="accent1" w:themeTint="BF" w:val="single"/>
          <w:insideH w:val="nil"/>
          <w:insideV w:val="nil"/>
        </w:tcBorders>
        <w:shd w:color="auto" w:fill="4F81BD" w:themeFill="accent1" w:val="clear"/>
      </w:tcPr>
    </w:tblStylePr>
    <w:tblStylePr w:type="lastRow">
      <w:pPr>
        <w:spacing w:after="0" w:before="0" w:line="240" w:lineRule="auto"/>
      </w:pPr>
      <w:rPr>
        <w:b/>
        <w:bCs/>
      </w:rPr>
      <w:tblPr/>
      <w:tcPr>
        <w:tcBorders>
          <w:top w:color="7BA0CD" w:space="0" w:sz="6" w:themeColor="accent1" w:themeTint="BF" w:val="double"/>
          <w:left w:color="7BA0CD" w:space="0" w:sz="8" w:themeColor="accent1" w:themeTint="BF" w:val="single"/>
          <w:bottom w:color="7BA0CD" w:space="0" w:sz="8" w:themeColor="accent1" w:themeTint="BF" w:val="single"/>
          <w:right w:color="7BA0CD" w:space="0" w:sz="8" w:themeColor="accent1" w:themeTint="BF" w:val="single"/>
          <w:insideH w:val="nil"/>
          <w:insideV w:val="nil"/>
        </w:tcBorders>
      </w:tcPr>
    </w:tblStylePr>
    <w:tblStylePr w:type="firstCol">
      <w:rPr>
        <w:b/>
        <w:bCs/>
      </w:rPr>
    </w:tblStylePr>
    <w:tblStylePr w:type="lastCol">
      <w:rPr>
        <w:b/>
        <w:bCs/>
      </w:rPr>
    </w:tblStylePr>
    <w:tblStylePr w:type="band1Vert">
      <w:tblPr/>
      <w:tcPr>
        <w:shd w:color="auto" w:fill="D3DFEE" w:themeFill="accent1" w:themeFillTint="3F" w:val="clear"/>
      </w:tcPr>
    </w:tblStylePr>
    <w:tblStylePr w:type="band1Horz">
      <w:tblPr/>
      <w:tcPr>
        <w:tcBorders>
          <w:insideH w:val="nil"/>
          <w:insideV w:val="nil"/>
        </w:tcBorders>
        <w:shd w:color="auto" w:fill="D3DFEE" w:themeFill="accent1" w:themeFillTint="3F" w:val="clear"/>
      </w:tcPr>
    </w:tblStylePr>
    <w:tblStylePr w:type="band2Horz">
      <w:tblPr/>
      <w:tcPr>
        <w:tcBorders>
          <w:insideH w:val="nil"/>
          <w:insideV w:val="nil"/>
        </w:tcBorders>
      </w:tcPr>
    </w:tblStylePr>
  </w:style>
  <w:style w:styleId="MediumShading1-Accent2" w:type="table">
    <w:name w:val="Medium Shading 1 Accent 2"/>
    <w:basedOn w:val="TableNormal"/>
    <w:uiPriority w:val="63"/>
    <w:rsid w:val="00CB0664"/>
    <w:pPr>
      <w:spacing w:after="0" w:line="240" w:lineRule="auto"/>
    </w:pPr>
    <w:tblPr>
      <w:tblStyleRowBandSize w:val="1"/>
      <w:tblStyleColBandSize w:val="1"/>
      <w:tblInd w:type="dxa" w:w="0"/>
      <w:tblBorders>
        <w:top w:color="CF7B79" w:space="0" w:sz="8" w:themeColor="accent2" w:themeTint="BF" w:val="single"/>
        <w:left w:color="CF7B79" w:space="0" w:sz="8" w:themeColor="accent2" w:themeTint="BF" w:val="single"/>
        <w:bottom w:color="CF7B79" w:space="0" w:sz="8" w:themeColor="accent2" w:themeTint="BF" w:val="single"/>
        <w:right w:color="CF7B79" w:space="0" w:sz="8" w:themeColor="accent2" w:themeTint="BF" w:val="single"/>
        <w:insideH w:color="CF7B79" w:space="0" w:sz="8" w:themeColor="accent2"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CF7B79" w:space="0" w:sz="8" w:themeColor="accent2" w:themeTint="BF" w:val="single"/>
          <w:left w:color="CF7B79" w:space="0" w:sz="8" w:themeColor="accent2" w:themeTint="BF" w:val="single"/>
          <w:bottom w:color="CF7B79" w:space="0" w:sz="8" w:themeColor="accent2" w:themeTint="BF" w:val="single"/>
          <w:right w:color="CF7B79" w:space="0" w:sz="8" w:themeColor="accent2" w:themeTint="BF" w:val="single"/>
          <w:insideH w:val="nil"/>
          <w:insideV w:val="nil"/>
        </w:tcBorders>
        <w:shd w:color="auto" w:fill="C0504D" w:themeFill="accent2" w:val="clear"/>
      </w:tcPr>
    </w:tblStylePr>
    <w:tblStylePr w:type="lastRow">
      <w:pPr>
        <w:spacing w:after="0" w:before="0" w:line="240" w:lineRule="auto"/>
      </w:pPr>
      <w:rPr>
        <w:b/>
        <w:bCs/>
      </w:rPr>
      <w:tblPr/>
      <w:tcPr>
        <w:tcBorders>
          <w:top w:color="CF7B79" w:space="0" w:sz="6" w:themeColor="accent2" w:themeTint="BF" w:val="double"/>
          <w:left w:color="CF7B79" w:space="0" w:sz="8" w:themeColor="accent2" w:themeTint="BF" w:val="single"/>
          <w:bottom w:color="CF7B79" w:space="0" w:sz="8" w:themeColor="accent2" w:themeTint="BF" w:val="single"/>
          <w:right w:color="CF7B79" w:space="0" w:sz="8" w:themeColor="accent2" w:themeTint="BF" w:val="single"/>
          <w:insideH w:val="nil"/>
          <w:insideV w:val="nil"/>
        </w:tcBorders>
      </w:tcPr>
    </w:tblStylePr>
    <w:tblStylePr w:type="firstCol">
      <w:rPr>
        <w:b/>
        <w:bCs/>
      </w:rPr>
    </w:tblStylePr>
    <w:tblStylePr w:type="lastCol">
      <w:rPr>
        <w:b/>
        <w:bCs/>
      </w:rPr>
    </w:tblStylePr>
    <w:tblStylePr w:type="band1Vert">
      <w:tblPr/>
      <w:tcPr>
        <w:shd w:color="auto" w:fill="EFD3D2" w:themeFill="accent2" w:themeFillTint="3F" w:val="clear"/>
      </w:tcPr>
    </w:tblStylePr>
    <w:tblStylePr w:type="band1Horz">
      <w:tblPr/>
      <w:tcPr>
        <w:tcBorders>
          <w:insideH w:val="nil"/>
          <w:insideV w:val="nil"/>
        </w:tcBorders>
        <w:shd w:color="auto" w:fill="EFD3D2" w:themeFill="accent2" w:themeFillTint="3F" w:val="clear"/>
      </w:tcPr>
    </w:tblStylePr>
    <w:tblStylePr w:type="band2Horz">
      <w:tblPr/>
      <w:tcPr>
        <w:tcBorders>
          <w:insideH w:val="nil"/>
          <w:insideV w:val="nil"/>
        </w:tcBorders>
      </w:tcPr>
    </w:tblStylePr>
  </w:style>
  <w:style w:styleId="MediumShading1-Accent3" w:type="table">
    <w:name w:val="Medium Shading 1 Accent 3"/>
    <w:basedOn w:val="TableNormal"/>
    <w:uiPriority w:val="63"/>
    <w:rsid w:val="00CB0664"/>
    <w:pPr>
      <w:spacing w:after="0" w:line="240" w:lineRule="auto"/>
    </w:pPr>
    <w:tblPr>
      <w:tblStyleRowBandSize w:val="1"/>
      <w:tblStyleColBandSize w:val="1"/>
      <w:tblInd w:type="dxa" w:w="0"/>
      <w:tblBorders>
        <w:top w:color="B3CC82" w:space="0" w:sz="8" w:themeColor="accent3" w:themeTint="BF" w:val="single"/>
        <w:left w:color="B3CC82" w:space="0" w:sz="8" w:themeColor="accent3" w:themeTint="BF" w:val="single"/>
        <w:bottom w:color="B3CC82" w:space="0" w:sz="8" w:themeColor="accent3" w:themeTint="BF" w:val="single"/>
        <w:right w:color="B3CC82" w:space="0" w:sz="8" w:themeColor="accent3" w:themeTint="BF" w:val="single"/>
        <w:insideH w:color="B3CC82" w:space="0" w:sz="8" w:themeColor="accent3"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B3CC82" w:space="0" w:sz="8" w:themeColor="accent3" w:themeTint="BF" w:val="single"/>
          <w:left w:color="B3CC82" w:space="0" w:sz="8" w:themeColor="accent3" w:themeTint="BF" w:val="single"/>
          <w:bottom w:color="B3CC82" w:space="0" w:sz="8" w:themeColor="accent3" w:themeTint="BF" w:val="single"/>
          <w:right w:color="B3CC82" w:space="0" w:sz="8" w:themeColor="accent3" w:themeTint="BF" w:val="single"/>
          <w:insideH w:val="nil"/>
          <w:insideV w:val="nil"/>
        </w:tcBorders>
        <w:shd w:color="auto" w:fill="9BBB59" w:themeFill="accent3" w:val="clear"/>
      </w:tcPr>
    </w:tblStylePr>
    <w:tblStylePr w:type="lastRow">
      <w:pPr>
        <w:spacing w:after="0" w:before="0" w:line="240" w:lineRule="auto"/>
      </w:pPr>
      <w:rPr>
        <w:b/>
        <w:bCs/>
      </w:rPr>
      <w:tblPr/>
      <w:tcPr>
        <w:tcBorders>
          <w:top w:color="B3CC82" w:space="0" w:sz="6" w:themeColor="accent3" w:themeTint="BF" w:val="double"/>
          <w:left w:color="B3CC82" w:space="0" w:sz="8" w:themeColor="accent3" w:themeTint="BF" w:val="single"/>
          <w:bottom w:color="B3CC82" w:space="0" w:sz="8" w:themeColor="accent3" w:themeTint="BF" w:val="single"/>
          <w:right w:color="B3CC82" w:space="0" w:sz="8" w:themeColor="accent3" w:themeTint="BF" w:val="single"/>
          <w:insideH w:val="nil"/>
          <w:insideV w:val="nil"/>
        </w:tcBorders>
      </w:tcPr>
    </w:tblStylePr>
    <w:tblStylePr w:type="firstCol">
      <w:rPr>
        <w:b/>
        <w:bCs/>
      </w:rPr>
    </w:tblStylePr>
    <w:tblStylePr w:type="lastCol">
      <w:rPr>
        <w:b/>
        <w:bCs/>
      </w:rPr>
    </w:tblStylePr>
    <w:tblStylePr w:type="band1Vert">
      <w:tblPr/>
      <w:tcPr>
        <w:shd w:color="auto" w:fill="E6EED5" w:themeFill="accent3" w:themeFillTint="3F" w:val="clear"/>
      </w:tcPr>
    </w:tblStylePr>
    <w:tblStylePr w:type="band1Horz">
      <w:tblPr/>
      <w:tcPr>
        <w:tcBorders>
          <w:insideH w:val="nil"/>
          <w:insideV w:val="nil"/>
        </w:tcBorders>
        <w:shd w:color="auto" w:fill="E6EED5" w:themeFill="accent3" w:themeFillTint="3F" w:val="clear"/>
      </w:tcPr>
    </w:tblStylePr>
    <w:tblStylePr w:type="band2Horz">
      <w:tblPr/>
      <w:tcPr>
        <w:tcBorders>
          <w:insideH w:val="nil"/>
          <w:insideV w:val="nil"/>
        </w:tcBorders>
      </w:tcPr>
    </w:tblStylePr>
  </w:style>
  <w:style w:styleId="MediumShading1-Accent4" w:type="table">
    <w:name w:val="Medium Shading 1 Accent 4"/>
    <w:basedOn w:val="TableNormal"/>
    <w:uiPriority w:val="63"/>
    <w:rsid w:val="00CB0664"/>
    <w:pPr>
      <w:spacing w:after="0" w:line="240" w:lineRule="auto"/>
    </w:pPr>
    <w:tblPr>
      <w:tblStyleRowBandSize w:val="1"/>
      <w:tblStyleColBandSize w:val="1"/>
      <w:tblInd w:type="dxa" w:w="0"/>
      <w:tblBorders>
        <w:top w:color="9F8AB9" w:space="0" w:sz="8" w:themeColor="accent4" w:themeTint="BF" w:val="single"/>
        <w:left w:color="9F8AB9" w:space="0" w:sz="8" w:themeColor="accent4" w:themeTint="BF" w:val="single"/>
        <w:bottom w:color="9F8AB9" w:space="0" w:sz="8" w:themeColor="accent4" w:themeTint="BF" w:val="single"/>
        <w:right w:color="9F8AB9" w:space="0" w:sz="8" w:themeColor="accent4" w:themeTint="BF" w:val="single"/>
        <w:insideH w:color="9F8AB9" w:space="0" w:sz="8" w:themeColor="accent4"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9F8AB9" w:space="0" w:sz="8" w:themeColor="accent4" w:themeTint="BF" w:val="single"/>
          <w:left w:color="9F8AB9" w:space="0" w:sz="8" w:themeColor="accent4" w:themeTint="BF" w:val="single"/>
          <w:bottom w:color="9F8AB9" w:space="0" w:sz="8" w:themeColor="accent4" w:themeTint="BF" w:val="single"/>
          <w:right w:color="9F8AB9" w:space="0" w:sz="8" w:themeColor="accent4" w:themeTint="BF" w:val="single"/>
          <w:insideH w:val="nil"/>
          <w:insideV w:val="nil"/>
        </w:tcBorders>
        <w:shd w:color="auto" w:fill="8064A2" w:themeFill="accent4" w:val="clear"/>
      </w:tcPr>
    </w:tblStylePr>
    <w:tblStylePr w:type="lastRow">
      <w:pPr>
        <w:spacing w:after="0" w:before="0" w:line="240" w:lineRule="auto"/>
      </w:pPr>
      <w:rPr>
        <w:b/>
        <w:bCs/>
      </w:rPr>
      <w:tblPr/>
      <w:tcPr>
        <w:tcBorders>
          <w:top w:color="9F8AB9" w:space="0" w:sz="6" w:themeColor="accent4" w:themeTint="BF" w:val="double"/>
          <w:left w:color="9F8AB9" w:space="0" w:sz="8" w:themeColor="accent4" w:themeTint="BF" w:val="single"/>
          <w:bottom w:color="9F8AB9" w:space="0" w:sz="8" w:themeColor="accent4" w:themeTint="BF" w:val="single"/>
          <w:right w:color="9F8AB9" w:space="0" w:sz="8" w:themeColor="accent4" w:themeTint="BF" w:val="single"/>
          <w:insideH w:val="nil"/>
          <w:insideV w:val="nil"/>
        </w:tcBorders>
      </w:tcPr>
    </w:tblStylePr>
    <w:tblStylePr w:type="firstCol">
      <w:rPr>
        <w:b/>
        <w:bCs/>
      </w:rPr>
    </w:tblStylePr>
    <w:tblStylePr w:type="lastCol">
      <w:rPr>
        <w:b/>
        <w:bCs/>
      </w:rPr>
    </w:tblStylePr>
    <w:tblStylePr w:type="band1Vert">
      <w:tblPr/>
      <w:tcPr>
        <w:shd w:color="auto" w:fill="DFD8E8" w:themeFill="accent4" w:themeFillTint="3F" w:val="clear"/>
      </w:tcPr>
    </w:tblStylePr>
    <w:tblStylePr w:type="band1Horz">
      <w:tblPr/>
      <w:tcPr>
        <w:tcBorders>
          <w:insideH w:val="nil"/>
          <w:insideV w:val="nil"/>
        </w:tcBorders>
        <w:shd w:color="auto" w:fill="DFD8E8" w:themeFill="accent4" w:themeFillTint="3F" w:val="clear"/>
      </w:tcPr>
    </w:tblStylePr>
    <w:tblStylePr w:type="band2Horz">
      <w:tblPr/>
      <w:tcPr>
        <w:tcBorders>
          <w:insideH w:val="nil"/>
          <w:insideV w:val="nil"/>
        </w:tcBorders>
      </w:tcPr>
    </w:tblStylePr>
  </w:style>
  <w:style w:styleId="MediumShading1-Accent5" w:type="table">
    <w:name w:val="Medium Shading 1 Accent 5"/>
    <w:basedOn w:val="TableNormal"/>
    <w:uiPriority w:val="63"/>
    <w:rsid w:val="00CB0664"/>
    <w:pPr>
      <w:spacing w:after="0" w:line="240" w:lineRule="auto"/>
    </w:pPr>
    <w:tblPr>
      <w:tblStyleRowBandSize w:val="1"/>
      <w:tblStyleColBandSize w:val="1"/>
      <w:tblInd w:type="dxa" w:w="0"/>
      <w:tblBorders>
        <w:top w:color="78C0D4" w:space="0" w:sz="8" w:themeColor="accent5" w:themeTint="BF" w:val="single"/>
        <w:left w:color="78C0D4" w:space="0" w:sz="8" w:themeColor="accent5" w:themeTint="BF" w:val="single"/>
        <w:bottom w:color="78C0D4" w:space="0" w:sz="8" w:themeColor="accent5" w:themeTint="BF" w:val="single"/>
        <w:right w:color="78C0D4" w:space="0" w:sz="8" w:themeColor="accent5" w:themeTint="BF" w:val="single"/>
        <w:insideH w:color="78C0D4" w:space="0" w:sz="8" w:themeColor="accent5"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78C0D4" w:space="0" w:sz="8" w:themeColor="accent5" w:themeTint="BF" w:val="single"/>
          <w:left w:color="78C0D4" w:space="0" w:sz="8" w:themeColor="accent5" w:themeTint="BF" w:val="single"/>
          <w:bottom w:color="78C0D4" w:space="0" w:sz="8" w:themeColor="accent5" w:themeTint="BF" w:val="single"/>
          <w:right w:color="78C0D4" w:space="0" w:sz="8" w:themeColor="accent5" w:themeTint="BF" w:val="single"/>
          <w:insideH w:val="nil"/>
          <w:insideV w:val="nil"/>
        </w:tcBorders>
        <w:shd w:color="auto" w:fill="4BACC6" w:themeFill="accent5" w:val="clear"/>
      </w:tcPr>
    </w:tblStylePr>
    <w:tblStylePr w:type="lastRow">
      <w:pPr>
        <w:spacing w:after="0" w:before="0" w:line="240" w:lineRule="auto"/>
      </w:pPr>
      <w:rPr>
        <w:b/>
        <w:bCs/>
      </w:rPr>
      <w:tblPr/>
      <w:tcPr>
        <w:tcBorders>
          <w:top w:color="78C0D4" w:space="0" w:sz="6" w:themeColor="accent5" w:themeTint="BF" w:val="double"/>
          <w:left w:color="78C0D4" w:space="0" w:sz="8" w:themeColor="accent5" w:themeTint="BF" w:val="single"/>
          <w:bottom w:color="78C0D4" w:space="0" w:sz="8" w:themeColor="accent5" w:themeTint="BF" w:val="single"/>
          <w:right w:color="78C0D4" w:space="0" w:sz="8" w:themeColor="accent5" w:themeTint="BF" w:val="single"/>
          <w:insideH w:val="nil"/>
          <w:insideV w:val="nil"/>
        </w:tcBorders>
      </w:tcPr>
    </w:tblStylePr>
    <w:tblStylePr w:type="firstCol">
      <w:rPr>
        <w:b/>
        <w:bCs/>
      </w:rPr>
    </w:tblStylePr>
    <w:tblStylePr w:type="lastCol">
      <w:rPr>
        <w:b/>
        <w:bCs/>
      </w:rPr>
    </w:tblStylePr>
    <w:tblStylePr w:type="band1Vert">
      <w:tblPr/>
      <w:tcPr>
        <w:shd w:color="auto" w:fill="D2EAF1" w:themeFill="accent5" w:themeFillTint="3F" w:val="clear"/>
      </w:tcPr>
    </w:tblStylePr>
    <w:tblStylePr w:type="band1Horz">
      <w:tblPr/>
      <w:tcPr>
        <w:tcBorders>
          <w:insideH w:val="nil"/>
          <w:insideV w:val="nil"/>
        </w:tcBorders>
        <w:shd w:color="auto" w:fill="D2EAF1" w:themeFill="accent5" w:themeFillTint="3F" w:val="clear"/>
      </w:tcPr>
    </w:tblStylePr>
    <w:tblStylePr w:type="band2Horz">
      <w:tblPr/>
      <w:tcPr>
        <w:tcBorders>
          <w:insideH w:val="nil"/>
          <w:insideV w:val="nil"/>
        </w:tcBorders>
      </w:tcPr>
    </w:tblStylePr>
  </w:style>
  <w:style w:styleId="MediumShading1-Accent6" w:type="table">
    <w:name w:val="Medium Shading 1 Accent 6"/>
    <w:basedOn w:val="TableNormal"/>
    <w:uiPriority w:val="63"/>
    <w:rsid w:val="00CB0664"/>
    <w:pPr>
      <w:spacing w:after="0" w:line="240" w:lineRule="auto"/>
    </w:pPr>
    <w:tblPr>
      <w:tblStyleRowBandSize w:val="1"/>
      <w:tblStyleColBandSize w:val="1"/>
      <w:tblInd w:type="dxa" w:w="0"/>
      <w:tblBorders>
        <w:top w:color="F9B074" w:space="0" w:sz="8" w:themeColor="accent6" w:themeTint="BF" w:val="single"/>
        <w:left w:color="F9B074" w:space="0" w:sz="8" w:themeColor="accent6" w:themeTint="BF" w:val="single"/>
        <w:bottom w:color="F9B074" w:space="0" w:sz="8" w:themeColor="accent6" w:themeTint="BF" w:val="single"/>
        <w:right w:color="F9B074" w:space="0" w:sz="8" w:themeColor="accent6" w:themeTint="BF" w:val="single"/>
        <w:insideH w:color="F9B074" w:space="0" w:sz="8" w:themeColor="accent6"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F9B074" w:space="0" w:sz="8" w:themeColor="accent6" w:themeTint="BF" w:val="single"/>
          <w:left w:color="F9B074" w:space="0" w:sz="8" w:themeColor="accent6" w:themeTint="BF" w:val="single"/>
          <w:bottom w:color="F9B074" w:space="0" w:sz="8" w:themeColor="accent6" w:themeTint="BF" w:val="single"/>
          <w:right w:color="F9B074" w:space="0" w:sz="8" w:themeColor="accent6" w:themeTint="BF" w:val="single"/>
          <w:insideH w:val="nil"/>
          <w:insideV w:val="nil"/>
        </w:tcBorders>
        <w:shd w:color="auto" w:fill="F79646" w:themeFill="accent6" w:val="clear"/>
      </w:tcPr>
    </w:tblStylePr>
    <w:tblStylePr w:type="lastRow">
      <w:pPr>
        <w:spacing w:after="0" w:before="0" w:line="240" w:lineRule="auto"/>
      </w:pPr>
      <w:rPr>
        <w:b/>
        <w:bCs/>
      </w:rPr>
      <w:tblPr/>
      <w:tcPr>
        <w:tcBorders>
          <w:top w:color="F9B074" w:space="0" w:sz="6" w:themeColor="accent6" w:themeTint="BF" w:val="double"/>
          <w:left w:color="F9B074" w:space="0" w:sz="8" w:themeColor="accent6" w:themeTint="BF" w:val="single"/>
          <w:bottom w:color="F9B074" w:space="0" w:sz="8" w:themeColor="accent6" w:themeTint="BF" w:val="single"/>
          <w:right w:color="F9B074" w:space="0" w:sz="8" w:themeColor="accent6" w:themeTint="BF" w:val="single"/>
          <w:insideH w:val="nil"/>
          <w:insideV w:val="nil"/>
        </w:tcBorders>
      </w:tcPr>
    </w:tblStylePr>
    <w:tblStylePr w:type="firstCol">
      <w:rPr>
        <w:b/>
        <w:bCs/>
      </w:rPr>
    </w:tblStylePr>
    <w:tblStylePr w:type="lastCol">
      <w:rPr>
        <w:b/>
        <w:bCs/>
      </w:rPr>
    </w:tblStylePr>
    <w:tblStylePr w:type="band1Vert">
      <w:tblPr/>
      <w:tcPr>
        <w:shd w:color="auto" w:fill="FDE4D0" w:themeFill="accent6" w:themeFillTint="3F" w:val="clear"/>
      </w:tcPr>
    </w:tblStylePr>
    <w:tblStylePr w:type="band1Horz">
      <w:tblPr/>
      <w:tcPr>
        <w:tcBorders>
          <w:insideH w:val="nil"/>
          <w:insideV w:val="nil"/>
        </w:tcBorders>
        <w:shd w:color="auto" w:fill="FDE4D0" w:themeFill="accent6" w:themeFillTint="3F" w:val="clear"/>
      </w:tcPr>
    </w:tblStylePr>
    <w:tblStylePr w:type="band2Horz">
      <w:tblPr/>
      <w:tcPr>
        <w:tcBorders>
          <w:insideH w:val="nil"/>
          <w:insideV w:val="nil"/>
        </w:tcBorders>
      </w:tcPr>
    </w:tblStylePr>
  </w:style>
  <w:style w:styleId="MediumShading2" w:type="table">
    <w:name w:val="Medium Shading 2"/>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000000" w:themeFill="text1"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000000" w:themeFill="text1" w:val="clear"/>
      </w:tcPr>
    </w:tblStylePr>
    <w:tblStylePr w:type="lastCol">
      <w:rPr>
        <w:b/>
        <w:bCs/>
        <w:color w:themeColor="background1" w:val="FFFFFF"/>
      </w:rPr>
      <w:tblPr/>
      <w:tcPr>
        <w:tcBorders>
          <w:left w:val="nil"/>
          <w:right w:val="nil"/>
          <w:insideH w:val="nil"/>
          <w:insideV w:val="nil"/>
        </w:tcBorders>
        <w:shd w:color="auto" w:fill="000000" w:themeFill="text1"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1" w:type="table">
    <w:name w:val="Medium Shading 2 Accent 1"/>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4F81BD" w:themeFill="accent1"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4F81BD" w:themeFill="accent1" w:val="clear"/>
      </w:tcPr>
    </w:tblStylePr>
    <w:tblStylePr w:type="lastCol">
      <w:rPr>
        <w:b/>
        <w:bCs/>
        <w:color w:themeColor="background1" w:val="FFFFFF"/>
      </w:rPr>
      <w:tblPr/>
      <w:tcPr>
        <w:tcBorders>
          <w:left w:val="nil"/>
          <w:right w:val="nil"/>
          <w:insideH w:val="nil"/>
          <w:insideV w:val="nil"/>
        </w:tcBorders>
        <w:shd w:color="auto" w:fill="4F81BD" w:themeFill="accent1"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2" w:type="table">
    <w:name w:val="Medium Shading 2 Accent 2"/>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C0504D" w:themeFill="accent2"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C0504D" w:themeFill="accent2" w:val="clear"/>
      </w:tcPr>
    </w:tblStylePr>
    <w:tblStylePr w:type="lastCol">
      <w:rPr>
        <w:b/>
        <w:bCs/>
        <w:color w:themeColor="background1" w:val="FFFFFF"/>
      </w:rPr>
      <w:tblPr/>
      <w:tcPr>
        <w:tcBorders>
          <w:left w:val="nil"/>
          <w:right w:val="nil"/>
          <w:insideH w:val="nil"/>
          <w:insideV w:val="nil"/>
        </w:tcBorders>
        <w:shd w:color="auto" w:fill="C0504D" w:themeFill="accent2"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3" w:type="table">
    <w:name w:val="Medium Shading 2 Accent 3"/>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9BBB59" w:themeFill="accent3"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9BBB59" w:themeFill="accent3" w:val="clear"/>
      </w:tcPr>
    </w:tblStylePr>
    <w:tblStylePr w:type="lastCol">
      <w:rPr>
        <w:b/>
        <w:bCs/>
        <w:color w:themeColor="background1" w:val="FFFFFF"/>
      </w:rPr>
      <w:tblPr/>
      <w:tcPr>
        <w:tcBorders>
          <w:left w:val="nil"/>
          <w:right w:val="nil"/>
          <w:insideH w:val="nil"/>
          <w:insideV w:val="nil"/>
        </w:tcBorders>
        <w:shd w:color="auto" w:fill="9BBB59" w:themeFill="accent3"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4" w:type="table">
    <w:name w:val="Medium Shading 2 Accent 4"/>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8064A2" w:themeFill="accent4"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8064A2" w:themeFill="accent4" w:val="clear"/>
      </w:tcPr>
    </w:tblStylePr>
    <w:tblStylePr w:type="lastCol">
      <w:rPr>
        <w:b/>
        <w:bCs/>
        <w:color w:themeColor="background1" w:val="FFFFFF"/>
      </w:rPr>
      <w:tblPr/>
      <w:tcPr>
        <w:tcBorders>
          <w:left w:val="nil"/>
          <w:right w:val="nil"/>
          <w:insideH w:val="nil"/>
          <w:insideV w:val="nil"/>
        </w:tcBorders>
        <w:shd w:color="auto" w:fill="8064A2" w:themeFill="accent4"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5" w:type="table">
    <w:name w:val="Medium Shading 2 Accent 5"/>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4BACC6" w:themeFill="accent5"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4BACC6" w:themeFill="accent5" w:val="clear"/>
      </w:tcPr>
    </w:tblStylePr>
    <w:tblStylePr w:type="lastCol">
      <w:rPr>
        <w:b/>
        <w:bCs/>
        <w:color w:themeColor="background1" w:val="FFFFFF"/>
      </w:rPr>
      <w:tblPr/>
      <w:tcPr>
        <w:tcBorders>
          <w:left w:val="nil"/>
          <w:right w:val="nil"/>
          <w:insideH w:val="nil"/>
          <w:insideV w:val="nil"/>
        </w:tcBorders>
        <w:shd w:color="auto" w:fill="4BACC6" w:themeFill="accent5"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6" w:type="table">
    <w:name w:val="Medium Shading 2 Accent 6"/>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F79646" w:themeFill="accent6"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F79646" w:themeFill="accent6" w:val="clear"/>
      </w:tcPr>
    </w:tblStylePr>
    <w:tblStylePr w:type="lastCol">
      <w:rPr>
        <w:b/>
        <w:bCs/>
        <w:color w:themeColor="background1" w:val="FFFFFF"/>
      </w:rPr>
      <w:tblPr/>
      <w:tcPr>
        <w:tcBorders>
          <w:left w:val="nil"/>
          <w:right w:val="nil"/>
          <w:insideH w:val="nil"/>
          <w:insideV w:val="nil"/>
        </w:tcBorders>
        <w:shd w:color="auto" w:fill="F79646" w:themeFill="accent6"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List1" w:type="table">
    <w:name w:val="Medium List 1"/>
    <w:basedOn w:val="TableNormal"/>
    <w:uiPriority w:val="65"/>
    <w:rsid w:val="00CB0664"/>
    <w:pPr>
      <w:spacing w:after="0" w:line="240" w:lineRule="auto"/>
    </w:pPr>
    <w:rPr>
      <w:color w:themeColor="text1" w:val="000000"/>
    </w:rPr>
    <w:tblPr>
      <w:tblStyleRowBandSize w:val="1"/>
      <w:tblStyleColBandSize w:val="1"/>
      <w:tblInd w:type="dxa" w:w="0"/>
      <w:tblBorders>
        <w:top w:color="000000" w:space="0" w:sz="8" w:themeColor="text1" w:val="single"/>
        <w:bottom w:color="000000" w:space="0" w:sz="8" w:themeColor="text1"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000000" w:space="0" w:sz="8" w:themeColor="text1" w:val="single"/>
        </w:tcBorders>
      </w:tcPr>
    </w:tblStylePr>
    <w:tblStylePr w:type="lastRow">
      <w:rPr>
        <w:b/>
        <w:bCs/>
        <w:color w:themeColor="text2" w:val="1F497D"/>
      </w:rPr>
      <w:tblPr/>
      <w:tcPr>
        <w:tcBorders>
          <w:top w:color="000000" w:space="0" w:sz="8" w:themeColor="text1" w:val="single"/>
          <w:bottom w:color="000000" w:space="0" w:sz="8" w:themeColor="text1" w:val="single"/>
        </w:tcBorders>
      </w:tcPr>
    </w:tblStylePr>
    <w:tblStylePr w:type="firstCol">
      <w:rPr>
        <w:b/>
        <w:bCs/>
      </w:rPr>
    </w:tblStylePr>
    <w:tblStylePr w:type="lastCol">
      <w:rPr>
        <w:b/>
        <w:bCs/>
      </w:rPr>
      <w:tblPr/>
      <w:tcPr>
        <w:tcBorders>
          <w:top w:color="000000" w:space="0" w:sz="8" w:themeColor="text1" w:val="single"/>
          <w:bottom w:color="000000" w:space="0" w:sz="8" w:themeColor="text1" w:val="single"/>
        </w:tcBorders>
      </w:tcPr>
    </w:tblStylePr>
    <w:tblStylePr w:type="band1Vert">
      <w:tblPr/>
      <w:tcPr>
        <w:shd w:color="auto" w:fill="C0C0C0" w:themeFill="text1" w:themeFillTint="3F" w:val="clear"/>
      </w:tcPr>
    </w:tblStylePr>
    <w:tblStylePr w:type="band1Horz">
      <w:tblPr/>
      <w:tcPr>
        <w:shd w:color="auto" w:fill="C0C0C0" w:themeFill="text1" w:themeFillTint="3F" w:val="clear"/>
      </w:tcPr>
    </w:tblStylePr>
  </w:style>
  <w:style w:styleId="MediumList1-Accent1" w:type="table">
    <w:name w:val="Medium List 1 Accent 1"/>
    <w:basedOn w:val="TableNormal"/>
    <w:uiPriority w:val="65"/>
    <w:rsid w:val="00CB0664"/>
    <w:pPr>
      <w:spacing w:after="0" w:line="240" w:lineRule="auto"/>
    </w:pPr>
    <w:rPr>
      <w:color w:themeColor="text1" w:val="000000"/>
    </w:rPr>
    <w:tblPr>
      <w:tblStyleRowBandSize w:val="1"/>
      <w:tblStyleColBandSize w:val="1"/>
      <w:tblInd w:type="dxa" w:w="0"/>
      <w:tblBorders>
        <w:top w:color="4F81BD" w:space="0" w:sz="8" w:themeColor="accent1" w:val="single"/>
        <w:bottom w:color="4F81BD" w:space="0" w:sz="8" w:themeColor="accent1"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4F81BD" w:space="0" w:sz="8" w:themeColor="accent1" w:val="single"/>
        </w:tcBorders>
      </w:tcPr>
    </w:tblStylePr>
    <w:tblStylePr w:type="lastRow">
      <w:rPr>
        <w:b/>
        <w:bCs/>
        <w:color w:themeColor="text2" w:val="1F497D"/>
      </w:rPr>
      <w:tblPr/>
      <w:tcPr>
        <w:tcBorders>
          <w:top w:color="4F81BD" w:space="0" w:sz="8" w:themeColor="accent1" w:val="single"/>
          <w:bottom w:color="4F81BD" w:space="0" w:sz="8" w:themeColor="accent1" w:val="single"/>
        </w:tcBorders>
      </w:tcPr>
    </w:tblStylePr>
    <w:tblStylePr w:type="firstCol">
      <w:rPr>
        <w:b/>
        <w:bCs/>
      </w:rPr>
    </w:tblStylePr>
    <w:tblStylePr w:type="lastCol">
      <w:rPr>
        <w:b/>
        <w:bCs/>
      </w:rPr>
      <w:tblPr/>
      <w:tcPr>
        <w:tcBorders>
          <w:top w:color="4F81BD" w:space="0" w:sz="8" w:themeColor="accent1" w:val="single"/>
          <w:bottom w:color="4F81BD" w:space="0" w:sz="8" w:themeColor="accent1" w:val="single"/>
        </w:tcBorders>
      </w:tcPr>
    </w:tblStylePr>
    <w:tblStylePr w:type="band1Vert">
      <w:tblPr/>
      <w:tcPr>
        <w:shd w:color="auto" w:fill="D3DFEE" w:themeFill="accent1" w:themeFillTint="3F" w:val="clear"/>
      </w:tcPr>
    </w:tblStylePr>
    <w:tblStylePr w:type="band1Horz">
      <w:tblPr/>
      <w:tcPr>
        <w:shd w:color="auto" w:fill="D3DFEE" w:themeFill="accent1" w:themeFillTint="3F" w:val="clear"/>
      </w:tcPr>
    </w:tblStylePr>
  </w:style>
  <w:style w:styleId="MediumList1-Accent2" w:type="table">
    <w:name w:val="Medium List 1 Accent 2"/>
    <w:basedOn w:val="TableNormal"/>
    <w:uiPriority w:val="65"/>
    <w:rsid w:val="00CB0664"/>
    <w:pPr>
      <w:spacing w:after="0" w:line="240" w:lineRule="auto"/>
    </w:pPr>
    <w:rPr>
      <w:color w:themeColor="text1" w:val="000000"/>
    </w:rPr>
    <w:tblPr>
      <w:tblStyleRowBandSize w:val="1"/>
      <w:tblStyleColBandSize w:val="1"/>
      <w:tblInd w:type="dxa" w:w="0"/>
      <w:tblBorders>
        <w:top w:color="C0504D" w:space="0" w:sz="8" w:themeColor="accent2" w:val="single"/>
        <w:bottom w:color="C0504D" w:space="0" w:sz="8" w:themeColor="accent2"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C0504D" w:space="0" w:sz="8" w:themeColor="accent2" w:val="single"/>
        </w:tcBorders>
      </w:tcPr>
    </w:tblStylePr>
    <w:tblStylePr w:type="lastRow">
      <w:rPr>
        <w:b/>
        <w:bCs/>
        <w:color w:themeColor="text2" w:val="1F497D"/>
      </w:rPr>
      <w:tblPr/>
      <w:tcPr>
        <w:tcBorders>
          <w:top w:color="C0504D" w:space="0" w:sz="8" w:themeColor="accent2" w:val="single"/>
          <w:bottom w:color="C0504D" w:space="0" w:sz="8" w:themeColor="accent2" w:val="single"/>
        </w:tcBorders>
      </w:tcPr>
    </w:tblStylePr>
    <w:tblStylePr w:type="firstCol">
      <w:rPr>
        <w:b/>
        <w:bCs/>
      </w:rPr>
    </w:tblStylePr>
    <w:tblStylePr w:type="lastCol">
      <w:rPr>
        <w:b/>
        <w:bCs/>
      </w:rPr>
      <w:tblPr/>
      <w:tcPr>
        <w:tcBorders>
          <w:top w:color="C0504D" w:space="0" w:sz="8" w:themeColor="accent2" w:val="single"/>
          <w:bottom w:color="C0504D" w:space="0" w:sz="8" w:themeColor="accent2" w:val="single"/>
        </w:tcBorders>
      </w:tcPr>
    </w:tblStylePr>
    <w:tblStylePr w:type="band1Vert">
      <w:tblPr/>
      <w:tcPr>
        <w:shd w:color="auto" w:fill="EFD3D2" w:themeFill="accent2" w:themeFillTint="3F" w:val="clear"/>
      </w:tcPr>
    </w:tblStylePr>
    <w:tblStylePr w:type="band1Horz">
      <w:tblPr/>
      <w:tcPr>
        <w:shd w:color="auto" w:fill="EFD3D2" w:themeFill="accent2" w:themeFillTint="3F" w:val="clear"/>
      </w:tcPr>
    </w:tblStylePr>
  </w:style>
  <w:style w:styleId="MediumList1-Accent3" w:type="table">
    <w:name w:val="Medium List 1 Accent 3"/>
    <w:basedOn w:val="TableNormal"/>
    <w:uiPriority w:val="65"/>
    <w:rsid w:val="00CB0664"/>
    <w:pPr>
      <w:spacing w:after="0" w:line="240" w:lineRule="auto"/>
    </w:pPr>
    <w:rPr>
      <w:color w:themeColor="text1" w:val="000000"/>
    </w:rPr>
    <w:tblPr>
      <w:tblStyleRowBandSize w:val="1"/>
      <w:tblStyleColBandSize w:val="1"/>
      <w:tblInd w:type="dxa" w:w="0"/>
      <w:tblBorders>
        <w:top w:color="9BBB59" w:space="0" w:sz="8" w:themeColor="accent3" w:val="single"/>
        <w:bottom w:color="9BBB59" w:space="0" w:sz="8" w:themeColor="accent3"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9BBB59" w:space="0" w:sz="8" w:themeColor="accent3" w:val="single"/>
        </w:tcBorders>
      </w:tcPr>
    </w:tblStylePr>
    <w:tblStylePr w:type="lastRow">
      <w:rPr>
        <w:b/>
        <w:bCs/>
        <w:color w:themeColor="text2" w:val="1F497D"/>
      </w:rPr>
      <w:tblPr/>
      <w:tcPr>
        <w:tcBorders>
          <w:top w:color="9BBB59" w:space="0" w:sz="8" w:themeColor="accent3" w:val="single"/>
          <w:bottom w:color="9BBB59" w:space="0" w:sz="8" w:themeColor="accent3" w:val="single"/>
        </w:tcBorders>
      </w:tcPr>
    </w:tblStylePr>
    <w:tblStylePr w:type="firstCol">
      <w:rPr>
        <w:b/>
        <w:bCs/>
      </w:rPr>
    </w:tblStylePr>
    <w:tblStylePr w:type="lastCol">
      <w:rPr>
        <w:b/>
        <w:bCs/>
      </w:rPr>
      <w:tblPr/>
      <w:tcPr>
        <w:tcBorders>
          <w:top w:color="9BBB59" w:space="0" w:sz="8" w:themeColor="accent3" w:val="single"/>
          <w:bottom w:color="9BBB59" w:space="0" w:sz="8" w:themeColor="accent3" w:val="single"/>
        </w:tcBorders>
      </w:tcPr>
    </w:tblStylePr>
    <w:tblStylePr w:type="band1Vert">
      <w:tblPr/>
      <w:tcPr>
        <w:shd w:color="auto" w:fill="E6EED5" w:themeFill="accent3" w:themeFillTint="3F" w:val="clear"/>
      </w:tcPr>
    </w:tblStylePr>
    <w:tblStylePr w:type="band1Horz">
      <w:tblPr/>
      <w:tcPr>
        <w:shd w:color="auto" w:fill="E6EED5" w:themeFill="accent3" w:themeFillTint="3F" w:val="clear"/>
      </w:tcPr>
    </w:tblStylePr>
  </w:style>
  <w:style w:styleId="MediumList1-Accent4" w:type="table">
    <w:name w:val="Medium List 1 Accent 4"/>
    <w:basedOn w:val="TableNormal"/>
    <w:uiPriority w:val="65"/>
    <w:rsid w:val="00CB0664"/>
    <w:pPr>
      <w:spacing w:after="0" w:line="240" w:lineRule="auto"/>
    </w:pPr>
    <w:rPr>
      <w:color w:themeColor="text1" w:val="000000"/>
    </w:rPr>
    <w:tblPr>
      <w:tblStyleRowBandSize w:val="1"/>
      <w:tblStyleColBandSize w:val="1"/>
      <w:tblInd w:type="dxa" w:w="0"/>
      <w:tblBorders>
        <w:top w:color="8064A2" w:space="0" w:sz="8" w:themeColor="accent4" w:val="single"/>
        <w:bottom w:color="8064A2" w:space="0" w:sz="8" w:themeColor="accent4"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8064A2" w:space="0" w:sz="8" w:themeColor="accent4" w:val="single"/>
        </w:tcBorders>
      </w:tcPr>
    </w:tblStylePr>
    <w:tblStylePr w:type="lastRow">
      <w:rPr>
        <w:b/>
        <w:bCs/>
        <w:color w:themeColor="text2" w:val="1F497D"/>
      </w:rPr>
      <w:tblPr/>
      <w:tcPr>
        <w:tcBorders>
          <w:top w:color="8064A2" w:space="0" w:sz="8" w:themeColor="accent4" w:val="single"/>
          <w:bottom w:color="8064A2" w:space="0" w:sz="8" w:themeColor="accent4" w:val="single"/>
        </w:tcBorders>
      </w:tcPr>
    </w:tblStylePr>
    <w:tblStylePr w:type="firstCol">
      <w:rPr>
        <w:b/>
        <w:bCs/>
      </w:rPr>
    </w:tblStylePr>
    <w:tblStylePr w:type="lastCol">
      <w:rPr>
        <w:b/>
        <w:bCs/>
      </w:rPr>
      <w:tblPr/>
      <w:tcPr>
        <w:tcBorders>
          <w:top w:color="8064A2" w:space="0" w:sz="8" w:themeColor="accent4" w:val="single"/>
          <w:bottom w:color="8064A2" w:space="0" w:sz="8" w:themeColor="accent4" w:val="single"/>
        </w:tcBorders>
      </w:tcPr>
    </w:tblStylePr>
    <w:tblStylePr w:type="band1Vert">
      <w:tblPr/>
      <w:tcPr>
        <w:shd w:color="auto" w:fill="DFD8E8" w:themeFill="accent4" w:themeFillTint="3F" w:val="clear"/>
      </w:tcPr>
    </w:tblStylePr>
    <w:tblStylePr w:type="band1Horz">
      <w:tblPr/>
      <w:tcPr>
        <w:shd w:color="auto" w:fill="DFD8E8" w:themeFill="accent4" w:themeFillTint="3F" w:val="clear"/>
      </w:tcPr>
    </w:tblStylePr>
  </w:style>
  <w:style w:styleId="MediumList1-Accent5" w:type="table">
    <w:name w:val="Medium List 1 Accent 5"/>
    <w:basedOn w:val="TableNormal"/>
    <w:uiPriority w:val="65"/>
    <w:rsid w:val="00CB0664"/>
    <w:pPr>
      <w:spacing w:after="0" w:line="240" w:lineRule="auto"/>
    </w:pPr>
    <w:rPr>
      <w:color w:themeColor="text1" w:val="000000"/>
    </w:rPr>
    <w:tblPr>
      <w:tblStyleRowBandSize w:val="1"/>
      <w:tblStyleColBandSize w:val="1"/>
      <w:tblInd w:type="dxa" w:w="0"/>
      <w:tblBorders>
        <w:top w:color="4BACC6" w:space="0" w:sz="8" w:themeColor="accent5" w:val="single"/>
        <w:bottom w:color="4BACC6" w:space="0" w:sz="8" w:themeColor="accent5"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4BACC6" w:space="0" w:sz="8" w:themeColor="accent5" w:val="single"/>
        </w:tcBorders>
      </w:tcPr>
    </w:tblStylePr>
    <w:tblStylePr w:type="lastRow">
      <w:rPr>
        <w:b/>
        <w:bCs/>
        <w:color w:themeColor="text2" w:val="1F497D"/>
      </w:rPr>
      <w:tblPr/>
      <w:tcPr>
        <w:tcBorders>
          <w:top w:color="4BACC6" w:space="0" w:sz="8" w:themeColor="accent5" w:val="single"/>
          <w:bottom w:color="4BACC6" w:space="0" w:sz="8" w:themeColor="accent5" w:val="single"/>
        </w:tcBorders>
      </w:tcPr>
    </w:tblStylePr>
    <w:tblStylePr w:type="firstCol">
      <w:rPr>
        <w:b/>
        <w:bCs/>
      </w:rPr>
    </w:tblStylePr>
    <w:tblStylePr w:type="lastCol">
      <w:rPr>
        <w:b/>
        <w:bCs/>
      </w:rPr>
      <w:tblPr/>
      <w:tcPr>
        <w:tcBorders>
          <w:top w:color="4BACC6" w:space="0" w:sz="8" w:themeColor="accent5" w:val="single"/>
          <w:bottom w:color="4BACC6" w:space="0" w:sz="8" w:themeColor="accent5" w:val="single"/>
        </w:tcBorders>
      </w:tcPr>
    </w:tblStylePr>
    <w:tblStylePr w:type="band1Vert">
      <w:tblPr/>
      <w:tcPr>
        <w:shd w:color="auto" w:fill="D2EAF1" w:themeFill="accent5" w:themeFillTint="3F" w:val="clear"/>
      </w:tcPr>
    </w:tblStylePr>
    <w:tblStylePr w:type="band1Horz">
      <w:tblPr/>
      <w:tcPr>
        <w:shd w:color="auto" w:fill="D2EAF1" w:themeFill="accent5" w:themeFillTint="3F" w:val="clear"/>
      </w:tcPr>
    </w:tblStylePr>
  </w:style>
  <w:style w:styleId="MediumList1-Accent6" w:type="table">
    <w:name w:val="Medium List 1 Accent 6"/>
    <w:basedOn w:val="TableNormal"/>
    <w:uiPriority w:val="65"/>
    <w:rsid w:val="00CB0664"/>
    <w:pPr>
      <w:spacing w:after="0" w:line="240" w:lineRule="auto"/>
    </w:pPr>
    <w:rPr>
      <w:color w:themeColor="text1" w:val="000000"/>
    </w:rPr>
    <w:tblPr>
      <w:tblStyleRowBandSize w:val="1"/>
      <w:tblStyleColBandSize w:val="1"/>
      <w:tblInd w:type="dxa" w:w="0"/>
      <w:tblBorders>
        <w:top w:color="F79646" w:space="0" w:sz="8" w:themeColor="accent6" w:val="single"/>
        <w:bottom w:color="F79646" w:space="0" w:sz="8" w:themeColor="accent6"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F79646" w:space="0" w:sz="8" w:themeColor="accent6" w:val="single"/>
        </w:tcBorders>
      </w:tcPr>
    </w:tblStylePr>
    <w:tblStylePr w:type="lastRow">
      <w:rPr>
        <w:b/>
        <w:bCs/>
        <w:color w:themeColor="text2" w:val="1F497D"/>
      </w:rPr>
      <w:tblPr/>
      <w:tcPr>
        <w:tcBorders>
          <w:top w:color="F79646" w:space="0" w:sz="8" w:themeColor="accent6" w:val="single"/>
          <w:bottom w:color="F79646" w:space="0" w:sz="8" w:themeColor="accent6" w:val="single"/>
        </w:tcBorders>
      </w:tcPr>
    </w:tblStylePr>
    <w:tblStylePr w:type="firstCol">
      <w:rPr>
        <w:b/>
        <w:bCs/>
      </w:rPr>
    </w:tblStylePr>
    <w:tblStylePr w:type="lastCol">
      <w:rPr>
        <w:b/>
        <w:bCs/>
      </w:rPr>
      <w:tblPr/>
      <w:tcPr>
        <w:tcBorders>
          <w:top w:color="F79646" w:space="0" w:sz="8" w:themeColor="accent6" w:val="single"/>
          <w:bottom w:color="F79646" w:space="0" w:sz="8" w:themeColor="accent6" w:val="single"/>
        </w:tcBorders>
      </w:tcPr>
    </w:tblStylePr>
    <w:tblStylePr w:type="band1Vert">
      <w:tblPr/>
      <w:tcPr>
        <w:shd w:color="auto" w:fill="FDE4D0" w:themeFill="accent6" w:themeFillTint="3F" w:val="clear"/>
      </w:tcPr>
    </w:tblStylePr>
    <w:tblStylePr w:type="band1Horz">
      <w:tblPr/>
      <w:tcPr>
        <w:shd w:color="auto" w:fill="FDE4D0" w:themeFill="accent6" w:themeFillTint="3F" w:val="clear"/>
      </w:tcPr>
    </w:tblStylePr>
  </w:style>
  <w:style w:styleId="MediumList2" w:type="table">
    <w:name w:val="Medium List 2"/>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tblBorders>
      <w:tblCellMar>
        <w:top w:type="dxa" w:w="0"/>
        <w:left w:type="dxa" w:w="108"/>
        <w:bottom w:type="dxa" w:w="0"/>
        <w:right w:type="dxa" w:w="108"/>
      </w:tblCellMar>
    </w:tblPr>
    <w:tblStylePr w:type="firstRow">
      <w:rPr>
        <w:sz w:val="24"/>
        <w:szCs w:val="24"/>
      </w:rPr>
      <w:tblPr/>
      <w:tcPr>
        <w:tcBorders>
          <w:top w:val="nil"/>
          <w:left w:val="nil"/>
          <w:bottom w:color="000000" w:space="0" w:sz="24" w:themeColor="text1" w:val="single"/>
          <w:right w:val="nil"/>
          <w:insideH w:val="nil"/>
          <w:insideV w:val="nil"/>
        </w:tcBorders>
        <w:shd w:color="auto" w:fill="FFFFFF" w:themeFill="background1" w:val="clear"/>
      </w:tcPr>
    </w:tblStylePr>
    <w:tblStylePr w:type="lastRow">
      <w:tblPr/>
      <w:tcPr>
        <w:tcBorders>
          <w:top w:color="000000" w:space="0" w:sz="8" w:themeColor="text1"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000000" w:space="0" w:sz="8" w:themeColor="text1" w:val="single"/>
          <w:insideH w:val="nil"/>
          <w:insideV w:val="nil"/>
        </w:tcBorders>
        <w:shd w:color="auto" w:fill="FFFFFF" w:themeFill="background1" w:val="clear"/>
      </w:tcPr>
    </w:tblStylePr>
    <w:tblStylePr w:type="lastCol">
      <w:tblPr/>
      <w:tcPr>
        <w:tcBorders>
          <w:top w:val="nil"/>
          <w:left w:color="000000" w:space="0" w:sz="8" w:themeColor="text1"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C0C0C0" w:themeFill="text1" w:themeFillTint="3F" w:val="clear"/>
      </w:tcPr>
    </w:tblStylePr>
    <w:tblStylePr w:type="band1Horz">
      <w:tblPr/>
      <w:tcPr>
        <w:tcBorders>
          <w:top w:val="nil"/>
          <w:bottom w:val="nil"/>
          <w:insideH w:val="nil"/>
          <w:insideV w:val="nil"/>
        </w:tcBorders>
        <w:shd w:color="auto" w:fill="C0C0C0" w:themeFill="text1"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1" w:type="table">
    <w:name w:val="Medium List 2 Accent 1"/>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tblBorders>
      <w:tblCellMar>
        <w:top w:type="dxa" w:w="0"/>
        <w:left w:type="dxa" w:w="108"/>
        <w:bottom w:type="dxa" w:w="0"/>
        <w:right w:type="dxa" w:w="108"/>
      </w:tblCellMar>
    </w:tblPr>
    <w:tblStylePr w:type="firstRow">
      <w:rPr>
        <w:sz w:val="24"/>
        <w:szCs w:val="24"/>
      </w:rPr>
      <w:tblPr/>
      <w:tcPr>
        <w:tcBorders>
          <w:top w:val="nil"/>
          <w:left w:val="nil"/>
          <w:bottom w:color="4F81BD" w:space="0" w:sz="24" w:themeColor="accent1" w:val="single"/>
          <w:right w:val="nil"/>
          <w:insideH w:val="nil"/>
          <w:insideV w:val="nil"/>
        </w:tcBorders>
        <w:shd w:color="auto" w:fill="FFFFFF" w:themeFill="background1" w:val="clear"/>
      </w:tcPr>
    </w:tblStylePr>
    <w:tblStylePr w:type="lastRow">
      <w:tblPr/>
      <w:tcPr>
        <w:tcBorders>
          <w:top w:color="4F81BD" w:space="0" w:sz="8" w:themeColor="accent1"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4F81BD" w:space="0" w:sz="8" w:themeColor="accent1" w:val="single"/>
          <w:insideH w:val="nil"/>
          <w:insideV w:val="nil"/>
        </w:tcBorders>
        <w:shd w:color="auto" w:fill="FFFFFF" w:themeFill="background1" w:val="clear"/>
      </w:tcPr>
    </w:tblStylePr>
    <w:tblStylePr w:type="lastCol">
      <w:tblPr/>
      <w:tcPr>
        <w:tcBorders>
          <w:top w:val="nil"/>
          <w:left w:color="4F81BD" w:space="0" w:sz="8" w:themeColor="accent1"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D3DFEE" w:themeFill="accent1" w:themeFillTint="3F" w:val="clear"/>
      </w:tcPr>
    </w:tblStylePr>
    <w:tblStylePr w:type="band1Horz">
      <w:tblPr/>
      <w:tcPr>
        <w:tcBorders>
          <w:top w:val="nil"/>
          <w:bottom w:val="nil"/>
          <w:insideH w:val="nil"/>
          <w:insideV w:val="nil"/>
        </w:tcBorders>
        <w:shd w:color="auto" w:fill="D3DFEE" w:themeFill="accent1"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2" w:type="table">
    <w:name w:val="Medium List 2 Accent 2"/>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tblBorders>
      <w:tblCellMar>
        <w:top w:type="dxa" w:w="0"/>
        <w:left w:type="dxa" w:w="108"/>
        <w:bottom w:type="dxa" w:w="0"/>
        <w:right w:type="dxa" w:w="108"/>
      </w:tblCellMar>
    </w:tblPr>
    <w:tblStylePr w:type="firstRow">
      <w:rPr>
        <w:sz w:val="24"/>
        <w:szCs w:val="24"/>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tblPr/>
      <w:tcPr>
        <w:tcBorders>
          <w:top w:color="C0504D" w:space="0" w:sz="8" w:themeColor="accent2"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C0504D" w:space="0" w:sz="8" w:themeColor="accent2" w:val="single"/>
          <w:insideH w:val="nil"/>
          <w:insideV w:val="nil"/>
        </w:tcBorders>
        <w:shd w:color="auto" w:fill="FFFFFF" w:themeFill="background1" w:val="clear"/>
      </w:tcPr>
    </w:tblStylePr>
    <w:tblStylePr w:type="lastCol">
      <w:tblPr/>
      <w:tcPr>
        <w:tcBorders>
          <w:top w:val="nil"/>
          <w:left w:color="C0504D" w:space="0" w:sz="8" w:themeColor="accent2"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EFD3D2" w:themeFill="accent2" w:themeFillTint="3F" w:val="clear"/>
      </w:tcPr>
    </w:tblStylePr>
    <w:tblStylePr w:type="band1Horz">
      <w:tblPr/>
      <w:tcPr>
        <w:tcBorders>
          <w:top w:val="nil"/>
          <w:bottom w:val="nil"/>
          <w:insideH w:val="nil"/>
          <w:insideV w:val="nil"/>
        </w:tcBorders>
        <w:shd w:color="auto" w:fill="EFD3D2" w:themeFill="accent2"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3" w:type="table">
    <w:name w:val="Medium List 2 Accent 3"/>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tblBorders>
      <w:tblCellMar>
        <w:top w:type="dxa" w:w="0"/>
        <w:left w:type="dxa" w:w="108"/>
        <w:bottom w:type="dxa" w:w="0"/>
        <w:right w:type="dxa" w:w="108"/>
      </w:tblCellMar>
    </w:tblPr>
    <w:tblStylePr w:type="firstRow">
      <w:rPr>
        <w:sz w:val="24"/>
        <w:szCs w:val="24"/>
      </w:rPr>
      <w:tblPr/>
      <w:tcPr>
        <w:tcBorders>
          <w:top w:val="nil"/>
          <w:left w:val="nil"/>
          <w:bottom w:color="9BBB59" w:space="0" w:sz="24" w:themeColor="accent3" w:val="single"/>
          <w:right w:val="nil"/>
          <w:insideH w:val="nil"/>
          <w:insideV w:val="nil"/>
        </w:tcBorders>
        <w:shd w:color="auto" w:fill="FFFFFF" w:themeFill="background1" w:val="clear"/>
      </w:tcPr>
    </w:tblStylePr>
    <w:tblStylePr w:type="lastRow">
      <w:tblPr/>
      <w:tcPr>
        <w:tcBorders>
          <w:top w:color="9BBB59" w:space="0" w:sz="8" w:themeColor="accent3"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9BBB59" w:space="0" w:sz="8" w:themeColor="accent3" w:val="single"/>
          <w:insideH w:val="nil"/>
          <w:insideV w:val="nil"/>
        </w:tcBorders>
        <w:shd w:color="auto" w:fill="FFFFFF" w:themeFill="background1" w:val="clear"/>
      </w:tcPr>
    </w:tblStylePr>
    <w:tblStylePr w:type="lastCol">
      <w:tblPr/>
      <w:tcPr>
        <w:tcBorders>
          <w:top w:val="nil"/>
          <w:left w:color="9BBB59" w:space="0" w:sz="8" w:themeColor="accent3"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E6EED5" w:themeFill="accent3" w:themeFillTint="3F" w:val="clear"/>
      </w:tcPr>
    </w:tblStylePr>
    <w:tblStylePr w:type="band1Horz">
      <w:tblPr/>
      <w:tcPr>
        <w:tcBorders>
          <w:top w:val="nil"/>
          <w:bottom w:val="nil"/>
          <w:insideH w:val="nil"/>
          <w:insideV w:val="nil"/>
        </w:tcBorders>
        <w:shd w:color="auto" w:fill="E6EED5" w:themeFill="accent3"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4" w:type="table">
    <w:name w:val="Medium List 2 Accent 4"/>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tblBorders>
      <w:tblCellMar>
        <w:top w:type="dxa" w:w="0"/>
        <w:left w:type="dxa" w:w="108"/>
        <w:bottom w:type="dxa" w:w="0"/>
        <w:right w:type="dxa" w:w="108"/>
      </w:tblCellMar>
    </w:tblPr>
    <w:tblStylePr w:type="firstRow">
      <w:rPr>
        <w:sz w:val="24"/>
        <w:szCs w:val="24"/>
      </w:rPr>
      <w:tblPr/>
      <w:tcPr>
        <w:tcBorders>
          <w:top w:val="nil"/>
          <w:left w:val="nil"/>
          <w:bottom w:color="8064A2" w:space="0" w:sz="24" w:themeColor="accent4" w:val="single"/>
          <w:right w:val="nil"/>
          <w:insideH w:val="nil"/>
          <w:insideV w:val="nil"/>
        </w:tcBorders>
        <w:shd w:color="auto" w:fill="FFFFFF" w:themeFill="background1" w:val="clear"/>
      </w:tcPr>
    </w:tblStylePr>
    <w:tblStylePr w:type="lastRow">
      <w:tblPr/>
      <w:tcPr>
        <w:tcBorders>
          <w:top w:color="8064A2" w:space="0" w:sz="8" w:themeColor="accent4"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8064A2" w:space="0" w:sz="8" w:themeColor="accent4" w:val="single"/>
          <w:insideH w:val="nil"/>
          <w:insideV w:val="nil"/>
        </w:tcBorders>
        <w:shd w:color="auto" w:fill="FFFFFF" w:themeFill="background1" w:val="clear"/>
      </w:tcPr>
    </w:tblStylePr>
    <w:tblStylePr w:type="lastCol">
      <w:tblPr/>
      <w:tcPr>
        <w:tcBorders>
          <w:top w:val="nil"/>
          <w:left w:color="8064A2" w:space="0" w:sz="8" w:themeColor="accent4"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DFD8E8" w:themeFill="accent4" w:themeFillTint="3F" w:val="clear"/>
      </w:tcPr>
    </w:tblStylePr>
    <w:tblStylePr w:type="band1Horz">
      <w:tblPr/>
      <w:tcPr>
        <w:tcBorders>
          <w:top w:val="nil"/>
          <w:bottom w:val="nil"/>
          <w:insideH w:val="nil"/>
          <w:insideV w:val="nil"/>
        </w:tcBorders>
        <w:shd w:color="auto" w:fill="DFD8E8" w:themeFill="accent4"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5" w:type="table">
    <w:name w:val="Medium List 2 Accent 5"/>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tblBorders>
      <w:tblCellMar>
        <w:top w:type="dxa" w:w="0"/>
        <w:left w:type="dxa" w:w="108"/>
        <w:bottom w:type="dxa" w:w="0"/>
        <w:right w:type="dxa" w:w="108"/>
      </w:tblCellMar>
    </w:tblPr>
    <w:tblStylePr w:type="firstRow">
      <w:rPr>
        <w:sz w:val="24"/>
        <w:szCs w:val="24"/>
      </w:rPr>
      <w:tblPr/>
      <w:tcPr>
        <w:tcBorders>
          <w:top w:val="nil"/>
          <w:left w:val="nil"/>
          <w:bottom w:color="4BACC6" w:space="0" w:sz="24" w:themeColor="accent5" w:val="single"/>
          <w:right w:val="nil"/>
          <w:insideH w:val="nil"/>
          <w:insideV w:val="nil"/>
        </w:tcBorders>
        <w:shd w:color="auto" w:fill="FFFFFF" w:themeFill="background1" w:val="clear"/>
      </w:tcPr>
    </w:tblStylePr>
    <w:tblStylePr w:type="lastRow">
      <w:tblPr/>
      <w:tcPr>
        <w:tcBorders>
          <w:top w:color="4BACC6" w:space="0" w:sz="8" w:themeColor="accent5"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4BACC6" w:space="0" w:sz="8" w:themeColor="accent5" w:val="single"/>
          <w:insideH w:val="nil"/>
          <w:insideV w:val="nil"/>
        </w:tcBorders>
        <w:shd w:color="auto" w:fill="FFFFFF" w:themeFill="background1" w:val="clear"/>
      </w:tcPr>
    </w:tblStylePr>
    <w:tblStylePr w:type="lastCol">
      <w:tblPr/>
      <w:tcPr>
        <w:tcBorders>
          <w:top w:val="nil"/>
          <w:left w:color="4BACC6" w:space="0" w:sz="8" w:themeColor="accent5"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D2EAF1" w:themeFill="accent5" w:themeFillTint="3F" w:val="clear"/>
      </w:tcPr>
    </w:tblStylePr>
    <w:tblStylePr w:type="band1Horz">
      <w:tblPr/>
      <w:tcPr>
        <w:tcBorders>
          <w:top w:val="nil"/>
          <w:bottom w:val="nil"/>
          <w:insideH w:val="nil"/>
          <w:insideV w:val="nil"/>
        </w:tcBorders>
        <w:shd w:color="auto" w:fill="D2EAF1" w:themeFill="accent5"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6" w:type="table">
    <w:name w:val="Medium List 2 Accent 6"/>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tblBorders>
      <w:tblCellMar>
        <w:top w:type="dxa" w:w="0"/>
        <w:left w:type="dxa" w:w="108"/>
        <w:bottom w:type="dxa" w:w="0"/>
        <w:right w:type="dxa" w:w="108"/>
      </w:tblCellMar>
    </w:tblPr>
    <w:tblStylePr w:type="firstRow">
      <w:rPr>
        <w:sz w:val="24"/>
        <w:szCs w:val="24"/>
      </w:rPr>
      <w:tblPr/>
      <w:tcPr>
        <w:tcBorders>
          <w:top w:val="nil"/>
          <w:left w:val="nil"/>
          <w:bottom w:color="F79646" w:space="0" w:sz="24" w:themeColor="accent6" w:val="single"/>
          <w:right w:val="nil"/>
          <w:insideH w:val="nil"/>
          <w:insideV w:val="nil"/>
        </w:tcBorders>
        <w:shd w:color="auto" w:fill="FFFFFF" w:themeFill="background1" w:val="clear"/>
      </w:tcPr>
    </w:tblStylePr>
    <w:tblStylePr w:type="lastRow">
      <w:tblPr/>
      <w:tcPr>
        <w:tcBorders>
          <w:top w:color="F79646" w:space="0" w:sz="8" w:themeColor="accent6"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F79646" w:space="0" w:sz="8" w:themeColor="accent6" w:val="single"/>
          <w:insideH w:val="nil"/>
          <w:insideV w:val="nil"/>
        </w:tcBorders>
        <w:shd w:color="auto" w:fill="FFFFFF" w:themeFill="background1" w:val="clear"/>
      </w:tcPr>
    </w:tblStylePr>
    <w:tblStylePr w:type="lastCol">
      <w:tblPr/>
      <w:tcPr>
        <w:tcBorders>
          <w:top w:val="nil"/>
          <w:left w:color="F79646" w:space="0" w:sz="8" w:themeColor="accent6"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FDE4D0" w:themeFill="accent6" w:themeFillTint="3F" w:val="clear"/>
      </w:tcPr>
    </w:tblStylePr>
    <w:tblStylePr w:type="band1Horz">
      <w:tblPr/>
      <w:tcPr>
        <w:tcBorders>
          <w:top w:val="nil"/>
          <w:bottom w:val="nil"/>
          <w:insideH w:val="nil"/>
          <w:insideV w:val="nil"/>
        </w:tcBorders>
        <w:shd w:color="auto" w:fill="FDE4D0" w:themeFill="accent6" w:themeFillTint="3F" w:val="clear"/>
      </w:tcPr>
    </w:tblStylePr>
    <w:tblStylePr w:type="nwCell">
      <w:tblPr/>
      <w:tcPr>
        <w:shd w:color="auto" w:fill="FFFFFF" w:themeFill="background1" w:val="clear"/>
      </w:tcPr>
    </w:tblStylePr>
    <w:tblStylePr w:type="swCell">
      <w:tblPr/>
      <w:tcPr>
        <w:tcBorders>
          <w:top w:val="nil"/>
        </w:tcBorders>
      </w:tcPr>
    </w:tblStylePr>
  </w:style>
  <w:style w:styleId="MediumGrid1" w:type="table">
    <w:name w:val="Medium Grid 1"/>
    <w:basedOn w:val="TableNormal"/>
    <w:uiPriority w:val="67"/>
    <w:rsid w:val="00CB0664"/>
    <w:pPr>
      <w:spacing w:after="0" w:line="240" w:lineRule="auto"/>
    </w:pPr>
    <w:tblPr>
      <w:tblStyleRowBandSize w:val="1"/>
      <w:tblStyleColBandSize w:val="1"/>
      <w:tblInd w:type="dxa" w:w="0"/>
      <w:tblBorders>
        <w:top w:color="404040" w:space="0" w:sz="8" w:themeColor="text1" w:themeTint="BF" w:val="single"/>
        <w:left w:color="404040" w:space="0" w:sz="8" w:themeColor="text1" w:themeTint="BF" w:val="single"/>
        <w:bottom w:color="404040" w:space="0" w:sz="8" w:themeColor="text1" w:themeTint="BF" w:val="single"/>
        <w:right w:color="404040" w:space="0" w:sz="8" w:themeColor="text1" w:themeTint="BF" w:val="single"/>
        <w:insideH w:color="404040" w:space="0" w:sz="8" w:themeColor="text1" w:themeTint="BF" w:val="single"/>
        <w:insideV w:color="404040" w:space="0" w:sz="8" w:themeColor="text1" w:themeTint="BF" w:val="single"/>
      </w:tblBorders>
      <w:tblCellMar>
        <w:top w:type="dxa" w:w="0"/>
        <w:left w:type="dxa" w:w="108"/>
        <w:bottom w:type="dxa" w:w="0"/>
        <w:right w:type="dxa" w:w="108"/>
      </w:tblCellMar>
    </w:tblPr>
    <w:tcPr>
      <w:shd w:color="auto" w:fill="C0C0C0" w:themeFill="text1" w:themeFillTint="3F" w:val="clear"/>
    </w:tcPr>
    <w:tblStylePr w:type="firstRow">
      <w:rPr>
        <w:b/>
        <w:bCs/>
      </w:rPr>
    </w:tblStylePr>
    <w:tblStylePr w:type="lastRow">
      <w:rPr>
        <w:b/>
        <w:bCs/>
      </w:rPr>
      <w:tblPr/>
      <w:tcPr>
        <w:tcBorders>
          <w:top w:color="404040" w:space="0" w:sz="18" w:themeColor="text1" w:themeTint="BF" w:val="single"/>
        </w:tcBorders>
      </w:tcPr>
    </w:tblStylePr>
    <w:tblStylePr w:type="firstCol">
      <w:rPr>
        <w:b/>
        <w:bCs/>
      </w:rPr>
    </w:tblStylePr>
    <w:tblStylePr w:type="lastCol">
      <w:rPr>
        <w:b/>
        <w:bCs/>
      </w:rPr>
    </w:tblStylePr>
    <w:tblStylePr w:type="band1Vert">
      <w:tblPr/>
      <w:tcPr>
        <w:shd w:color="auto" w:fill="808080" w:themeFill="text1" w:themeFillTint="7F" w:val="clear"/>
      </w:tcPr>
    </w:tblStylePr>
    <w:tblStylePr w:type="band1Horz">
      <w:tblPr/>
      <w:tcPr>
        <w:shd w:color="auto" w:fill="808080" w:themeFill="text1" w:themeFillTint="7F" w:val="clear"/>
      </w:tcPr>
    </w:tblStylePr>
  </w:style>
  <w:style w:styleId="MediumGrid1-Accent1" w:type="table">
    <w:name w:val="Medium Grid 1 Accent 1"/>
    <w:basedOn w:val="TableNormal"/>
    <w:uiPriority w:val="67"/>
    <w:rsid w:val="00CB0664"/>
    <w:pPr>
      <w:spacing w:after="0" w:line="240" w:lineRule="auto"/>
    </w:pPr>
    <w:tblPr>
      <w:tblStyleRowBandSize w:val="1"/>
      <w:tblStyleColBandSize w:val="1"/>
      <w:tblInd w:type="dxa" w:w="0"/>
      <w:tblBorders>
        <w:top w:color="7BA0CD" w:space="0" w:sz="8" w:themeColor="accent1" w:themeTint="BF" w:val="single"/>
        <w:left w:color="7BA0CD" w:space="0" w:sz="8" w:themeColor="accent1" w:themeTint="BF" w:val="single"/>
        <w:bottom w:color="7BA0CD" w:space="0" w:sz="8" w:themeColor="accent1" w:themeTint="BF" w:val="single"/>
        <w:right w:color="7BA0CD" w:space="0" w:sz="8" w:themeColor="accent1" w:themeTint="BF" w:val="single"/>
        <w:insideH w:color="7BA0CD" w:space="0" w:sz="8" w:themeColor="accent1" w:themeTint="BF" w:val="single"/>
        <w:insideV w:color="7BA0CD" w:space="0" w:sz="8" w:themeColor="accent1" w:themeTint="BF" w:val="single"/>
      </w:tblBorders>
      <w:tblCellMar>
        <w:top w:type="dxa" w:w="0"/>
        <w:left w:type="dxa" w:w="108"/>
        <w:bottom w:type="dxa" w:w="0"/>
        <w:right w:type="dxa" w:w="108"/>
      </w:tblCellMar>
    </w:tblPr>
    <w:tcPr>
      <w:shd w:color="auto" w:fill="D3DFEE" w:themeFill="accent1" w:themeFillTint="3F" w:val="clear"/>
    </w:tcPr>
    <w:tblStylePr w:type="firstRow">
      <w:rPr>
        <w:b/>
        <w:bCs/>
      </w:rPr>
    </w:tblStylePr>
    <w:tblStylePr w:type="lastRow">
      <w:rPr>
        <w:b/>
        <w:bCs/>
      </w:rPr>
      <w:tblPr/>
      <w:tcPr>
        <w:tcBorders>
          <w:top w:color="7BA0CD" w:space="0" w:sz="18" w:themeColor="accent1" w:themeTint="BF" w:val="single"/>
        </w:tcBorders>
      </w:tcPr>
    </w:tblStylePr>
    <w:tblStylePr w:type="firstCol">
      <w:rPr>
        <w:b/>
        <w:bCs/>
      </w:rPr>
    </w:tblStylePr>
    <w:tblStylePr w:type="lastCol">
      <w:rPr>
        <w:b/>
        <w:bCs/>
      </w:rPr>
    </w:tblStylePr>
    <w:tblStylePr w:type="band1Vert">
      <w:tblPr/>
      <w:tcPr>
        <w:shd w:color="auto" w:fill="A7BFDE" w:themeFill="accent1" w:themeFillTint="7F" w:val="clear"/>
      </w:tcPr>
    </w:tblStylePr>
    <w:tblStylePr w:type="band1Horz">
      <w:tblPr/>
      <w:tcPr>
        <w:shd w:color="auto" w:fill="A7BFDE" w:themeFill="accent1" w:themeFillTint="7F" w:val="clear"/>
      </w:tcPr>
    </w:tblStylePr>
  </w:style>
  <w:style w:styleId="MediumGrid1-Accent2" w:type="table">
    <w:name w:val="Medium Grid 1 Accent 2"/>
    <w:basedOn w:val="TableNormal"/>
    <w:uiPriority w:val="67"/>
    <w:rsid w:val="00CB0664"/>
    <w:pPr>
      <w:spacing w:after="0" w:line="240" w:lineRule="auto"/>
    </w:pPr>
    <w:tblPr>
      <w:tblStyleRowBandSize w:val="1"/>
      <w:tblStyleColBandSize w:val="1"/>
      <w:tblInd w:type="dxa" w:w="0"/>
      <w:tblBorders>
        <w:top w:color="CF7B79" w:space="0" w:sz="8" w:themeColor="accent2" w:themeTint="BF" w:val="single"/>
        <w:left w:color="CF7B79" w:space="0" w:sz="8" w:themeColor="accent2" w:themeTint="BF" w:val="single"/>
        <w:bottom w:color="CF7B79" w:space="0" w:sz="8" w:themeColor="accent2" w:themeTint="BF" w:val="single"/>
        <w:right w:color="CF7B79" w:space="0" w:sz="8" w:themeColor="accent2" w:themeTint="BF" w:val="single"/>
        <w:insideH w:color="CF7B79" w:space="0" w:sz="8" w:themeColor="accent2" w:themeTint="BF" w:val="single"/>
        <w:insideV w:color="CF7B79" w:space="0" w:sz="8" w:themeColor="accent2" w:themeTint="BF" w:val="single"/>
      </w:tblBorders>
      <w:tblCellMar>
        <w:top w:type="dxa" w:w="0"/>
        <w:left w:type="dxa" w:w="108"/>
        <w:bottom w:type="dxa" w:w="0"/>
        <w:right w:type="dxa" w:w="108"/>
      </w:tblCellMar>
    </w:tblPr>
    <w:tcPr>
      <w:shd w:color="auto" w:fill="EFD3D2" w:themeFill="accent2" w:themeFillTint="3F" w:val="clear"/>
    </w:tcPr>
    <w:tblStylePr w:type="firstRow">
      <w:rPr>
        <w:b/>
        <w:bCs/>
      </w:rPr>
    </w:tblStylePr>
    <w:tblStylePr w:type="lastRow">
      <w:rPr>
        <w:b/>
        <w:bCs/>
      </w:rPr>
      <w:tblPr/>
      <w:tcPr>
        <w:tcBorders>
          <w:top w:color="CF7B79" w:space="0" w:sz="18" w:themeColor="accent2" w:themeTint="BF" w:val="single"/>
        </w:tcBorders>
      </w:tcPr>
    </w:tblStylePr>
    <w:tblStylePr w:type="firstCol">
      <w:rPr>
        <w:b/>
        <w:bCs/>
      </w:rPr>
    </w:tblStylePr>
    <w:tblStylePr w:type="lastCol">
      <w:rPr>
        <w:b/>
        <w:bCs/>
      </w:rPr>
    </w:tblStylePr>
    <w:tblStylePr w:type="band1Vert">
      <w:tblPr/>
      <w:tcPr>
        <w:shd w:color="auto" w:fill="DFA7A6" w:themeFill="accent2" w:themeFillTint="7F" w:val="clear"/>
      </w:tcPr>
    </w:tblStylePr>
    <w:tblStylePr w:type="band1Horz">
      <w:tblPr/>
      <w:tcPr>
        <w:shd w:color="auto" w:fill="DFA7A6" w:themeFill="accent2" w:themeFillTint="7F" w:val="clear"/>
      </w:tcPr>
    </w:tblStylePr>
  </w:style>
  <w:style w:styleId="MediumGrid1-Accent3" w:type="table">
    <w:name w:val="Medium Grid 1 Accent 3"/>
    <w:basedOn w:val="TableNormal"/>
    <w:uiPriority w:val="67"/>
    <w:rsid w:val="00CB0664"/>
    <w:pPr>
      <w:spacing w:after="0" w:line="240" w:lineRule="auto"/>
    </w:pPr>
    <w:tblPr>
      <w:tblStyleRowBandSize w:val="1"/>
      <w:tblStyleColBandSize w:val="1"/>
      <w:tblInd w:type="dxa" w:w="0"/>
      <w:tblBorders>
        <w:top w:color="B3CC82" w:space="0" w:sz="8" w:themeColor="accent3" w:themeTint="BF" w:val="single"/>
        <w:left w:color="B3CC82" w:space="0" w:sz="8" w:themeColor="accent3" w:themeTint="BF" w:val="single"/>
        <w:bottom w:color="B3CC82" w:space="0" w:sz="8" w:themeColor="accent3" w:themeTint="BF" w:val="single"/>
        <w:right w:color="B3CC82" w:space="0" w:sz="8" w:themeColor="accent3" w:themeTint="BF" w:val="single"/>
        <w:insideH w:color="B3CC82" w:space="0" w:sz="8" w:themeColor="accent3" w:themeTint="BF" w:val="single"/>
        <w:insideV w:color="B3CC82" w:space="0" w:sz="8" w:themeColor="accent3" w:themeTint="BF" w:val="single"/>
      </w:tblBorders>
      <w:tblCellMar>
        <w:top w:type="dxa" w:w="0"/>
        <w:left w:type="dxa" w:w="108"/>
        <w:bottom w:type="dxa" w:w="0"/>
        <w:right w:type="dxa" w:w="108"/>
      </w:tblCellMar>
    </w:tblPr>
    <w:tcPr>
      <w:shd w:color="auto" w:fill="E6EED5" w:themeFill="accent3" w:themeFillTint="3F" w:val="clear"/>
    </w:tcPr>
    <w:tblStylePr w:type="firstRow">
      <w:rPr>
        <w:b/>
        <w:bCs/>
      </w:rPr>
    </w:tblStylePr>
    <w:tblStylePr w:type="lastRow">
      <w:rPr>
        <w:b/>
        <w:bCs/>
      </w:rPr>
      <w:tblPr/>
      <w:tcPr>
        <w:tcBorders>
          <w:top w:color="B3CC82" w:space="0" w:sz="18" w:themeColor="accent3" w:themeTint="BF" w:val="single"/>
        </w:tcBorders>
      </w:tcPr>
    </w:tblStylePr>
    <w:tblStylePr w:type="firstCol">
      <w:rPr>
        <w:b/>
        <w:bCs/>
      </w:rPr>
    </w:tblStylePr>
    <w:tblStylePr w:type="lastCol">
      <w:rPr>
        <w:b/>
        <w:bCs/>
      </w:rPr>
    </w:tblStylePr>
    <w:tblStylePr w:type="band1Vert">
      <w:tblPr/>
      <w:tcPr>
        <w:shd w:color="auto" w:fill="CDDDAC" w:themeFill="accent3" w:themeFillTint="7F" w:val="clear"/>
      </w:tcPr>
    </w:tblStylePr>
    <w:tblStylePr w:type="band1Horz">
      <w:tblPr/>
      <w:tcPr>
        <w:shd w:color="auto" w:fill="CDDDAC" w:themeFill="accent3" w:themeFillTint="7F" w:val="clear"/>
      </w:tcPr>
    </w:tblStylePr>
  </w:style>
  <w:style w:styleId="MediumGrid1-Accent4" w:type="table">
    <w:name w:val="Medium Grid 1 Accent 4"/>
    <w:basedOn w:val="TableNormal"/>
    <w:uiPriority w:val="67"/>
    <w:rsid w:val="00CB0664"/>
    <w:pPr>
      <w:spacing w:after="0" w:line="240" w:lineRule="auto"/>
    </w:pPr>
    <w:tblPr>
      <w:tblStyleRowBandSize w:val="1"/>
      <w:tblStyleColBandSize w:val="1"/>
      <w:tblInd w:type="dxa" w:w="0"/>
      <w:tblBorders>
        <w:top w:color="9F8AB9" w:space="0" w:sz="8" w:themeColor="accent4" w:themeTint="BF" w:val="single"/>
        <w:left w:color="9F8AB9" w:space="0" w:sz="8" w:themeColor="accent4" w:themeTint="BF" w:val="single"/>
        <w:bottom w:color="9F8AB9" w:space="0" w:sz="8" w:themeColor="accent4" w:themeTint="BF" w:val="single"/>
        <w:right w:color="9F8AB9" w:space="0" w:sz="8" w:themeColor="accent4" w:themeTint="BF" w:val="single"/>
        <w:insideH w:color="9F8AB9" w:space="0" w:sz="8" w:themeColor="accent4" w:themeTint="BF" w:val="single"/>
        <w:insideV w:color="9F8AB9" w:space="0" w:sz="8" w:themeColor="accent4" w:themeTint="BF" w:val="single"/>
      </w:tblBorders>
      <w:tblCellMar>
        <w:top w:type="dxa" w:w="0"/>
        <w:left w:type="dxa" w:w="108"/>
        <w:bottom w:type="dxa" w:w="0"/>
        <w:right w:type="dxa" w:w="108"/>
      </w:tblCellMar>
    </w:tblPr>
    <w:tcPr>
      <w:shd w:color="auto" w:fill="DFD8E8" w:themeFill="accent4" w:themeFillTint="3F" w:val="clear"/>
    </w:tcPr>
    <w:tblStylePr w:type="firstRow">
      <w:rPr>
        <w:b/>
        <w:bCs/>
      </w:rPr>
    </w:tblStylePr>
    <w:tblStylePr w:type="lastRow">
      <w:rPr>
        <w:b/>
        <w:bCs/>
      </w:rPr>
      <w:tblPr/>
      <w:tcPr>
        <w:tcBorders>
          <w:top w:color="9F8AB9" w:space="0" w:sz="18" w:themeColor="accent4" w:themeTint="BF" w:val="single"/>
        </w:tcBorders>
      </w:tcPr>
    </w:tblStylePr>
    <w:tblStylePr w:type="firstCol">
      <w:rPr>
        <w:b/>
        <w:bCs/>
      </w:rPr>
    </w:tblStylePr>
    <w:tblStylePr w:type="lastCol">
      <w:rPr>
        <w:b/>
        <w:bCs/>
      </w:rPr>
    </w:tblStylePr>
    <w:tblStylePr w:type="band1Vert">
      <w:tblPr/>
      <w:tcPr>
        <w:shd w:color="auto" w:fill="BFB1D0" w:themeFill="accent4" w:themeFillTint="7F" w:val="clear"/>
      </w:tcPr>
    </w:tblStylePr>
    <w:tblStylePr w:type="band1Horz">
      <w:tblPr/>
      <w:tcPr>
        <w:shd w:color="auto" w:fill="BFB1D0" w:themeFill="accent4" w:themeFillTint="7F" w:val="clear"/>
      </w:tcPr>
    </w:tblStylePr>
  </w:style>
  <w:style w:styleId="MediumGrid1-Accent5" w:type="table">
    <w:name w:val="Medium Grid 1 Accent 5"/>
    <w:basedOn w:val="TableNormal"/>
    <w:uiPriority w:val="67"/>
    <w:rsid w:val="00CB0664"/>
    <w:pPr>
      <w:spacing w:after="0" w:line="240" w:lineRule="auto"/>
    </w:pPr>
    <w:tblPr>
      <w:tblStyleRowBandSize w:val="1"/>
      <w:tblStyleColBandSize w:val="1"/>
      <w:tblInd w:type="dxa" w:w="0"/>
      <w:tblBorders>
        <w:top w:color="78C0D4" w:space="0" w:sz="8" w:themeColor="accent5" w:themeTint="BF" w:val="single"/>
        <w:left w:color="78C0D4" w:space="0" w:sz="8" w:themeColor="accent5" w:themeTint="BF" w:val="single"/>
        <w:bottom w:color="78C0D4" w:space="0" w:sz="8" w:themeColor="accent5" w:themeTint="BF" w:val="single"/>
        <w:right w:color="78C0D4" w:space="0" w:sz="8" w:themeColor="accent5" w:themeTint="BF" w:val="single"/>
        <w:insideH w:color="78C0D4" w:space="0" w:sz="8" w:themeColor="accent5" w:themeTint="BF" w:val="single"/>
        <w:insideV w:color="78C0D4" w:space="0" w:sz="8" w:themeColor="accent5" w:themeTint="BF" w:val="single"/>
      </w:tblBorders>
      <w:tblCellMar>
        <w:top w:type="dxa" w:w="0"/>
        <w:left w:type="dxa" w:w="108"/>
        <w:bottom w:type="dxa" w:w="0"/>
        <w:right w:type="dxa" w:w="108"/>
      </w:tblCellMar>
    </w:tblPr>
    <w:tcPr>
      <w:shd w:color="auto" w:fill="D2EAF1" w:themeFill="accent5" w:themeFillTint="3F" w:val="clear"/>
    </w:tcPr>
    <w:tblStylePr w:type="firstRow">
      <w:rPr>
        <w:b/>
        <w:bCs/>
      </w:rPr>
    </w:tblStylePr>
    <w:tblStylePr w:type="lastRow">
      <w:rPr>
        <w:b/>
        <w:bCs/>
      </w:rPr>
      <w:tblPr/>
      <w:tcPr>
        <w:tcBorders>
          <w:top w:color="78C0D4" w:space="0" w:sz="18" w:themeColor="accent5" w:themeTint="BF" w:val="single"/>
        </w:tcBorders>
      </w:tcPr>
    </w:tblStylePr>
    <w:tblStylePr w:type="firstCol">
      <w:rPr>
        <w:b/>
        <w:bCs/>
      </w:rPr>
    </w:tblStylePr>
    <w:tblStylePr w:type="lastCol">
      <w:rPr>
        <w:b/>
        <w:bCs/>
      </w:rPr>
    </w:tblStylePr>
    <w:tblStylePr w:type="band1Vert">
      <w:tblPr/>
      <w:tcPr>
        <w:shd w:color="auto" w:fill="A5D5E2" w:themeFill="accent5" w:themeFillTint="7F" w:val="clear"/>
      </w:tcPr>
    </w:tblStylePr>
    <w:tblStylePr w:type="band1Horz">
      <w:tblPr/>
      <w:tcPr>
        <w:shd w:color="auto" w:fill="A5D5E2" w:themeFill="accent5" w:themeFillTint="7F" w:val="clear"/>
      </w:tcPr>
    </w:tblStylePr>
  </w:style>
  <w:style w:styleId="MediumGrid1-Accent6" w:type="table">
    <w:name w:val="Medium Grid 1 Accent 6"/>
    <w:basedOn w:val="TableNormal"/>
    <w:uiPriority w:val="67"/>
    <w:rsid w:val="00CB0664"/>
    <w:pPr>
      <w:spacing w:after="0" w:line="240" w:lineRule="auto"/>
    </w:pPr>
    <w:tblPr>
      <w:tblStyleRowBandSize w:val="1"/>
      <w:tblStyleColBandSize w:val="1"/>
      <w:tblInd w:type="dxa" w:w="0"/>
      <w:tblBorders>
        <w:top w:color="F9B074" w:space="0" w:sz="8" w:themeColor="accent6" w:themeTint="BF" w:val="single"/>
        <w:left w:color="F9B074" w:space="0" w:sz="8" w:themeColor="accent6" w:themeTint="BF" w:val="single"/>
        <w:bottom w:color="F9B074" w:space="0" w:sz="8" w:themeColor="accent6" w:themeTint="BF" w:val="single"/>
        <w:right w:color="F9B074" w:space="0" w:sz="8" w:themeColor="accent6" w:themeTint="BF" w:val="single"/>
        <w:insideH w:color="F9B074" w:space="0" w:sz="8" w:themeColor="accent6" w:themeTint="BF" w:val="single"/>
        <w:insideV w:color="F9B074" w:space="0" w:sz="8" w:themeColor="accent6" w:themeTint="BF" w:val="single"/>
      </w:tblBorders>
      <w:tblCellMar>
        <w:top w:type="dxa" w:w="0"/>
        <w:left w:type="dxa" w:w="108"/>
        <w:bottom w:type="dxa" w:w="0"/>
        <w:right w:type="dxa" w:w="108"/>
      </w:tblCellMar>
    </w:tblPr>
    <w:tcPr>
      <w:shd w:color="auto" w:fill="FDE4D0" w:themeFill="accent6" w:themeFillTint="3F" w:val="clear"/>
    </w:tcPr>
    <w:tblStylePr w:type="firstRow">
      <w:rPr>
        <w:b/>
        <w:bCs/>
      </w:rPr>
    </w:tblStylePr>
    <w:tblStylePr w:type="lastRow">
      <w:rPr>
        <w:b/>
        <w:bCs/>
      </w:rPr>
      <w:tblPr/>
      <w:tcPr>
        <w:tcBorders>
          <w:top w:color="F9B074" w:space="0" w:sz="18" w:themeColor="accent6" w:themeTint="BF" w:val="single"/>
        </w:tcBorders>
      </w:tcPr>
    </w:tblStylePr>
    <w:tblStylePr w:type="firstCol">
      <w:rPr>
        <w:b/>
        <w:bCs/>
      </w:rPr>
    </w:tblStylePr>
    <w:tblStylePr w:type="lastCol">
      <w:rPr>
        <w:b/>
        <w:bCs/>
      </w:rPr>
    </w:tblStylePr>
    <w:tblStylePr w:type="band1Vert">
      <w:tblPr/>
      <w:tcPr>
        <w:shd w:color="auto" w:fill="FBCAA2" w:themeFill="accent6" w:themeFillTint="7F" w:val="clear"/>
      </w:tcPr>
    </w:tblStylePr>
    <w:tblStylePr w:type="band1Horz">
      <w:tblPr/>
      <w:tcPr>
        <w:shd w:color="auto" w:fill="FBCAA2" w:themeFill="accent6" w:themeFillTint="7F" w:val="clear"/>
      </w:tcPr>
    </w:tblStylePr>
  </w:style>
  <w:style w:styleId="MediumGrid2" w:type="table">
    <w:name w:val="Medium Grid 2"/>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insideH w:color="000000" w:space="0" w:sz="8" w:themeColor="text1" w:val="single"/>
        <w:insideV w:color="000000" w:space="0" w:sz="8" w:themeColor="text1" w:val="single"/>
      </w:tblBorders>
      <w:tblCellMar>
        <w:top w:type="dxa" w:w="0"/>
        <w:left w:type="dxa" w:w="108"/>
        <w:bottom w:type="dxa" w:w="0"/>
        <w:right w:type="dxa" w:w="108"/>
      </w:tblCellMar>
    </w:tblPr>
    <w:tcPr>
      <w:shd w:color="auto" w:fill="C0C0C0" w:themeFill="text1" w:themeFillTint="3F" w:val="clear"/>
    </w:tcPr>
    <w:tblStylePr w:type="firstRow">
      <w:rPr>
        <w:b/>
        <w:bCs/>
        <w:color w:themeColor="text1" w:val="000000"/>
      </w:rPr>
      <w:tblPr/>
      <w:tcPr>
        <w:shd w:color="auto" w:fill="E6E6E6" w:themeFill="text1"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CCCCCC" w:themeFill="text1" w:themeFillTint="33" w:val="clear"/>
      </w:tcPr>
    </w:tblStylePr>
    <w:tblStylePr w:type="band1Vert">
      <w:tblPr/>
      <w:tcPr>
        <w:shd w:color="auto" w:fill="808080" w:themeFill="text1" w:themeFillTint="7F" w:val="clear"/>
      </w:tcPr>
    </w:tblStylePr>
    <w:tblStylePr w:type="band1Horz">
      <w:tblPr/>
      <w:tcPr>
        <w:tcBorders>
          <w:insideH w:color="000000" w:space="0" w:sz="6" w:themeColor="text1" w:val="single"/>
          <w:insideV w:color="000000" w:space="0" w:sz="6" w:themeColor="text1" w:val="single"/>
        </w:tcBorders>
        <w:shd w:color="auto" w:fill="808080" w:themeFill="text1" w:themeFillTint="7F" w:val="clear"/>
      </w:tcPr>
    </w:tblStylePr>
    <w:tblStylePr w:type="nwCell">
      <w:tblPr/>
      <w:tcPr>
        <w:shd w:color="auto" w:fill="FFFFFF" w:themeFill="background1" w:val="clear"/>
      </w:tcPr>
    </w:tblStylePr>
  </w:style>
  <w:style w:styleId="MediumGrid2-Accent1" w:type="table">
    <w:name w:val="Medium Grid 2 Accent 1"/>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insideH w:color="4F81BD" w:space="0" w:sz="8" w:themeColor="accent1" w:val="single"/>
        <w:insideV w:color="4F81BD" w:space="0" w:sz="8" w:themeColor="accent1" w:val="single"/>
      </w:tblBorders>
      <w:tblCellMar>
        <w:top w:type="dxa" w:w="0"/>
        <w:left w:type="dxa" w:w="108"/>
        <w:bottom w:type="dxa" w:w="0"/>
        <w:right w:type="dxa" w:w="108"/>
      </w:tblCellMar>
    </w:tblPr>
    <w:tcPr>
      <w:shd w:color="auto" w:fill="D3DFEE" w:themeFill="accent1" w:themeFillTint="3F" w:val="clear"/>
    </w:tcPr>
    <w:tblStylePr w:type="firstRow">
      <w:rPr>
        <w:b/>
        <w:bCs/>
        <w:color w:themeColor="text1" w:val="000000"/>
      </w:rPr>
      <w:tblPr/>
      <w:tcPr>
        <w:shd w:color="auto" w:fill="EDF2F8" w:themeFill="accent1"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DBE5F1" w:themeFill="accent1" w:themeFillTint="33" w:val="clear"/>
      </w:tcPr>
    </w:tblStylePr>
    <w:tblStylePr w:type="band1Vert">
      <w:tblPr/>
      <w:tcPr>
        <w:shd w:color="auto" w:fill="A7BFDE" w:themeFill="accent1" w:themeFillTint="7F" w:val="clear"/>
      </w:tcPr>
    </w:tblStylePr>
    <w:tblStylePr w:type="band1Horz">
      <w:tblPr/>
      <w:tcPr>
        <w:tcBorders>
          <w:insideH w:color="4F81BD" w:space="0" w:sz="6" w:themeColor="accent1" w:val="single"/>
          <w:insideV w:color="4F81BD" w:space="0" w:sz="6" w:themeColor="accent1" w:val="single"/>
        </w:tcBorders>
        <w:shd w:color="auto" w:fill="A7BFDE" w:themeFill="accent1" w:themeFillTint="7F" w:val="clear"/>
      </w:tcPr>
    </w:tblStylePr>
    <w:tblStylePr w:type="nwCell">
      <w:tblPr/>
      <w:tcPr>
        <w:shd w:color="auto" w:fill="FFFFFF" w:themeFill="background1" w:val="clear"/>
      </w:tcPr>
    </w:tblStylePr>
  </w:style>
  <w:style w:styleId="MediumGrid2-Accent2" w:type="table">
    <w:name w:val="Medium Grid 2 Accent 2"/>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insideH w:color="C0504D" w:space="0" w:sz="8" w:themeColor="accent2" w:val="single"/>
        <w:insideV w:color="C0504D" w:space="0" w:sz="8" w:themeColor="accent2" w:val="single"/>
      </w:tblBorders>
      <w:tblCellMar>
        <w:top w:type="dxa" w:w="0"/>
        <w:left w:type="dxa" w:w="108"/>
        <w:bottom w:type="dxa" w:w="0"/>
        <w:right w:type="dxa" w:w="108"/>
      </w:tblCellMar>
    </w:tblPr>
    <w:tcPr>
      <w:shd w:color="auto" w:fill="EFD3D2" w:themeFill="accent2" w:themeFillTint="3F" w:val="clear"/>
    </w:tcPr>
    <w:tblStylePr w:type="firstRow">
      <w:rPr>
        <w:b/>
        <w:bCs/>
        <w:color w:themeColor="text1" w:val="000000"/>
      </w:rPr>
      <w:tblPr/>
      <w:tcPr>
        <w:shd w:color="auto" w:fill="F8EDED" w:themeFill="accent2"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F2DBDB" w:themeFill="accent2" w:themeFillTint="33" w:val="clear"/>
      </w:tcPr>
    </w:tblStylePr>
    <w:tblStylePr w:type="band1Vert">
      <w:tblPr/>
      <w:tcPr>
        <w:shd w:color="auto" w:fill="DFA7A6" w:themeFill="accent2" w:themeFillTint="7F" w:val="clear"/>
      </w:tcPr>
    </w:tblStylePr>
    <w:tblStylePr w:type="band1Horz">
      <w:tblPr/>
      <w:tcPr>
        <w:tcBorders>
          <w:insideH w:color="C0504D" w:space="0" w:sz="6" w:themeColor="accent2" w:val="single"/>
          <w:insideV w:color="C0504D" w:space="0" w:sz="6" w:themeColor="accent2" w:val="single"/>
        </w:tcBorders>
        <w:shd w:color="auto" w:fill="DFA7A6" w:themeFill="accent2" w:themeFillTint="7F" w:val="clear"/>
      </w:tcPr>
    </w:tblStylePr>
    <w:tblStylePr w:type="nwCell">
      <w:tblPr/>
      <w:tcPr>
        <w:shd w:color="auto" w:fill="FFFFFF" w:themeFill="background1" w:val="clear"/>
      </w:tcPr>
    </w:tblStylePr>
  </w:style>
  <w:style w:styleId="MediumGrid2-Accent3" w:type="table">
    <w:name w:val="Medium Grid 2 Accent 3"/>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insideH w:color="9BBB59" w:space="0" w:sz="8" w:themeColor="accent3" w:val="single"/>
        <w:insideV w:color="9BBB59" w:space="0" w:sz="8" w:themeColor="accent3" w:val="single"/>
      </w:tblBorders>
      <w:tblCellMar>
        <w:top w:type="dxa" w:w="0"/>
        <w:left w:type="dxa" w:w="108"/>
        <w:bottom w:type="dxa" w:w="0"/>
        <w:right w:type="dxa" w:w="108"/>
      </w:tblCellMar>
    </w:tblPr>
    <w:tcPr>
      <w:shd w:color="auto" w:fill="E6EED5" w:themeFill="accent3" w:themeFillTint="3F" w:val="clear"/>
    </w:tcPr>
    <w:tblStylePr w:type="firstRow">
      <w:rPr>
        <w:b/>
        <w:bCs/>
        <w:color w:themeColor="text1" w:val="000000"/>
      </w:rPr>
      <w:tblPr/>
      <w:tcPr>
        <w:shd w:color="auto" w:fill="F5F8EE" w:themeFill="accent3"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EAF1DD" w:themeFill="accent3" w:themeFillTint="33" w:val="clear"/>
      </w:tcPr>
    </w:tblStylePr>
    <w:tblStylePr w:type="band1Vert">
      <w:tblPr/>
      <w:tcPr>
        <w:shd w:color="auto" w:fill="CDDDAC" w:themeFill="accent3" w:themeFillTint="7F" w:val="clear"/>
      </w:tcPr>
    </w:tblStylePr>
    <w:tblStylePr w:type="band1Horz">
      <w:tblPr/>
      <w:tcPr>
        <w:tcBorders>
          <w:insideH w:color="9BBB59" w:space="0" w:sz="6" w:themeColor="accent3" w:val="single"/>
          <w:insideV w:color="9BBB59" w:space="0" w:sz="6" w:themeColor="accent3" w:val="single"/>
        </w:tcBorders>
        <w:shd w:color="auto" w:fill="CDDDAC" w:themeFill="accent3" w:themeFillTint="7F" w:val="clear"/>
      </w:tcPr>
    </w:tblStylePr>
    <w:tblStylePr w:type="nwCell">
      <w:tblPr/>
      <w:tcPr>
        <w:shd w:color="auto" w:fill="FFFFFF" w:themeFill="background1" w:val="clear"/>
      </w:tcPr>
    </w:tblStylePr>
  </w:style>
  <w:style w:styleId="MediumGrid2-Accent4" w:type="table">
    <w:name w:val="Medium Grid 2 Accent 4"/>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insideH w:color="8064A2" w:space="0" w:sz="8" w:themeColor="accent4" w:val="single"/>
        <w:insideV w:color="8064A2" w:space="0" w:sz="8" w:themeColor="accent4" w:val="single"/>
      </w:tblBorders>
      <w:tblCellMar>
        <w:top w:type="dxa" w:w="0"/>
        <w:left w:type="dxa" w:w="108"/>
        <w:bottom w:type="dxa" w:w="0"/>
        <w:right w:type="dxa" w:w="108"/>
      </w:tblCellMar>
    </w:tblPr>
    <w:tcPr>
      <w:shd w:color="auto" w:fill="DFD8E8" w:themeFill="accent4" w:themeFillTint="3F" w:val="clear"/>
    </w:tcPr>
    <w:tblStylePr w:type="firstRow">
      <w:rPr>
        <w:b/>
        <w:bCs/>
        <w:color w:themeColor="text1" w:val="000000"/>
      </w:rPr>
      <w:tblPr/>
      <w:tcPr>
        <w:shd w:color="auto" w:fill="F2EFF6" w:themeFill="accent4"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E5DFEC" w:themeFill="accent4" w:themeFillTint="33" w:val="clear"/>
      </w:tcPr>
    </w:tblStylePr>
    <w:tblStylePr w:type="band1Vert">
      <w:tblPr/>
      <w:tcPr>
        <w:shd w:color="auto" w:fill="BFB1D0" w:themeFill="accent4" w:themeFillTint="7F" w:val="clear"/>
      </w:tcPr>
    </w:tblStylePr>
    <w:tblStylePr w:type="band1Horz">
      <w:tblPr/>
      <w:tcPr>
        <w:tcBorders>
          <w:insideH w:color="8064A2" w:space="0" w:sz="6" w:themeColor="accent4" w:val="single"/>
          <w:insideV w:color="8064A2" w:space="0" w:sz="6" w:themeColor="accent4" w:val="single"/>
        </w:tcBorders>
        <w:shd w:color="auto" w:fill="BFB1D0" w:themeFill="accent4" w:themeFillTint="7F" w:val="clear"/>
      </w:tcPr>
    </w:tblStylePr>
    <w:tblStylePr w:type="nwCell">
      <w:tblPr/>
      <w:tcPr>
        <w:shd w:color="auto" w:fill="FFFFFF" w:themeFill="background1" w:val="clear"/>
      </w:tcPr>
    </w:tblStylePr>
  </w:style>
  <w:style w:styleId="MediumGrid2-Accent5" w:type="table">
    <w:name w:val="Medium Grid 2 Accent 5"/>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insideH w:color="4BACC6" w:space="0" w:sz="8" w:themeColor="accent5" w:val="single"/>
        <w:insideV w:color="4BACC6" w:space="0" w:sz="8" w:themeColor="accent5" w:val="single"/>
      </w:tblBorders>
      <w:tblCellMar>
        <w:top w:type="dxa" w:w="0"/>
        <w:left w:type="dxa" w:w="108"/>
        <w:bottom w:type="dxa" w:w="0"/>
        <w:right w:type="dxa" w:w="108"/>
      </w:tblCellMar>
    </w:tblPr>
    <w:tcPr>
      <w:shd w:color="auto" w:fill="D2EAF1" w:themeFill="accent5" w:themeFillTint="3F" w:val="clear"/>
    </w:tcPr>
    <w:tblStylePr w:type="firstRow">
      <w:rPr>
        <w:b/>
        <w:bCs/>
        <w:color w:themeColor="text1" w:val="000000"/>
      </w:rPr>
      <w:tblPr/>
      <w:tcPr>
        <w:shd w:color="auto" w:fill="EDF6F9" w:themeFill="accent5"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DAEEF3" w:themeFill="accent5" w:themeFillTint="33" w:val="clear"/>
      </w:tcPr>
    </w:tblStylePr>
    <w:tblStylePr w:type="band1Vert">
      <w:tblPr/>
      <w:tcPr>
        <w:shd w:color="auto" w:fill="A5D5E2" w:themeFill="accent5" w:themeFillTint="7F" w:val="clear"/>
      </w:tcPr>
    </w:tblStylePr>
    <w:tblStylePr w:type="band1Horz">
      <w:tblPr/>
      <w:tcPr>
        <w:tcBorders>
          <w:insideH w:color="4BACC6" w:space="0" w:sz="6" w:themeColor="accent5" w:val="single"/>
          <w:insideV w:color="4BACC6" w:space="0" w:sz="6" w:themeColor="accent5" w:val="single"/>
        </w:tcBorders>
        <w:shd w:color="auto" w:fill="A5D5E2" w:themeFill="accent5" w:themeFillTint="7F" w:val="clear"/>
      </w:tcPr>
    </w:tblStylePr>
    <w:tblStylePr w:type="nwCell">
      <w:tblPr/>
      <w:tcPr>
        <w:shd w:color="auto" w:fill="FFFFFF" w:themeFill="background1" w:val="clear"/>
      </w:tcPr>
    </w:tblStylePr>
  </w:style>
  <w:style w:styleId="MediumGrid2-Accent6" w:type="table">
    <w:name w:val="Medium Grid 2 Accent 6"/>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insideH w:color="F79646" w:space="0" w:sz="8" w:themeColor="accent6" w:val="single"/>
        <w:insideV w:color="F79646" w:space="0" w:sz="8" w:themeColor="accent6" w:val="single"/>
      </w:tblBorders>
      <w:tblCellMar>
        <w:top w:type="dxa" w:w="0"/>
        <w:left w:type="dxa" w:w="108"/>
        <w:bottom w:type="dxa" w:w="0"/>
        <w:right w:type="dxa" w:w="108"/>
      </w:tblCellMar>
    </w:tblPr>
    <w:tcPr>
      <w:shd w:color="auto" w:fill="FDE4D0" w:themeFill="accent6" w:themeFillTint="3F" w:val="clear"/>
    </w:tcPr>
    <w:tblStylePr w:type="firstRow">
      <w:rPr>
        <w:b/>
        <w:bCs/>
        <w:color w:themeColor="text1" w:val="000000"/>
      </w:rPr>
      <w:tblPr/>
      <w:tcPr>
        <w:shd w:color="auto" w:fill="FEF4EC" w:themeFill="accent6"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FDE9D9" w:themeFill="accent6" w:themeFillTint="33" w:val="clear"/>
      </w:tcPr>
    </w:tblStylePr>
    <w:tblStylePr w:type="band1Vert">
      <w:tblPr/>
      <w:tcPr>
        <w:shd w:color="auto" w:fill="FBCAA2" w:themeFill="accent6" w:themeFillTint="7F" w:val="clear"/>
      </w:tcPr>
    </w:tblStylePr>
    <w:tblStylePr w:type="band1Horz">
      <w:tblPr/>
      <w:tcPr>
        <w:tcBorders>
          <w:insideH w:color="F79646" w:space="0" w:sz="6" w:themeColor="accent6" w:val="single"/>
          <w:insideV w:color="F79646" w:space="0" w:sz="6" w:themeColor="accent6" w:val="single"/>
        </w:tcBorders>
        <w:shd w:color="auto" w:fill="FBCAA2" w:themeFill="accent6" w:themeFillTint="7F" w:val="clear"/>
      </w:tcPr>
    </w:tblStylePr>
    <w:tblStylePr w:type="nwCell">
      <w:tblPr/>
      <w:tcPr>
        <w:shd w:color="auto" w:fill="FFFFFF" w:themeFill="background1" w:val="clear"/>
      </w:tcPr>
    </w:tblStylePr>
  </w:style>
  <w:style w:styleId="MediumGrid3" w:type="table">
    <w:name w:val="Medium Grid 3"/>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C0C0C0" w:themeFill="text1"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000000" w:themeFill="text1"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000000" w:themeFill="text1"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000000" w:themeFill="text1"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000000" w:themeFill="text1"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808080" w:themeFill="text1"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808080" w:themeFill="text1" w:themeFillTint="7F" w:val="clear"/>
      </w:tcPr>
    </w:tblStylePr>
  </w:style>
  <w:style w:styleId="MediumGrid3-Accent1" w:type="table">
    <w:name w:val="Medium Grid 3 Accent 1"/>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D3DFEE" w:themeFill="accent1"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4F81BD" w:themeFill="accent1"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4F81BD" w:themeFill="accent1"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4F81BD" w:themeFill="accent1"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4F81BD" w:themeFill="accent1"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A7BFDE" w:themeFill="accent1"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A7BFDE" w:themeFill="accent1" w:themeFillTint="7F" w:val="clear"/>
      </w:tcPr>
    </w:tblStylePr>
  </w:style>
  <w:style w:styleId="MediumGrid3-Accent2" w:type="table">
    <w:name w:val="Medium Grid 3 Accent 2"/>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EFD3D2" w:themeFill="accent2"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C0504D" w:themeFill="accent2"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C0504D" w:themeFill="accent2"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C0504D" w:themeFill="accent2"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C0504D" w:themeFill="accent2"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DFA7A6" w:themeFill="accent2"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DFA7A6" w:themeFill="accent2" w:themeFillTint="7F" w:val="clear"/>
      </w:tcPr>
    </w:tblStylePr>
  </w:style>
  <w:style w:styleId="MediumGrid3-Accent3" w:type="table">
    <w:name w:val="Medium Grid 3 Accent 3"/>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E6EED5" w:themeFill="accent3"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9BBB59" w:themeFill="accent3"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9BBB59" w:themeFill="accent3"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9BBB59" w:themeFill="accent3"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9BBB59" w:themeFill="accent3"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CDDDAC" w:themeFill="accent3"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CDDDAC" w:themeFill="accent3" w:themeFillTint="7F" w:val="clear"/>
      </w:tcPr>
    </w:tblStylePr>
  </w:style>
  <w:style w:styleId="MediumGrid3-Accent4" w:type="table">
    <w:name w:val="Medium Grid 3 Accent 4"/>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DFD8E8" w:themeFill="accent4"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8064A2" w:themeFill="accent4"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8064A2" w:themeFill="accent4"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8064A2" w:themeFill="accent4"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8064A2" w:themeFill="accent4"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BFB1D0" w:themeFill="accent4"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BFB1D0" w:themeFill="accent4" w:themeFillTint="7F" w:val="clear"/>
      </w:tcPr>
    </w:tblStylePr>
  </w:style>
  <w:style w:styleId="MediumGrid3-Accent5" w:type="table">
    <w:name w:val="Medium Grid 3 Accent 5"/>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D2EAF1" w:themeFill="accent5"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4BACC6" w:themeFill="accent5"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4BACC6" w:themeFill="accent5"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4BACC6" w:themeFill="accent5"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4BACC6" w:themeFill="accent5"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A5D5E2" w:themeFill="accent5"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A5D5E2" w:themeFill="accent5" w:themeFillTint="7F" w:val="clear"/>
      </w:tcPr>
    </w:tblStylePr>
  </w:style>
  <w:style w:styleId="MediumGrid3-Accent6" w:type="table">
    <w:name w:val="Medium Grid 3 Accent 6"/>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FDE4D0" w:themeFill="accent6"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F79646" w:themeFill="accent6"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F79646" w:themeFill="accent6"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F79646" w:themeFill="accent6"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F79646" w:themeFill="accent6"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FBCAA2" w:themeFill="accent6"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FBCAA2" w:themeFill="accent6" w:themeFillTint="7F" w:val="clear"/>
      </w:tcPr>
    </w:tblStylePr>
  </w:style>
  <w:style w:styleId="DarkList" w:type="table">
    <w:name w:val="Dark List"/>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000000" w:themeFill="text1"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000000" w:themeFill="text1" w:themeFillShade="7F" w:val="clear"/>
      </w:tcPr>
    </w:tblStylePr>
    <w:tblStylePr w:type="firstCol">
      <w:tblPr/>
      <w:tcPr>
        <w:tcBorders>
          <w:top w:val="nil"/>
          <w:left w:val="nil"/>
          <w:bottom w:val="nil"/>
          <w:right w:color="FFFFFF" w:space="0" w:sz="18" w:themeColor="background1" w:val="single"/>
          <w:insideH w:val="nil"/>
          <w:insideV w:val="nil"/>
        </w:tcBorders>
        <w:shd w:color="auto" w:fill="000000" w:themeFill="text1" w:themeFillShade="BF" w:val="clear"/>
      </w:tcPr>
    </w:tblStylePr>
    <w:tblStylePr w:type="lastCol">
      <w:tblPr/>
      <w:tcPr>
        <w:tcBorders>
          <w:top w:val="nil"/>
          <w:left w:color="FFFFFF" w:space="0" w:sz="18" w:themeColor="background1" w:val="single"/>
          <w:bottom w:val="nil"/>
          <w:right w:val="nil"/>
          <w:insideH w:val="nil"/>
          <w:insideV w:val="nil"/>
        </w:tcBorders>
        <w:shd w:color="auto" w:fill="000000" w:themeFill="text1" w:themeFillShade="BF" w:val="clear"/>
      </w:tcPr>
    </w:tblStylePr>
    <w:tblStylePr w:type="band1Vert">
      <w:tblPr/>
      <w:tcPr>
        <w:tcBorders>
          <w:top w:val="nil"/>
          <w:left w:val="nil"/>
          <w:bottom w:val="nil"/>
          <w:right w:val="nil"/>
          <w:insideH w:val="nil"/>
          <w:insideV w:val="nil"/>
        </w:tcBorders>
        <w:shd w:color="auto" w:fill="000000" w:themeFill="text1" w:themeFillShade="BF" w:val="clear"/>
      </w:tcPr>
    </w:tblStylePr>
    <w:tblStylePr w:type="band1Horz">
      <w:tblPr/>
      <w:tcPr>
        <w:tcBorders>
          <w:top w:val="nil"/>
          <w:left w:val="nil"/>
          <w:bottom w:val="nil"/>
          <w:right w:val="nil"/>
          <w:insideH w:val="nil"/>
          <w:insideV w:val="nil"/>
        </w:tcBorders>
        <w:shd w:color="auto" w:fill="000000" w:themeFill="text1" w:themeFillShade="BF" w:val="clear"/>
      </w:tcPr>
    </w:tblStylePr>
  </w:style>
  <w:style w:styleId="DarkList-Accent1" w:type="table">
    <w:name w:val="Dark List Accent 1"/>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4F81BD" w:themeFill="accent1"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243F60" w:themeFill="accent1" w:themeFillShade="7F" w:val="clear"/>
      </w:tcPr>
    </w:tblStylePr>
    <w:tblStylePr w:type="firstCol">
      <w:tblPr/>
      <w:tcPr>
        <w:tcBorders>
          <w:top w:val="nil"/>
          <w:left w:val="nil"/>
          <w:bottom w:val="nil"/>
          <w:right w:color="FFFFFF" w:space="0" w:sz="18" w:themeColor="background1" w:val="single"/>
          <w:insideH w:val="nil"/>
          <w:insideV w:val="nil"/>
        </w:tcBorders>
        <w:shd w:color="auto" w:fill="365F91" w:themeFill="accent1" w:themeFillShade="BF" w:val="clear"/>
      </w:tcPr>
    </w:tblStylePr>
    <w:tblStylePr w:type="lastCol">
      <w:tblPr/>
      <w:tcPr>
        <w:tcBorders>
          <w:top w:val="nil"/>
          <w:left w:color="FFFFFF" w:space="0" w:sz="18" w:themeColor="background1" w:val="single"/>
          <w:bottom w:val="nil"/>
          <w:right w:val="nil"/>
          <w:insideH w:val="nil"/>
          <w:insideV w:val="nil"/>
        </w:tcBorders>
        <w:shd w:color="auto" w:fill="365F91" w:themeFill="accent1" w:themeFillShade="BF" w:val="clear"/>
      </w:tcPr>
    </w:tblStylePr>
    <w:tblStylePr w:type="band1Vert">
      <w:tblPr/>
      <w:tcPr>
        <w:tcBorders>
          <w:top w:val="nil"/>
          <w:left w:val="nil"/>
          <w:bottom w:val="nil"/>
          <w:right w:val="nil"/>
          <w:insideH w:val="nil"/>
          <w:insideV w:val="nil"/>
        </w:tcBorders>
        <w:shd w:color="auto" w:fill="365F91" w:themeFill="accent1" w:themeFillShade="BF" w:val="clear"/>
      </w:tcPr>
    </w:tblStylePr>
    <w:tblStylePr w:type="band1Horz">
      <w:tblPr/>
      <w:tcPr>
        <w:tcBorders>
          <w:top w:val="nil"/>
          <w:left w:val="nil"/>
          <w:bottom w:val="nil"/>
          <w:right w:val="nil"/>
          <w:insideH w:val="nil"/>
          <w:insideV w:val="nil"/>
        </w:tcBorders>
        <w:shd w:color="auto" w:fill="365F91" w:themeFill="accent1" w:themeFillShade="BF" w:val="clear"/>
      </w:tcPr>
    </w:tblStylePr>
  </w:style>
  <w:style w:styleId="DarkList-Accent2" w:type="table">
    <w:name w:val="Dark List Accent 2"/>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C0504D" w:themeFill="accent2"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622423" w:themeFill="accent2" w:themeFillShade="7F" w:val="clear"/>
      </w:tcPr>
    </w:tblStylePr>
    <w:tblStylePr w:type="firstCol">
      <w:tblPr/>
      <w:tcPr>
        <w:tcBorders>
          <w:top w:val="nil"/>
          <w:left w:val="nil"/>
          <w:bottom w:val="nil"/>
          <w:right w:color="FFFFFF" w:space="0" w:sz="18" w:themeColor="background1" w:val="single"/>
          <w:insideH w:val="nil"/>
          <w:insideV w:val="nil"/>
        </w:tcBorders>
        <w:shd w:color="auto" w:fill="943634" w:themeFill="accent2" w:themeFillShade="BF" w:val="clear"/>
      </w:tcPr>
    </w:tblStylePr>
    <w:tblStylePr w:type="lastCol">
      <w:tblPr/>
      <w:tcPr>
        <w:tcBorders>
          <w:top w:val="nil"/>
          <w:left w:color="FFFFFF" w:space="0" w:sz="18" w:themeColor="background1" w:val="single"/>
          <w:bottom w:val="nil"/>
          <w:right w:val="nil"/>
          <w:insideH w:val="nil"/>
          <w:insideV w:val="nil"/>
        </w:tcBorders>
        <w:shd w:color="auto" w:fill="943634" w:themeFill="accent2" w:themeFillShade="BF" w:val="clear"/>
      </w:tcPr>
    </w:tblStylePr>
    <w:tblStylePr w:type="band1Vert">
      <w:tblPr/>
      <w:tcPr>
        <w:tcBorders>
          <w:top w:val="nil"/>
          <w:left w:val="nil"/>
          <w:bottom w:val="nil"/>
          <w:right w:val="nil"/>
          <w:insideH w:val="nil"/>
          <w:insideV w:val="nil"/>
        </w:tcBorders>
        <w:shd w:color="auto" w:fill="943634" w:themeFill="accent2" w:themeFillShade="BF" w:val="clear"/>
      </w:tcPr>
    </w:tblStylePr>
    <w:tblStylePr w:type="band1Horz">
      <w:tblPr/>
      <w:tcPr>
        <w:tcBorders>
          <w:top w:val="nil"/>
          <w:left w:val="nil"/>
          <w:bottom w:val="nil"/>
          <w:right w:val="nil"/>
          <w:insideH w:val="nil"/>
          <w:insideV w:val="nil"/>
        </w:tcBorders>
        <w:shd w:color="auto" w:fill="943634" w:themeFill="accent2" w:themeFillShade="BF" w:val="clear"/>
      </w:tcPr>
    </w:tblStylePr>
  </w:style>
  <w:style w:styleId="DarkList-Accent3" w:type="table">
    <w:name w:val="Dark List Accent 3"/>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9BBB59" w:themeFill="accent3"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4E6128" w:themeFill="accent3" w:themeFillShade="7F" w:val="clear"/>
      </w:tcPr>
    </w:tblStylePr>
    <w:tblStylePr w:type="firstCol">
      <w:tblPr/>
      <w:tcPr>
        <w:tcBorders>
          <w:top w:val="nil"/>
          <w:left w:val="nil"/>
          <w:bottom w:val="nil"/>
          <w:right w:color="FFFFFF" w:space="0" w:sz="18" w:themeColor="background1" w:val="single"/>
          <w:insideH w:val="nil"/>
          <w:insideV w:val="nil"/>
        </w:tcBorders>
        <w:shd w:color="auto" w:fill="76923C" w:themeFill="accent3" w:themeFillShade="BF" w:val="clear"/>
      </w:tcPr>
    </w:tblStylePr>
    <w:tblStylePr w:type="lastCol">
      <w:tblPr/>
      <w:tcPr>
        <w:tcBorders>
          <w:top w:val="nil"/>
          <w:left w:color="FFFFFF" w:space="0" w:sz="18" w:themeColor="background1" w:val="single"/>
          <w:bottom w:val="nil"/>
          <w:right w:val="nil"/>
          <w:insideH w:val="nil"/>
          <w:insideV w:val="nil"/>
        </w:tcBorders>
        <w:shd w:color="auto" w:fill="76923C" w:themeFill="accent3" w:themeFillShade="BF" w:val="clear"/>
      </w:tcPr>
    </w:tblStylePr>
    <w:tblStylePr w:type="band1Vert">
      <w:tblPr/>
      <w:tcPr>
        <w:tcBorders>
          <w:top w:val="nil"/>
          <w:left w:val="nil"/>
          <w:bottom w:val="nil"/>
          <w:right w:val="nil"/>
          <w:insideH w:val="nil"/>
          <w:insideV w:val="nil"/>
        </w:tcBorders>
        <w:shd w:color="auto" w:fill="76923C" w:themeFill="accent3" w:themeFillShade="BF" w:val="clear"/>
      </w:tcPr>
    </w:tblStylePr>
    <w:tblStylePr w:type="band1Horz">
      <w:tblPr/>
      <w:tcPr>
        <w:tcBorders>
          <w:top w:val="nil"/>
          <w:left w:val="nil"/>
          <w:bottom w:val="nil"/>
          <w:right w:val="nil"/>
          <w:insideH w:val="nil"/>
          <w:insideV w:val="nil"/>
        </w:tcBorders>
        <w:shd w:color="auto" w:fill="76923C" w:themeFill="accent3" w:themeFillShade="BF" w:val="clear"/>
      </w:tcPr>
    </w:tblStylePr>
  </w:style>
  <w:style w:styleId="DarkList-Accent4" w:type="table">
    <w:name w:val="Dark List Accent 4"/>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8064A2" w:themeFill="accent4"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3F3151" w:themeFill="accent4" w:themeFillShade="7F" w:val="clear"/>
      </w:tcPr>
    </w:tblStylePr>
    <w:tblStylePr w:type="firstCol">
      <w:tblPr/>
      <w:tcPr>
        <w:tcBorders>
          <w:top w:val="nil"/>
          <w:left w:val="nil"/>
          <w:bottom w:val="nil"/>
          <w:right w:color="FFFFFF" w:space="0" w:sz="18" w:themeColor="background1" w:val="single"/>
          <w:insideH w:val="nil"/>
          <w:insideV w:val="nil"/>
        </w:tcBorders>
        <w:shd w:color="auto" w:fill="5F497A" w:themeFill="accent4" w:themeFillShade="BF" w:val="clear"/>
      </w:tcPr>
    </w:tblStylePr>
    <w:tblStylePr w:type="lastCol">
      <w:tblPr/>
      <w:tcPr>
        <w:tcBorders>
          <w:top w:val="nil"/>
          <w:left w:color="FFFFFF" w:space="0" w:sz="18" w:themeColor="background1" w:val="single"/>
          <w:bottom w:val="nil"/>
          <w:right w:val="nil"/>
          <w:insideH w:val="nil"/>
          <w:insideV w:val="nil"/>
        </w:tcBorders>
        <w:shd w:color="auto" w:fill="5F497A" w:themeFill="accent4" w:themeFillShade="BF" w:val="clear"/>
      </w:tcPr>
    </w:tblStylePr>
    <w:tblStylePr w:type="band1Vert">
      <w:tblPr/>
      <w:tcPr>
        <w:tcBorders>
          <w:top w:val="nil"/>
          <w:left w:val="nil"/>
          <w:bottom w:val="nil"/>
          <w:right w:val="nil"/>
          <w:insideH w:val="nil"/>
          <w:insideV w:val="nil"/>
        </w:tcBorders>
        <w:shd w:color="auto" w:fill="5F497A" w:themeFill="accent4" w:themeFillShade="BF" w:val="clear"/>
      </w:tcPr>
    </w:tblStylePr>
    <w:tblStylePr w:type="band1Horz">
      <w:tblPr/>
      <w:tcPr>
        <w:tcBorders>
          <w:top w:val="nil"/>
          <w:left w:val="nil"/>
          <w:bottom w:val="nil"/>
          <w:right w:val="nil"/>
          <w:insideH w:val="nil"/>
          <w:insideV w:val="nil"/>
        </w:tcBorders>
        <w:shd w:color="auto" w:fill="5F497A" w:themeFill="accent4" w:themeFillShade="BF" w:val="clear"/>
      </w:tcPr>
    </w:tblStylePr>
  </w:style>
  <w:style w:styleId="DarkList-Accent5" w:type="table">
    <w:name w:val="Dark List Accent 5"/>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4BACC6" w:themeFill="accent5"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205867" w:themeFill="accent5" w:themeFillShade="7F" w:val="clear"/>
      </w:tcPr>
    </w:tblStylePr>
    <w:tblStylePr w:type="firstCol">
      <w:tblPr/>
      <w:tcPr>
        <w:tcBorders>
          <w:top w:val="nil"/>
          <w:left w:val="nil"/>
          <w:bottom w:val="nil"/>
          <w:right w:color="FFFFFF" w:space="0" w:sz="18" w:themeColor="background1" w:val="single"/>
          <w:insideH w:val="nil"/>
          <w:insideV w:val="nil"/>
        </w:tcBorders>
        <w:shd w:color="auto" w:fill="31849B" w:themeFill="accent5" w:themeFillShade="BF" w:val="clear"/>
      </w:tcPr>
    </w:tblStylePr>
    <w:tblStylePr w:type="lastCol">
      <w:tblPr/>
      <w:tcPr>
        <w:tcBorders>
          <w:top w:val="nil"/>
          <w:left w:color="FFFFFF" w:space="0" w:sz="18" w:themeColor="background1" w:val="single"/>
          <w:bottom w:val="nil"/>
          <w:right w:val="nil"/>
          <w:insideH w:val="nil"/>
          <w:insideV w:val="nil"/>
        </w:tcBorders>
        <w:shd w:color="auto" w:fill="31849B" w:themeFill="accent5" w:themeFillShade="BF" w:val="clear"/>
      </w:tcPr>
    </w:tblStylePr>
    <w:tblStylePr w:type="band1Vert">
      <w:tblPr/>
      <w:tcPr>
        <w:tcBorders>
          <w:top w:val="nil"/>
          <w:left w:val="nil"/>
          <w:bottom w:val="nil"/>
          <w:right w:val="nil"/>
          <w:insideH w:val="nil"/>
          <w:insideV w:val="nil"/>
        </w:tcBorders>
        <w:shd w:color="auto" w:fill="31849B" w:themeFill="accent5" w:themeFillShade="BF" w:val="clear"/>
      </w:tcPr>
    </w:tblStylePr>
    <w:tblStylePr w:type="band1Horz">
      <w:tblPr/>
      <w:tcPr>
        <w:tcBorders>
          <w:top w:val="nil"/>
          <w:left w:val="nil"/>
          <w:bottom w:val="nil"/>
          <w:right w:val="nil"/>
          <w:insideH w:val="nil"/>
          <w:insideV w:val="nil"/>
        </w:tcBorders>
        <w:shd w:color="auto" w:fill="31849B" w:themeFill="accent5" w:themeFillShade="BF" w:val="clear"/>
      </w:tcPr>
    </w:tblStylePr>
  </w:style>
  <w:style w:styleId="DarkList-Accent6" w:type="table">
    <w:name w:val="Dark List Accent 6"/>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F79646" w:themeFill="accent6"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974706" w:themeFill="accent6" w:themeFillShade="7F" w:val="clear"/>
      </w:tcPr>
    </w:tblStylePr>
    <w:tblStylePr w:type="firstCol">
      <w:tblPr/>
      <w:tcPr>
        <w:tcBorders>
          <w:top w:val="nil"/>
          <w:left w:val="nil"/>
          <w:bottom w:val="nil"/>
          <w:right w:color="FFFFFF" w:space="0" w:sz="18" w:themeColor="background1" w:val="single"/>
          <w:insideH w:val="nil"/>
          <w:insideV w:val="nil"/>
        </w:tcBorders>
        <w:shd w:color="auto" w:fill="E36C0A" w:themeFill="accent6" w:themeFillShade="BF" w:val="clear"/>
      </w:tcPr>
    </w:tblStylePr>
    <w:tblStylePr w:type="lastCol">
      <w:tblPr/>
      <w:tcPr>
        <w:tcBorders>
          <w:top w:val="nil"/>
          <w:left w:color="FFFFFF" w:space="0" w:sz="18" w:themeColor="background1" w:val="single"/>
          <w:bottom w:val="nil"/>
          <w:right w:val="nil"/>
          <w:insideH w:val="nil"/>
          <w:insideV w:val="nil"/>
        </w:tcBorders>
        <w:shd w:color="auto" w:fill="E36C0A" w:themeFill="accent6" w:themeFillShade="BF" w:val="clear"/>
      </w:tcPr>
    </w:tblStylePr>
    <w:tblStylePr w:type="band1Vert">
      <w:tblPr/>
      <w:tcPr>
        <w:tcBorders>
          <w:top w:val="nil"/>
          <w:left w:val="nil"/>
          <w:bottom w:val="nil"/>
          <w:right w:val="nil"/>
          <w:insideH w:val="nil"/>
          <w:insideV w:val="nil"/>
        </w:tcBorders>
        <w:shd w:color="auto" w:fill="E36C0A" w:themeFill="accent6" w:themeFillShade="BF" w:val="clear"/>
      </w:tcPr>
    </w:tblStylePr>
    <w:tblStylePr w:type="band1Horz">
      <w:tblPr/>
      <w:tcPr>
        <w:tcBorders>
          <w:top w:val="nil"/>
          <w:left w:val="nil"/>
          <w:bottom w:val="nil"/>
          <w:right w:val="nil"/>
          <w:insideH w:val="nil"/>
          <w:insideV w:val="nil"/>
        </w:tcBorders>
        <w:shd w:color="auto" w:fill="E36C0A" w:themeFill="accent6" w:themeFillShade="BF" w:val="clear"/>
      </w:tcPr>
    </w:tblStylePr>
  </w:style>
  <w:style w:styleId="ColorfulShading" w:type="table">
    <w:name w:val="Colorful Shading"/>
    <w:basedOn w:val="TableNormal"/>
    <w:uiPriority w:val="71"/>
    <w:rsid w:val="00CB0664"/>
    <w:pPr>
      <w:spacing w:after="0" w:line="240" w:lineRule="auto"/>
    </w:pPr>
    <w:rPr>
      <w:color w:themeColor="text1" w:val="000000"/>
    </w:rPr>
    <w:tblPr>
      <w:tblStyleRowBandSize w:val="1"/>
      <w:tblStyleColBandSize w:val="1"/>
      <w:tblInd w:type="dxa" w:w="0"/>
      <w:tblBorders>
        <w:top w:color="C0504D" w:space="0" w:sz="24" w:themeColor="accent2" w:val="single"/>
        <w:left w:color="000000" w:space="0" w:sz="4" w:themeColor="text1" w:val="single"/>
        <w:bottom w:color="000000" w:space="0" w:sz="4" w:themeColor="text1" w:val="single"/>
        <w:right w:color="000000" w:space="0" w:sz="4" w:themeColor="text1"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E6E6E6" w:themeFill="text1" w:themeFillTint="19" w:val="clear"/>
    </w:tcPr>
    <w:tblStylePr w:type="firstRow">
      <w:rPr>
        <w:b/>
        <w:bCs/>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000000" w:themeFill="text1" w:themeFillShade="99" w:val="clear"/>
      </w:tcPr>
    </w:tblStylePr>
    <w:tblStylePr w:type="firstCol">
      <w:rPr>
        <w:color w:themeColor="background1" w:val="FFFFFF"/>
      </w:rPr>
      <w:tblPr/>
      <w:tcPr>
        <w:tcBorders>
          <w:top w:val="nil"/>
          <w:left w:val="nil"/>
          <w:bottom w:val="nil"/>
          <w:right w:val="nil"/>
          <w:insideH w:color="000000" w:space="0" w:sz="4" w:themeColor="text1" w:themeShade="99" w:val="single"/>
          <w:insideV w:val="nil"/>
        </w:tcBorders>
        <w:shd w:color="auto" w:fill="000000" w:themeFill="text1" w:themeFillShade="99" w:val="clear"/>
      </w:tcPr>
    </w:tblStylePr>
    <w:tblStylePr w:type="lastCol">
      <w:rPr>
        <w:color w:themeColor="background1" w:val="FFFFFF"/>
      </w:rPr>
      <w:tblPr/>
      <w:tcPr>
        <w:tcBorders>
          <w:top w:val="nil"/>
          <w:left w:val="nil"/>
          <w:bottom w:val="nil"/>
          <w:right w:val="nil"/>
          <w:insideH w:val="nil"/>
          <w:insideV w:val="nil"/>
        </w:tcBorders>
        <w:shd w:color="auto" w:fill="000000" w:themeFill="text1" w:themeFillShade="BF" w:val="clear"/>
      </w:tcPr>
    </w:tblStylePr>
    <w:tblStylePr w:type="band1Vert">
      <w:tblPr/>
      <w:tcPr>
        <w:shd w:color="auto" w:fill="999999" w:themeFill="text1" w:themeFillTint="66" w:val="clear"/>
      </w:tcPr>
    </w:tblStylePr>
    <w:tblStylePr w:type="band1Horz">
      <w:tblPr/>
      <w:tcPr>
        <w:shd w:color="auto" w:fill="808080" w:themeFill="text1" w:themeFillTint="7F" w:val="clear"/>
      </w:tcPr>
    </w:tblStylePr>
    <w:tblStylePr w:type="neCell">
      <w:rPr>
        <w:color w:themeColor="text1" w:val="000000"/>
      </w:rPr>
    </w:tblStylePr>
    <w:tblStylePr w:type="nwCell">
      <w:rPr>
        <w:color w:themeColor="text1" w:val="000000"/>
      </w:rPr>
    </w:tblStylePr>
  </w:style>
  <w:style w:styleId="ColorfulShading-Accent1" w:type="table">
    <w:name w:val="Colorful Shading Accent 1"/>
    <w:basedOn w:val="TableNormal"/>
    <w:uiPriority w:val="71"/>
    <w:rsid w:val="00CB0664"/>
    <w:pPr>
      <w:spacing w:after="0" w:line="240" w:lineRule="auto"/>
    </w:pPr>
    <w:rPr>
      <w:color w:themeColor="text1" w:val="000000"/>
    </w:rPr>
    <w:tblPr>
      <w:tblStyleRowBandSize w:val="1"/>
      <w:tblStyleColBandSize w:val="1"/>
      <w:tblInd w:type="dxa" w:w="0"/>
      <w:tblBorders>
        <w:top w:color="C0504D" w:space="0" w:sz="24" w:themeColor="accent2" w:val="single"/>
        <w:left w:color="4F81BD" w:space="0" w:sz="4" w:themeColor="accent1" w:val="single"/>
        <w:bottom w:color="4F81BD" w:space="0" w:sz="4" w:themeColor="accent1" w:val="single"/>
        <w:right w:color="4F81BD" w:space="0" w:sz="4" w:themeColor="accent1"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EDF2F8" w:themeFill="accent1" w:themeFillTint="19" w:val="clear"/>
    </w:tcPr>
    <w:tblStylePr w:type="firstRow">
      <w:rPr>
        <w:b/>
        <w:bCs/>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2C4C74" w:themeFill="accent1" w:themeFillShade="99" w:val="clear"/>
      </w:tcPr>
    </w:tblStylePr>
    <w:tblStylePr w:type="firstCol">
      <w:rPr>
        <w:color w:themeColor="background1" w:val="FFFFFF"/>
      </w:rPr>
      <w:tblPr/>
      <w:tcPr>
        <w:tcBorders>
          <w:top w:val="nil"/>
          <w:left w:val="nil"/>
          <w:bottom w:val="nil"/>
          <w:right w:val="nil"/>
          <w:insideH w:color="2C4C74" w:space="0" w:sz="4" w:themeColor="accent1" w:themeShade="99" w:val="single"/>
          <w:insideV w:val="nil"/>
        </w:tcBorders>
        <w:shd w:color="auto" w:fill="2C4C74" w:themeFill="accent1" w:themeFillShade="99" w:val="clear"/>
      </w:tcPr>
    </w:tblStylePr>
    <w:tblStylePr w:type="lastCol">
      <w:rPr>
        <w:color w:themeColor="background1" w:val="FFFFFF"/>
      </w:rPr>
      <w:tblPr/>
      <w:tcPr>
        <w:tcBorders>
          <w:top w:val="nil"/>
          <w:left w:val="nil"/>
          <w:bottom w:val="nil"/>
          <w:right w:val="nil"/>
          <w:insideH w:val="nil"/>
          <w:insideV w:val="nil"/>
        </w:tcBorders>
        <w:shd w:color="auto" w:fill="2C4C74" w:themeFill="accent1" w:themeFillShade="99" w:val="clear"/>
      </w:tcPr>
    </w:tblStylePr>
    <w:tblStylePr w:type="band1Vert">
      <w:tblPr/>
      <w:tcPr>
        <w:shd w:color="auto" w:fill="B8CCE4" w:themeFill="accent1" w:themeFillTint="66" w:val="clear"/>
      </w:tcPr>
    </w:tblStylePr>
    <w:tblStylePr w:type="band1Horz">
      <w:tblPr/>
      <w:tcPr>
        <w:shd w:color="auto" w:fill="A7BFDE" w:themeFill="accent1" w:themeFillTint="7F" w:val="clear"/>
      </w:tcPr>
    </w:tblStylePr>
    <w:tblStylePr w:type="neCell">
      <w:rPr>
        <w:color w:themeColor="text1" w:val="000000"/>
      </w:rPr>
    </w:tblStylePr>
    <w:tblStylePr w:type="nwCell">
      <w:rPr>
        <w:color w:themeColor="text1" w:val="000000"/>
      </w:rPr>
    </w:tblStylePr>
  </w:style>
  <w:style w:styleId="ColorfulShading-Accent2" w:type="table">
    <w:name w:val="Colorful Shading Accent 2"/>
    <w:basedOn w:val="TableNormal"/>
    <w:uiPriority w:val="71"/>
    <w:rsid w:val="00CB0664"/>
    <w:pPr>
      <w:spacing w:after="0" w:line="240" w:lineRule="auto"/>
    </w:pPr>
    <w:rPr>
      <w:color w:themeColor="text1" w:val="000000"/>
    </w:rPr>
    <w:tblPr>
      <w:tblStyleRowBandSize w:val="1"/>
      <w:tblStyleColBandSize w:val="1"/>
      <w:tblInd w:type="dxa" w:w="0"/>
      <w:tblBorders>
        <w:top w:color="C0504D" w:space="0" w:sz="24" w:themeColor="accent2" w:val="single"/>
        <w:left w:color="C0504D" w:space="0" w:sz="4" w:themeColor="accent2" w:val="single"/>
        <w:bottom w:color="C0504D" w:space="0" w:sz="4" w:themeColor="accent2" w:val="single"/>
        <w:right w:color="C0504D" w:space="0" w:sz="4" w:themeColor="accent2"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8EDED" w:themeFill="accent2" w:themeFillTint="19" w:val="clear"/>
    </w:tcPr>
    <w:tblStylePr w:type="firstRow">
      <w:rPr>
        <w:b/>
        <w:bCs/>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772C2A" w:themeFill="accent2" w:themeFillShade="99" w:val="clear"/>
      </w:tcPr>
    </w:tblStylePr>
    <w:tblStylePr w:type="firstCol">
      <w:rPr>
        <w:color w:themeColor="background1" w:val="FFFFFF"/>
      </w:rPr>
      <w:tblPr/>
      <w:tcPr>
        <w:tcBorders>
          <w:top w:val="nil"/>
          <w:left w:val="nil"/>
          <w:bottom w:val="nil"/>
          <w:right w:val="nil"/>
          <w:insideH w:color="772C2A" w:space="0" w:sz="4" w:themeColor="accent2" w:themeShade="99" w:val="single"/>
          <w:insideV w:val="nil"/>
        </w:tcBorders>
        <w:shd w:color="auto" w:fill="772C2A" w:themeFill="accent2" w:themeFillShade="99" w:val="clear"/>
      </w:tcPr>
    </w:tblStylePr>
    <w:tblStylePr w:type="lastCol">
      <w:rPr>
        <w:color w:themeColor="background1" w:val="FFFFFF"/>
      </w:rPr>
      <w:tblPr/>
      <w:tcPr>
        <w:tcBorders>
          <w:top w:val="nil"/>
          <w:left w:val="nil"/>
          <w:bottom w:val="nil"/>
          <w:right w:val="nil"/>
          <w:insideH w:val="nil"/>
          <w:insideV w:val="nil"/>
        </w:tcBorders>
        <w:shd w:color="auto" w:fill="772C2A" w:themeFill="accent2" w:themeFillShade="99" w:val="clear"/>
      </w:tcPr>
    </w:tblStylePr>
    <w:tblStylePr w:type="band1Vert">
      <w:tblPr/>
      <w:tcPr>
        <w:shd w:color="auto" w:fill="E5B8B7" w:themeFill="accent2" w:themeFillTint="66" w:val="clear"/>
      </w:tcPr>
    </w:tblStylePr>
    <w:tblStylePr w:type="band1Horz">
      <w:tblPr/>
      <w:tcPr>
        <w:shd w:color="auto" w:fill="DFA7A6" w:themeFill="accent2" w:themeFillTint="7F" w:val="clear"/>
      </w:tcPr>
    </w:tblStylePr>
    <w:tblStylePr w:type="neCell">
      <w:rPr>
        <w:color w:themeColor="text1" w:val="000000"/>
      </w:rPr>
    </w:tblStylePr>
    <w:tblStylePr w:type="nwCell">
      <w:rPr>
        <w:color w:themeColor="text1" w:val="000000"/>
      </w:rPr>
    </w:tblStylePr>
  </w:style>
  <w:style w:styleId="ColorfulShading-Accent3" w:type="table">
    <w:name w:val="Colorful Shading Accent 3"/>
    <w:basedOn w:val="TableNormal"/>
    <w:uiPriority w:val="71"/>
    <w:rsid w:val="00CB0664"/>
    <w:pPr>
      <w:spacing w:after="0" w:line="240" w:lineRule="auto"/>
    </w:pPr>
    <w:rPr>
      <w:color w:themeColor="text1" w:val="000000"/>
    </w:rPr>
    <w:tblPr>
      <w:tblStyleRowBandSize w:val="1"/>
      <w:tblStyleColBandSize w:val="1"/>
      <w:tblInd w:type="dxa" w:w="0"/>
      <w:tblBorders>
        <w:top w:color="8064A2" w:space="0" w:sz="24" w:themeColor="accent4" w:val="single"/>
        <w:left w:color="9BBB59" w:space="0" w:sz="4" w:themeColor="accent3" w:val="single"/>
        <w:bottom w:color="9BBB59" w:space="0" w:sz="4" w:themeColor="accent3" w:val="single"/>
        <w:right w:color="9BBB59" w:space="0" w:sz="4" w:themeColor="accent3"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5F8EE" w:themeFill="accent3" w:themeFillTint="19" w:val="clear"/>
    </w:tcPr>
    <w:tblStylePr w:type="firstRow">
      <w:rPr>
        <w:b/>
        <w:bCs/>
      </w:rPr>
      <w:tblPr/>
      <w:tcPr>
        <w:tcBorders>
          <w:top w:val="nil"/>
          <w:left w:val="nil"/>
          <w:bottom w:color="8064A2" w:space="0" w:sz="24" w:themeColor="accent4"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5E7530" w:themeFill="accent3" w:themeFillShade="99" w:val="clear"/>
      </w:tcPr>
    </w:tblStylePr>
    <w:tblStylePr w:type="firstCol">
      <w:rPr>
        <w:color w:themeColor="background1" w:val="FFFFFF"/>
      </w:rPr>
      <w:tblPr/>
      <w:tcPr>
        <w:tcBorders>
          <w:top w:val="nil"/>
          <w:left w:val="nil"/>
          <w:bottom w:val="nil"/>
          <w:right w:val="nil"/>
          <w:insideH w:color="5E7530" w:space="0" w:sz="4" w:themeColor="accent3" w:themeShade="99" w:val="single"/>
          <w:insideV w:val="nil"/>
        </w:tcBorders>
        <w:shd w:color="auto" w:fill="5E7530" w:themeFill="accent3" w:themeFillShade="99" w:val="clear"/>
      </w:tcPr>
    </w:tblStylePr>
    <w:tblStylePr w:type="lastCol">
      <w:rPr>
        <w:color w:themeColor="background1" w:val="FFFFFF"/>
      </w:rPr>
      <w:tblPr/>
      <w:tcPr>
        <w:tcBorders>
          <w:top w:val="nil"/>
          <w:left w:val="nil"/>
          <w:bottom w:val="nil"/>
          <w:right w:val="nil"/>
          <w:insideH w:val="nil"/>
          <w:insideV w:val="nil"/>
        </w:tcBorders>
        <w:shd w:color="auto" w:fill="5E7530" w:themeFill="accent3" w:themeFillShade="99" w:val="clear"/>
      </w:tcPr>
    </w:tblStylePr>
    <w:tblStylePr w:type="band1Vert">
      <w:tblPr/>
      <w:tcPr>
        <w:shd w:color="auto" w:fill="D6E3BC" w:themeFill="accent3" w:themeFillTint="66" w:val="clear"/>
      </w:tcPr>
    </w:tblStylePr>
    <w:tblStylePr w:type="band1Horz">
      <w:tblPr/>
      <w:tcPr>
        <w:shd w:color="auto" w:fill="CDDDAC" w:themeFill="accent3" w:themeFillTint="7F" w:val="clear"/>
      </w:tcPr>
    </w:tblStylePr>
  </w:style>
  <w:style w:styleId="ColorfulShading-Accent4" w:type="table">
    <w:name w:val="Colorful Shading Accent 4"/>
    <w:basedOn w:val="TableNormal"/>
    <w:uiPriority w:val="71"/>
    <w:rsid w:val="00CB0664"/>
    <w:pPr>
      <w:spacing w:after="0" w:line="240" w:lineRule="auto"/>
    </w:pPr>
    <w:rPr>
      <w:color w:themeColor="text1" w:val="000000"/>
    </w:rPr>
    <w:tblPr>
      <w:tblStyleRowBandSize w:val="1"/>
      <w:tblStyleColBandSize w:val="1"/>
      <w:tblInd w:type="dxa" w:w="0"/>
      <w:tblBorders>
        <w:top w:color="9BBB59" w:space="0" w:sz="24" w:themeColor="accent3" w:val="single"/>
        <w:left w:color="8064A2" w:space="0" w:sz="4" w:themeColor="accent4" w:val="single"/>
        <w:bottom w:color="8064A2" w:space="0" w:sz="4" w:themeColor="accent4" w:val="single"/>
        <w:right w:color="8064A2" w:space="0" w:sz="4" w:themeColor="accent4"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2EFF6" w:themeFill="accent4" w:themeFillTint="19" w:val="clear"/>
    </w:tcPr>
    <w:tblStylePr w:type="firstRow">
      <w:rPr>
        <w:b/>
        <w:bCs/>
      </w:rPr>
      <w:tblPr/>
      <w:tcPr>
        <w:tcBorders>
          <w:top w:val="nil"/>
          <w:left w:val="nil"/>
          <w:bottom w:color="9BBB59" w:space="0" w:sz="24" w:themeColor="accent3"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4C3B62" w:themeFill="accent4" w:themeFillShade="99" w:val="clear"/>
      </w:tcPr>
    </w:tblStylePr>
    <w:tblStylePr w:type="firstCol">
      <w:rPr>
        <w:color w:themeColor="background1" w:val="FFFFFF"/>
      </w:rPr>
      <w:tblPr/>
      <w:tcPr>
        <w:tcBorders>
          <w:top w:val="nil"/>
          <w:left w:val="nil"/>
          <w:bottom w:val="nil"/>
          <w:right w:val="nil"/>
          <w:insideH w:color="4C3B62" w:space="0" w:sz="4" w:themeColor="accent4" w:themeShade="99" w:val="single"/>
          <w:insideV w:val="nil"/>
        </w:tcBorders>
        <w:shd w:color="auto" w:fill="4C3B62" w:themeFill="accent4" w:themeFillShade="99" w:val="clear"/>
      </w:tcPr>
    </w:tblStylePr>
    <w:tblStylePr w:type="lastCol">
      <w:rPr>
        <w:color w:themeColor="background1" w:val="FFFFFF"/>
      </w:rPr>
      <w:tblPr/>
      <w:tcPr>
        <w:tcBorders>
          <w:top w:val="nil"/>
          <w:left w:val="nil"/>
          <w:bottom w:val="nil"/>
          <w:right w:val="nil"/>
          <w:insideH w:val="nil"/>
          <w:insideV w:val="nil"/>
        </w:tcBorders>
        <w:shd w:color="auto" w:fill="4C3B62" w:themeFill="accent4" w:themeFillShade="99" w:val="clear"/>
      </w:tcPr>
    </w:tblStylePr>
    <w:tblStylePr w:type="band1Vert">
      <w:tblPr/>
      <w:tcPr>
        <w:shd w:color="auto" w:fill="CCC0D9" w:themeFill="accent4" w:themeFillTint="66" w:val="clear"/>
      </w:tcPr>
    </w:tblStylePr>
    <w:tblStylePr w:type="band1Horz">
      <w:tblPr/>
      <w:tcPr>
        <w:shd w:color="auto" w:fill="BFB1D0" w:themeFill="accent4" w:themeFillTint="7F" w:val="clear"/>
      </w:tcPr>
    </w:tblStylePr>
    <w:tblStylePr w:type="neCell">
      <w:rPr>
        <w:color w:themeColor="text1" w:val="000000"/>
      </w:rPr>
    </w:tblStylePr>
    <w:tblStylePr w:type="nwCell">
      <w:rPr>
        <w:color w:themeColor="text1" w:val="000000"/>
      </w:rPr>
    </w:tblStylePr>
  </w:style>
  <w:style w:styleId="ColorfulShading-Accent5" w:type="table">
    <w:name w:val="Colorful Shading Accent 5"/>
    <w:basedOn w:val="TableNormal"/>
    <w:uiPriority w:val="71"/>
    <w:rsid w:val="00CB0664"/>
    <w:pPr>
      <w:spacing w:after="0" w:line="240" w:lineRule="auto"/>
    </w:pPr>
    <w:rPr>
      <w:color w:themeColor="text1" w:val="000000"/>
    </w:rPr>
    <w:tblPr>
      <w:tblStyleRowBandSize w:val="1"/>
      <w:tblStyleColBandSize w:val="1"/>
      <w:tblInd w:type="dxa" w:w="0"/>
      <w:tblBorders>
        <w:top w:color="F79646" w:space="0" w:sz="24" w:themeColor="accent6" w:val="single"/>
        <w:left w:color="4BACC6" w:space="0" w:sz="4" w:themeColor="accent5" w:val="single"/>
        <w:bottom w:color="4BACC6" w:space="0" w:sz="4" w:themeColor="accent5" w:val="single"/>
        <w:right w:color="4BACC6" w:space="0" w:sz="4" w:themeColor="accent5"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EDF6F9" w:themeFill="accent5" w:themeFillTint="19" w:val="clear"/>
    </w:tcPr>
    <w:tblStylePr w:type="firstRow">
      <w:rPr>
        <w:b/>
        <w:bCs/>
      </w:rPr>
      <w:tblPr/>
      <w:tcPr>
        <w:tcBorders>
          <w:top w:val="nil"/>
          <w:left w:val="nil"/>
          <w:bottom w:color="F79646" w:space="0" w:sz="24" w:themeColor="accent6"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276A7C" w:themeFill="accent5" w:themeFillShade="99" w:val="clear"/>
      </w:tcPr>
    </w:tblStylePr>
    <w:tblStylePr w:type="firstCol">
      <w:rPr>
        <w:color w:themeColor="background1" w:val="FFFFFF"/>
      </w:rPr>
      <w:tblPr/>
      <w:tcPr>
        <w:tcBorders>
          <w:top w:val="nil"/>
          <w:left w:val="nil"/>
          <w:bottom w:val="nil"/>
          <w:right w:val="nil"/>
          <w:insideH w:color="276A7C" w:space="0" w:sz="4" w:themeColor="accent5" w:themeShade="99" w:val="single"/>
          <w:insideV w:val="nil"/>
        </w:tcBorders>
        <w:shd w:color="auto" w:fill="276A7C" w:themeFill="accent5" w:themeFillShade="99" w:val="clear"/>
      </w:tcPr>
    </w:tblStylePr>
    <w:tblStylePr w:type="lastCol">
      <w:rPr>
        <w:color w:themeColor="background1" w:val="FFFFFF"/>
      </w:rPr>
      <w:tblPr/>
      <w:tcPr>
        <w:tcBorders>
          <w:top w:val="nil"/>
          <w:left w:val="nil"/>
          <w:bottom w:val="nil"/>
          <w:right w:val="nil"/>
          <w:insideH w:val="nil"/>
          <w:insideV w:val="nil"/>
        </w:tcBorders>
        <w:shd w:color="auto" w:fill="276A7C" w:themeFill="accent5" w:themeFillShade="99" w:val="clear"/>
      </w:tcPr>
    </w:tblStylePr>
    <w:tblStylePr w:type="band1Vert">
      <w:tblPr/>
      <w:tcPr>
        <w:shd w:color="auto" w:fill="B6DDE8" w:themeFill="accent5" w:themeFillTint="66" w:val="clear"/>
      </w:tcPr>
    </w:tblStylePr>
    <w:tblStylePr w:type="band1Horz">
      <w:tblPr/>
      <w:tcPr>
        <w:shd w:color="auto" w:fill="A5D5E2" w:themeFill="accent5" w:themeFillTint="7F" w:val="clear"/>
      </w:tcPr>
    </w:tblStylePr>
    <w:tblStylePr w:type="neCell">
      <w:rPr>
        <w:color w:themeColor="text1" w:val="000000"/>
      </w:rPr>
    </w:tblStylePr>
    <w:tblStylePr w:type="nwCell">
      <w:rPr>
        <w:color w:themeColor="text1" w:val="000000"/>
      </w:rPr>
    </w:tblStylePr>
  </w:style>
  <w:style w:styleId="ColorfulShading-Accent6" w:type="table">
    <w:name w:val="Colorful Shading Accent 6"/>
    <w:basedOn w:val="TableNormal"/>
    <w:uiPriority w:val="71"/>
    <w:rsid w:val="00CB0664"/>
    <w:pPr>
      <w:spacing w:after="0" w:line="240" w:lineRule="auto"/>
    </w:pPr>
    <w:rPr>
      <w:color w:themeColor="text1" w:val="000000"/>
    </w:rPr>
    <w:tblPr>
      <w:tblStyleRowBandSize w:val="1"/>
      <w:tblStyleColBandSize w:val="1"/>
      <w:tblInd w:type="dxa" w:w="0"/>
      <w:tblBorders>
        <w:top w:color="4BACC6" w:space="0" w:sz="24" w:themeColor="accent5" w:val="single"/>
        <w:left w:color="F79646" w:space="0" w:sz="4" w:themeColor="accent6" w:val="single"/>
        <w:bottom w:color="F79646" w:space="0" w:sz="4" w:themeColor="accent6" w:val="single"/>
        <w:right w:color="F79646" w:space="0" w:sz="4" w:themeColor="accent6"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EF4EC" w:themeFill="accent6" w:themeFillTint="19" w:val="clear"/>
    </w:tcPr>
    <w:tblStylePr w:type="firstRow">
      <w:rPr>
        <w:b/>
        <w:bCs/>
      </w:rPr>
      <w:tblPr/>
      <w:tcPr>
        <w:tcBorders>
          <w:top w:val="nil"/>
          <w:left w:val="nil"/>
          <w:bottom w:color="4BACC6" w:space="0" w:sz="24" w:themeColor="accent5"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B65608" w:themeFill="accent6" w:themeFillShade="99" w:val="clear"/>
      </w:tcPr>
    </w:tblStylePr>
    <w:tblStylePr w:type="firstCol">
      <w:rPr>
        <w:color w:themeColor="background1" w:val="FFFFFF"/>
      </w:rPr>
      <w:tblPr/>
      <w:tcPr>
        <w:tcBorders>
          <w:top w:val="nil"/>
          <w:left w:val="nil"/>
          <w:bottom w:val="nil"/>
          <w:right w:val="nil"/>
          <w:insideH w:color="B65608" w:space="0" w:sz="4" w:themeColor="accent6" w:themeShade="99" w:val="single"/>
          <w:insideV w:val="nil"/>
        </w:tcBorders>
        <w:shd w:color="auto" w:fill="B65608" w:themeFill="accent6" w:themeFillShade="99" w:val="clear"/>
      </w:tcPr>
    </w:tblStylePr>
    <w:tblStylePr w:type="lastCol">
      <w:rPr>
        <w:color w:themeColor="background1" w:val="FFFFFF"/>
      </w:rPr>
      <w:tblPr/>
      <w:tcPr>
        <w:tcBorders>
          <w:top w:val="nil"/>
          <w:left w:val="nil"/>
          <w:bottom w:val="nil"/>
          <w:right w:val="nil"/>
          <w:insideH w:val="nil"/>
          <w:insideV w:val="nil"/>
        </w:tcBorders>
        <w:shd w:color="auto" w:fill="B65608" w:themeFill="accent6" w:themeFillShade="99" w:val="clear"/>
      </w:tcPr>
    </w:tblStylePr>
    <w:tblStylePr w:type="band1Vert">
      <w:tblPr/>
      <w:tcPr>
        <w:shd w:color="auto" w:fill="FBD4B4" w:themeFill="accent6" w:themeFillTint="66" w:val="clear"/>
      </w:tcPr>
    </w:tblStylePr>
    <w:tblStylePr w:type="band1Horz">
      <w:tblPr/>
      <w:tcPr>
        <w:shd w:color="auto" w:fill="FBCAA2" w:themeFill="accent6" w:themeFillTint="7F" w:val="clear"/>
      </w:tcPr>
    </w:tblStylePr>
    <w:tblStylePr w:type="neCell">
      <w:rPr>
        <w:color w:themeColor="text1" w:val="000000"/>
      </w:rPr>
    </w:tblStylePr>
    <w:tblStylePr w:type="nwCell">
      <w:rPr>
        <w:color w:themeColor="text1" w:val="000000"/>
      </w:rPr>
    </w:tblStylePr>
  </w:style>
  <w:style w:styleId="ColorfulList" w:type="table">
    <w:name w:val="Colorful List"/>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E6E6E6" w:themeFill="text1" w:themeFillTint="19" w:val="clear"/>
    </w:tcPr>
    <w:tblStylePr w:type="firstRow">
      <w:rPr>
        <w:b/>
        <w:bCs/>
        <w:color w:themeColor="background1" w:val="FFFFFF"/>
      </w:rPr>
      <w:tblPr/>
      <w:tcPr>
        <w:tcBorders>
          <w:bottom w:color="FFFFFF" w:space="0" w:sz="12" w:themeColor="background1" w:val="single"/>
        </w:tcBorders>
        <w:shd w:color="auto" w:fill="9E3A38" w:themeFill="accent2" w:themeFillShade="CC" w:val="clear"/>
      </w:tcPr>
    </w:tblStylePr>
    <w:tblStylePr w:type="lastRow">
      <w:rPr>
        <w:b/>
        <w:bCs/>
        <w:color w:themeColor="accent2" w:themeShade="CC" w:val="9E3A38"/>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C0C0C0" w:themeFill="text1" w:themeFillTint="3F" w:val="clear"/>
      </w:tcPr>
    </w:tblStylePr>
    <w:tblStylePr w:type="band1Horz">
      <w:tblPr/>
      <w:tcPr>
        <w:shd w:color="auto" w:fill="CCCCCC" w:themeFill="text1" w:themeFillTint="33" w:val="clear"/>
      </w:tcPr>
    </w:tblStylePr>
  </w:style>
  <w:style w:styleId="ColorfulList-Accent1" w:type="table">
    <w:name w:val="Colorful List Accent 1"/>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EDF2F8" w:themeFill="accent1" w:themeFillTint="19" w:val="clear"/>
    </w:tcPr>
    <w:tblStylePr w:type="firstRow">
      <w:rPr>
        <w:b/>
        <w:bCs/>
        <w:color w:themeColor="background1" w:val="FFFFFF"/>
      </w:rPr>
      <w:tblPr/>
      <w:tcPr>
        <w:tcBorders>
          <w:bottom w:color="FFFFFF" w:space="0" w:sz="12" w:themeColor="background1" w:val="single"/>
        </w:tcBorders>
        <w:shd w:color="auto" w:fill="9E3A38" w:themeFill="accent2" w:themeFillShade="CC" w:val="clear"/>
      </w:tcPr>
    </w:tblStylePr>
    <w:tblStylePr w:type="lastRow">
      <w:rPr>
        <w:b/>
        <w:bCs/>
        <w:color w:themeColor="accent2" w:themeShade="CC" w:val="9E3A38"/>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D3DFEE" w:themeFill="accent1" w:themeFillTint="3F" w:val="clear"/>
      </w:tcPr>
    </w:tblStylePr>
    <w:tblStylePr w:type="band1Horz">
      <w:tblPr/>
      <w:tcPr>
        <w:shd w:color="auto" w:fill="DBE5F1" w:themeFill="accent1" w:themeFillTint="33" w:val="clear"/>
      </w:tcPr>
    </w:tblStylePr>
  </w:style>
  <w:style w:styleId="ColorfulList-Accent2" w:type="table">
    <w:name w:val="Colorful List Accent 2"/>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8EDED" w:themeFill="accent2" w:themeFillTint="19" w:val="clear"/>
    </w:tcPr>
    <w:tblStylePr w:type="firstRow">
      <w:rPr>
        <w:b/>
        <w:bCs/>
        <w:color w:themeColor="background1" w:val="FFFFFF"/>
      </w:rPr>
      <w:tblPr/>
      <w:tcPr>
        <w:tcBorders>
          <w:bottom w:color="FFFFFF" w:space="0" w:sz="12" w:themeColor="background1" w:val="single"/>
        </w:tcBorders>
        <w:shd w:color="auto" w:fill="9E3A38" w:themeFill="accent2" w:themeFillShade="CC" w:val="clear"/>
      </w:tcPr>
    </w:tblStylePr>
    <w:tblStylePr w:type="lastRow">
      <w:rPr>
        <w:b/>
        <w:bCs/>
        <w:color w:themeColor="accent2" w:themeShade="CC" w:val="9E3A38"/>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EFD3D2" w:themeFill="accent2" w:themeFillTint="3F" w:val="clear"/>
      </w:tcPr>
    </w:tblStylePr>
    <w:tblStylePr w:type="band1Horz">
      <w:tblPr/>
      <w:tcPr>
        <w:shd w:color="auto" w:fill="F2DBDB" w:themeFill="accent2" w:themeFillTint="33" w:val="clear"/>
      </w:tcPr>
    </w:tblStylePr>
  </w:style>
  <w:style w:styleId="ColorfulList-Accent3" w:type="table">
    <w:name w:val="Colorful List Accent 3"/>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5F8EE" w:themeFill="accent3" w:themeFillTint="19" w:val="clear"/>
    </w:tcPr>
    <w:tblStylePr w:type="firstRow">
      <w:rPr>
        <w:b/>
        <w:bCs/>
        <w:color w:themeColor="background1" w:val="FFFFFF"/>
      </w:rPr>
      <w:tblPr/>
      <w:tcPr>
        <w:tcBorders>
          <w:bottom w:color="FFFFFF" w:space="0" w:sz="12" w:themeColor="background1" w:val="single"/>
        </w:tcBorders>
        <w:shd w:color="auto" w:fill="664E82" w:themeFill="accent4" w:themeFillShade="CC" w:val="clear"/>
      </w:tcPr>
    </w:tblStylePr>
    <w:tblStylePr w:type="lastRow">
      <w:rPr>
        <w:b/>
        <w:bCs/>
        <w:color w:themeColor="accent4" w:themeShade="CC" w:val="664E82"/>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E6EED5" w:themeFill="accent3" w:themeFillTint="3F" w:val="clear"/>
      </w:tcPr>
    </w:tblStylePr>
    <w:tblStylePr w:type="band1Horz">
      <w:tblPr/>
      <w:tcPr>
        <w:shd w:color="auto" w:fill="EAF1DD" w:themeFill="accent3" w:themeFillTint="33" w:val="clear"/>
      </w:tcPr>
    </w:tblStylePr>
  </w:style>
  <w:style w:styleId="ColorfulList-Accent4" w:type="table">
    <w:name w:val="Colorful List Accent 4"/>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2EFF6" w:themeFill="accent4" w:themeFillTint="19" w:val="clear"/>
    </w:tcPr>
    <w:tblStylePr w:type="firstRow">
      <w:rPr>
        <w:b/>
        <w:bCs/>
        <w:color w:themeColor="background1" w:val="FFFFFF"/>
      </w:rPr>
      <w:tblPr/>
      <w:tcPr>
        <w:tcBorders>
          <w:bottom w:color="FFFFFF" w:space="0" w:sz="12" w:themeColor="background1" w:val="single"/>
        </w:tcBorders>
        <w:shd w:color="auto" w:fill="7E9C40" w:themeFill="accent3" w:themeFillShade="CC" w:val="clear"/>
      </w:tcPr>
    </w:tblStylePr>
    <w:tblStylePr w:type="lastRow">
      <w:rPr>
        <w:b/>
        <w:bCs/>
        <w:color w:themeColor="accent3" w:themeShade="CC" w:val="7E9C40"/>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DFD8E8" w:themeFill="accent4" w:themeFillTint="3F" w:val="clear"/>
      </w:tcPr>
    </w:tblStylePr>
    <w:tblStylePr w:type="band1Horz">
      <w:tblPr/>
      <w:tcPr>
        <w:shd w:color="auto" w:fill="E5DFEC" w:themeFill="accent4" w:themeFillTint="33" w:val="clear"/>
      </w:tcPr>
    </w:tblStylePr>
  </w:style>
  <w:style w:styleId="ColorfulList-Accent5" w:type="table">
    <w:name w:val="Colorful List Accent 5"/>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EDF6F9" w:themeFill="accent5" w:themeFillTint="19" w:val="clear"/>
    </w:tcPr>
    <w:tblStylePr w:type="firstRow">
      <w:rPr>
        <w:b/>
        <w:bCs/>
        <w:color w:themeColor="background1" w:val="FFFFFF"/>
      </w:rPr>
      <w:tblPr/>
      <w:tcPr>
        <w:tcBorders>
          <w:bottom w:color="FFFFFF" w:space="0" w:sz="12" w:themeColor="background1" w:val="single"/>
        </w:tcBorders>
        <w:shd w:color="auto" w:fill="F2730A" w:themeFill="accent6" w:themeFillShade="CC" w:val="clear"/>
      </w:tcPr>
    </w:tblStylePr>
    <w:tblStylePr w:type="lastRow">
      <w:rPr>
        <w:b/>
        <w:bCs/>
        <w:color w:themeColor="accent6" w:themeShade="CC" w:val="F2730A"/>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D2EAF1" w:themeFill="accent5" w:themeFillTint="3F" w:val="clear"/>
      </w:tcPr>
    </w:tblStylePr>
    <w:tblStylePr w:type="band1Horz">
      <w:tblPr/>
      <w:tcPr>
        <w:shd w:color="auto" w:fill="DAEEF3" w:themeFill="accent5" w:themeFillTint="33" w:val="clear"/>
      </w:tcPr>
    </w:tblStylePr>
  </w:style>
  <w:style w:styleId="ColorfulList-Accent6" w:type="table">
    <w:name w:val="Colorful List Accent 6"/>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EF4EC" w:themeFill="accent6" w:themeFillTint="19" w:val="clear"/>
    </w:tcPr>
    <w:tblStylePr w:type="firstRow">
      <w:rPr>
        <w:b/>
        <w:bCs/>
        <w:color w:themeColor="background1" w:val="FFFFFF"/>
      </w:rPr>
      <w:tblPr/>
      <w:tcPr>
        <w:tcBorders>
          <w:bottom w:color="FFFFFF" w:space="0" w:sz="12" w:themeColor="background1" w:val="single"/>
        </w:tcBorders>
        <w:shd w:color="auto" w:fill="348DA5" w:themeFill="accent5" w:themeFillShade="CC" w:val="clear"/>
      </w:tcPr>
    </w:tblStylePr>
    <w:tblStylePr w:type="lastRow">
      <w:rPr>
        <w:b/>
        <w:bCs/>
        <w:color w:themeColor="accent5" w:themeShade="CC" w:val="348DA5"/>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FDE4D0" w:themeFill="accent6" w:themeFillTint="3F" w:val="clear"/>
      </w:tcPr>
    </w:tblStylePr>
    <w:tblStylePr w:type="band1Horz">
      <w:tblPr/>
      <w:tcPr>
        <w:shd w:color="auto" w:fill="FDE9D9" w:themeFill="accent6" w:themeFillTint="33" w:val="clear"/>
      </w:tcPr>
    </w:tblStylePr>
  </w:style>
  <w:style w:styleId="ColorfulGrid" w:type="table">
    <w:name w:val="Colorful Grid"/>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CCCCCC" w:themeFill="text1" w:themeFillTint="33" w:val="clear"/>
    </w:tcPr>
    <w:tblStylePr w:type="firstRow">
      <w:rPr>
        <w:b/>
        <w:bCs/>
      </w:rPr>
      <w:tblPr/>
      <w:tcPr>
        <w:shd w:color="auto" w:fill="999999" w:themeFill="text1" w:themeFillTint="66" w:val="clear"/>
      </w:tcPr>
    </w:tblStylePr>
    <w:tblStylePr w:type="lastRow">
      <w:rPr>
        <w:b/>
        <w:bCs/>
        <w:color w:themeColor="text1" w:val="000000"/>
      </w:rPr>
      <w:tblPr/>
      <w:tcPr>
        <w:shd w:color="auto" w:fill="999999" w:themeFill="text1" w:themeFillTint="66" w:val="clear"/>
      </w:tcPr>
    </w:tblStylePr>
    <w:tblStylePr w:type="firstCol">
      <w:rPr>
        <w:color w:themeColor="background1" w:val="FFFFFF"/>
      </w:rPr>
      <w:tblPr/>
      <w:tcPr>
        <w:shd w:color="auto" w:fill="000000" w:themeFill="text1" w:themeFillShade="BF" w:val="clear"/>
      </w:tcPr>
    </w:tblStylePr>
    <w:tblStylePr w:type="lastCol">
      <w:rPr>
        <w:color w:themeColor="background1" w:val="FFFFFF"/>
      </w:rPr>
      <w:tblPr/>
      <w:tcPr>
        <w:shd w:color="auto" w:fill="000000" w:themeFill="text1" w:themeFillShade="BF" w:val="clear"/>
      </w:tcPr>
    </w:tblStylePr>
    <w:tblStylePr w:type="band1Vert">
      <w:tblPr/>
      <w:tcPr>
        <w:shd w:color="auto" w:fill="808080" w:themeFill="text1" w:themeFillTint="7F" w:val="clear"/>
      </w:tcPr>
    </w:tblStylePr>
    <w:tblStylePr w:type="band1Horz">
      <w:tblPr/>
      <w:tcPr>
        <w:shd w:color="auto" w:fill="808080" w:themeFill="text1" w:themeFillTint="7F" w:val="clear"/>
      </w:tcPr>
    </w:tblStylePr>
  </w:style>
  <w:style w:styleId="ColorfulGrid-Accent1" w:type="table">
    <w:name w:val="Colorful Grid Accent 1"/>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DBE5F1" w:themeFill="accent1" w:themeFillTint="33" w:val="clear"/>
    </w:tcPr>
    <w:tblStylePr w:type="firstRow">
      <w:rPr>
        <w:b/>
        <w:bCs/>
      </w:rPr>
      <w:tblPr/>
      <w:tcPr>
        <w:shd w:color="auto" w:fill="B8CCE4" w:themeFill="accent1" w:themeFillTint="66" w:val="clear"/>
      </w:tcPr>
    </w:tblStylePr>
    <w:tblStylePr w:type="lastRow">
      <w:rPr>
        <w:b/>
        <w:bCs/>
        <w:color w:themeColor="text1" w:val="000000"/>
      </w:rPr>
      <w:tblPr/>
      <w:tcPr>
        <w:shd w:color="auto" w:fill="B8CCE4" w:themeFill="accent1" w:themeFillTint="66" w:val="clear"/>
      </w:tcPr>
    </w:tblStylePr>
    <w:tblStylePr w:type="firstCol">
      <w:rPr>
        <w:color w:themeColor="background1" w:val="FFFFFF"/>
      </w:rPr>
      <w:tblPr/>
      <w:tcPr>
        <w:shd w:color="auto" w:fill="365F91" w:themeFill="accent1" w:themeFillShade="BF" w:val="clear"/>
      </w:tcPr>
    </w:tblStylePr>
    <w:tblStylePr w:type="lastCol">
      <w:rPr>
        <w:color w:themeColor="background1" w:val="FFFFFF"/>
      </w:rPr>
      <w:tblPr/>
      <w:tcPr>
        <w:shd w:color="auto" w:fill="365F91" w:themeFill="accent1" w:themeFillShade="BF" w:val="clear"/>
      </w:tcPr>
    </w:tblStylePr>
    <w:tblStylePr w:type="band1Vert">
      <w:tblPr/>
      <w:tcPr>
        <w:shd w:color="auto" w:fill="A7BFDE" w:themeFill="accent1" w:themeFillTint="7F" w:val="clear"/>
      </w:tcPr>
    </w:tblStylePr>
    <w:tblStylePr w:type="band1Horz">
      <w:tblPr/>
      <w:tcPr>
        <w:shd w:color="auto" w:fill="A7BFDE" w:themeFill="accent1" w:themeFillTint="7F" w:val="clear"/>
      </w:tcPr>
    </w:tblStylePr>
  </w:style>
  <w:style w:styleId="ColorfulGrid-Accent2" w:type="table">
    <w:name w:val="Colorful Grid Accent 2"/>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F2DBDB" w:themeFill="accent2" w:themeFillTint="33" w:val="clear"/>
    </w:tcPr>
    <w:tblStylePr w:type="firstRow">
      <w:rPr>
        <w:b/>
        <w:bCs/>
      </w:rPr>
      <w:tblPr/>
      <w:tcPr>
        <w:shd w:color="auto" w:fill="E5B8B7" w:themeFill="accent2" w:themeFillTint="66" w:val="clear"/>
      </w:tcPr>
    </w:tblStylePr>
    <w:tblStylePr w:type="lastRow">
      <w:rPr>
        <w:b/>
        <w:bCs/>
        <w:color w:themeColor="text1" w:val="000000"/>
      </w:rPr>
      <w:tblPr/>
      <w:tcPr>
        <w:shd w:color="auto" w:fill="E5B8B7" w:themeFill="accent2" w:themeFillTint="66" w:val="clear"/>
      </w:tcPr>
    </w:tblStylePr>
    <w:tblStylePr w:type="firstCol">
      <w:rPr>
        <w:color w:themeColor="background1" w:val="FFFFFF"/>
      </w:rPr>
      <w:tblPr/>
      <w:tcPr>
        <w:shd w:color="auto" w:fill="943634" w:themeFill="accent2" w:themeFillShade="BF" w:val="clear"/>
      </w:tcPr>
    </w:tblStylePr>
    <w:tblStylePr w:type="lastCol">
      <w:rPr>
        <w:color w:themeColor="background1" w:val="FFFFFF"/>
      </w:rPr>
      <w:tblPr/>
      <w:tcPr>
        <w:shd w:color="auto" w:fill="943634" w:themeFill="accent2" w:themeFillShade="BF" w:val="clear"/>
      </w:tcPr>
    </w:tblStylePr>
    <w:tblStylePr w:type="band1Vert">
      <w:tblPr/>
      <w:tcPr>
        <w:shd w:color="auto" w:fill="DFA7A6" w:themeFill="accent2" w:themeFillTint="7F" w:val="clear"/>
      </w:tcPr>
    </w:tblStylePr>
    <w:tblStylePr w:type="band1Horz">
      <w:tblPr/>
      <w:tcPr>
        <w:shd w:color="auto" w:fill="DFA7A6" w:themeFill="accent2" w:themeFillTint="7F" w:val="clear"/>
      </w:tcPr>
    </w:tblStylePr>
  </w:style>
  <w:style w:styleId="ColorfulGrid-Accent3" w:type="table">
    <w:name w:val="Colorful Grid Accent 3"/>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EAF1DD" w:themeFill="accent3" w:themeFillTint="33" w:val="clear"/>
    </w:tcPr>
    <w:tblStylePr w:type="firstRow">
      <w:rPr>
        <w:b/>
        <w:bCs/>
      </w:rPr>
      <w:tblPr/>
      <w:tcPr>
        <w:shd w:color="auto" w:fill="D6E3BC" w:themeFill="accent3" w:themeFillTint="66" w:val="clear"/>
      </w:tcPr>
    </w:tblStylePr>
    <w:tblStylePr w:type="lastRow">
      <w:rPr>
        <w:b/>
        <w:bCs/>
        <w:color w:themeColor="text1" w:val="000000"/>
      </w:rPr>
      <w:tblPr/>
      <w:tcPr>
        <w:shd w:color="auto" w:fill="D6E3BC" w:themeFill="accent3" w:themeFillTint="66" w:val="clear"/>
      </w:tcPr>
    </w:tblStylePr>
    <w:tblStylePr w:type="firstCol">
      <w:rPr>
        <w:color w:themeColor="background1" w:val="FFFFFF"/>
      </w:rPr>
      <w:tblPr/>
      <w:tcPr>
        <w:shd w:color="auto" w:fill="76923C" w:themeFill="accent3" w:themeFillShade="BF" w:val="clear"/>
      </w:tcPr>
    </w:tblStylePr>
    <w:tblStylePr w:type="lastCol">
      <w:rPr>
        <w:color w:themeColor="background1" w:val="FFFFFF"/>
      </w:rPr>
      <w:tblPr/>
      <w:tcPr>
        <w:shd w:color="auto" w:fill="76923C" w:themeFill="accent3" w:themeFillShade="BF" w:val="clear"/>
      </w:tcPr>
    </w:tblStylePr>
    <w:tblStylePr w:type="band1Vert">
      <w:tblPr/>
      <w:tcPr>
        <w:shd w:color="auto" w:fill="CDDDAC" w:themeFill="accent3" w:themeFillTint="7F" w:val="clear"/>
      </w:tcPr>
    </w:tblStylePr>
    <w:tblStylePr w:type="band1Horz">
      <w:tblPr/>
      <w:tcPr>
        <w:shd w:color="auto" w:fill="CDDDAC" w:themeFill="accent3" w:themeFillTint="7F" w:val="clear"/>
      </w:tcPr>
    </w:tblStylePr>
  </w:style>
  <w:style w:styleId="ColorfulGrid-Accent4" w:type="table">
    <w:name w:val="Colorful Grid Accent 4"/>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E5DFEC" w:themeFill="accent4" w:themeFillTint="33" w:val="clear"/>
    </w:tcPr>
    <w:tblStylePr w:type="firstRow">
      <w:rPr>
        <w:b/>
        <w:bCs/>
      </w:rPr>
      <w:tblPr/>
      <w:tcPr>
        <w:shd w:color="auto" w:fill="CCC0D9" w:themeFill="accent4" w:themeFillTint="66" w:val="clear"/>
      </w:tcPr>
    </w:tblStylePr>
    <w:tblStylePr w:type="lastRow">
      <w:rPr>
        <w:b/>
        <w:bCs/>
        <w:color w:themeColor="text1" w:val="000000"/>
      </w:rPr>
      <w:tblPr/>
      <w:tcPr>
        <w:shd w:color="auto" w:fill="CCC0D9" w:themeFill="accent4" w:themeFillTint="66" w:val="clear"/>
      </w:tcPr>
    </w:tblStylePr>
    <w:tblStylePr w:type="firstCol">
      <w:rPr>
        <w:color w:themeColor="background1" w:val="FFFFFF"/>
      </w:rPr>
      <w:tblPr/>
      <w:tcPr>
        <w:shd w:color="auto" w:fill="5F497A" w:themeFill="accent4" w:themeFillShade="BF" w:val="clear"/>
      </w:tcPr>
    </w:tblStylePr>
    <w:tblStylePr w:type="lastCol">
      <w:rPr>
        <w:color w:themeColor="background1" w:val="FFFFFF"/>
      </w:rPr>
      <w:tblPr/>
      <w:tcPr>
        <w:shd w:color="auto" w:fill="5F497A" w:themeFill="accent4" w:themeFillShade="BF" w:val="clear"/>
      </w:tcPr>
    </w:tblStylePr>
    <w:tblStylePr w:type="band1Vert">
      <w:tblPr/>
      <w:tcPr>
        <w:shd w:color="auto" w:fill="BFB1D0" w:themeFill="accent4" w:themeFillTint="7F" w:val="clear"/>
      </w:tcPr>
    </w:tblStylePr>
    <w:tblStylePr w:type="band1Horz">
      <w:tblPr/>
      <w:tcPr>
        <w:shd w:color="auto" w:fill="BFB1D0" w:themeFill="accent4" w:themeFillTint="7F" w:val="clear"/>
      </w:tcPr>
    </w:tblStylePr>
  </w:style>
  <w:style w:styleId="ColorfulGrid-Accent5" w:type="table">
    <w:name w:val="Colorful Grid Accent 5"/>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DAEEF3" w:themeFill="accent5" w:themeFillTint="33" w:val="clear"/>
    </w:tcPr>
    <w:tblStylePr w:type="firstRow">
      <w:rPr>
        <w:b/>
        <w:bCs/>
      </w:rPr>
      <w:tblPr/>
      <w:tcPr>
        <w:shd w:color="auto" w:fill="B6DDE8" w:themeFill="accent5" w:themeFillTint="66" w:val="clear"/>
      </w:tcPr>
    </w:tblStylePr>
    <w:tblStylePr w:type="lastRow">
      <w:rPr>
        <w:b/>
        <w:bCs/>
        <w:color w:themeColor="text1" w:val="000000"/>
      </w:rPr>
      <w:tblPr/>
      <w:tcPr>
        <w:shd w:color="auto" w:fill="B6DDE8" w:themeFill="accent5" w:themeFillTint="66" w:val="clear"/>
      </w:tcPr>
    </w:tblStylePr>
    <w:tblStylePr w:type="firstCol">
      <w:rPr>
        <w:color w:themeColor="background1" w:val="FFFFFF"/>
      </w:rPr>
      <w:tblPr/>
      <w:tcPr>
        <w:shd w:color="auto" w:fill="31849B" w:themeFill="accent5" w:themeFillShade="BF" w:val="clear"/>
      </w:tcPr>
    </w:tblStylePr>
    <w:tblStylePr w:type="lastCol">
      <w:rPr>
        <w:color w:themeColor="background1" w:val="FFFFFF"/>
      </w:rPr>
      <w:tblPr/>
      <w:tcPr>
        <w:shd w:color="auto" w:fill="31849B" w:themeFill="accent5" w:themeFillShade="BF" w:val="clear"/>
      </w:tcPr>
    </w:tblStylePr>
    <w:tblStylePr w:type="band1Vert">
      <w:tblPr/>
      <w:tcPr>
        <w:shd w:color="auto" w:fill="A5D5E2" w:themeFill="accent5" w:themeFillTint="7F" w:val="clear"/>
      </w:tcPr>
    </w:tblStylePr>
    <w:tblStylePr w:type="band1Horz">
      <w:tblPr/>
      <w:tcPr>
        <w:shd w:color="auto" w:fill="A5D5E2" w:themeFill="accent5" w:themeFillTint="7F" w:val="clear"/>
      </w:tcPr>
    </w:tblStylePr>
  </w:style>
  <w:style w:styleId="ColorfulGrid-Accent6" w:type="table">
    <w:name w:val="Colorful Grid Accent 6"/>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FDE9D9" w:themeFill="accent6" w:themeFillTint="33" w:val="clear"/>
    </w:tcPr>
    <w:tblStylePr w:type="firstRow">
      <w:rPr>
        <w:b/>
        <w:bCs/>
      </w:rPr>
      <w:tblPr/>
      <w:tcPr>
        <w:shd w:color="auto" w:fill="FBD4B4" w:themeFill="accent6" w:themeFillTint="66" w:val="clear"/>
      </w:tcPr>
    </w:tblStylePr>
    <w:tblStylePr w:type="lastRow">
      <w:rPr>
        <w:b/>
        <w:bCs/>
        <w:color w:themeColor="text1" w:val="000000"/>
      </w:rPr>
      <w:tblPr/>
      <w:tcPr>
        <w:shd w:color="auto" w:fill="FBD4B4" w:themeFill="accent6" w:themeFillTint="66" w:val="clear"/>
      </w:tcPr>
    </w:tblStylePr>
    <w:tblStylePr w:type="firstCol">
      <w:rPr>
        <w:color w:themeColor="background1" w:val="FFFFFF"/>
      </w:rPr>
      <w:tblPr/>
      <w:tcPr>
        <w:shd w:color="auto" w:fill="E36C0A" w:themeFill="accent6" w:themeFillShade="BF" w:val="clear"/>
      </w:tcPr>
    </w:tblStylePr>
    <w:tblStylePr w:type="lastCol">
      <w:rPr>
        <w:color w:themeColor="background1" w:val="FFFFFF"/>
      </w:rPr>
      <w:tblPr/>
      <w:tcPr>
        <w:shd w:color="auto" w:fill="E36C0A" w:themeFill="accent6" w:themeFillShade="BF" w:val="clear"/>
      </w:tcPr>
    </w:tblStylePr>
    <w:tblStylePr w:type="band1Vert">
      <w:tblPr/>
      <w:tcPr>
        <w:shd w:color="auto" w:fill="FBCAA2" w:themeFill="accent6" w:themeFillTint="7F" w:val="clear"/>
      </w:tcPr>
    </w:tblStylePr>
    <w:tblStylePr w:type="band1Horz">
      <w:tblPr/>
      <w:tcPr>
        <w:shd w:color="auto" w:fill="FBCAA2" w:themeFill="accent6" w:themeFillTint="7F" w:val="clear"/>
      </w:tcPr>
    </w:tblStyle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7" Type="http://schemas.openxmlformats.org/officeDocument/2006/relationships/footnotes" Target="footnotes.xml"/><Relationship Id="rId8" Type="http://schemas.openxmlformats.org/officeDocument/2006/relationships/comments" Target="comments.xml"/><Relationship Id="rId102" Type="http://schemas.openxmlformats.org/officeDocument/2006/relationships/hyperlink" Target="https://corpus.quran.com/wordbyword.jsp?chapter=14&amp;verse=32" TargetMode="External"/><Relationship Id="rId27" Type="http://schemas.openxmlformats.org/officeDocument/2006/relationships/hyperlink" Target="https://islamawakened.org/quran/14/32/default.htm" TargetMode="External"/><Relationship Id="rId28" Type="http://schemas.openxmlformats.org/officeDocument/2006/relationships/hyperlink" Target="https://islamawakened.org/quran/14/33/default.htm" TargetMode="External"/><Relationship Id="rId29" Type="http://schemas.openxmlformats.org/officeDocument/2006/relationships/hyperlink" Target="https://islamawakened.org/quran/14/34/default.htm" TargetMode="External"/><Relationship Id="rId30" Type="http://schemas.openxmlformats.org/officeDocument/2006/relationships/hyperlink" Target="https://islamawakened.org/quran/14/35/default.htm" TargetMode="External"/><Relationship Id="rId46" Type="http://schemas.openxmlformats.org/officeDocument/2006/relationships/hyperlink" Target="https://openstax.org/books/university-physics-volume-1/pages/14-4-archimedes-principle-and-buoyancy" TargetMode="External"/><Relationship Id="rId52" Type="http://schemas.openxmlformats.org/officeDocument/2006/relationships/hyperlink" Target="https://physicstoday.aip.org/features/the-physics-of-sailing" TargetMode="External"/><Relationship Id="rId66" Type="http://schemas.openxmlformats.org/officeDocument/2006/relationships/hyperlink" Target="https://plato.stanford.edu/entries/al-ghazali/" TargetMode="External"/><Relationship Id="rId65" Type="http://schemas.openxmlformats.org/officeDocument/2006/relationships/hyperlink" Target="https://plato.stanford.edu/entries/occasionalism/" TargetMode="External"/><Relationship Id="rId81" Type="http://schemas.openxmlformats.org/officeDocument/2006/relationships/hyperlink" Target="https://plato.stanford.edu/entries/qt-issues/index.html" TargetMode="External"/><Relationship Id="rId108" Type="http://schemas.openxmlformats.org/officeDocument/2006/relationships/hyperlink" Target="https://quran-tafsir.net/alrazy/sura14-aya32.html" TargetMode="External"/><Relationship Id="rId109" Type="http://schemas.openxmlformats.org/officeDocument/2006/relationships/hyperlink" Target="https://quran-tafsir.net/alrazy/sura14-aya35.html" TargetMode="External"/><Relationship Id="rId100" Type="http://schemas.openxmlformats.org/officeDocument/2006/relationships/hyperlink" Target="https://quran.com/adh-dhariyat/41" TargetMode="External"/><Relationship Id="rId97" Type="http://schemas.openxmlformats.org/officeDocument/2006/relationships/hyperlink" Target="https://quran.com/al-araf/57" TargetMode="External"/><Relationship Id="rId96" Type="http://schemas.openxmlformats.org/officeDocument/2006/relationships/hyperlink" Target="https://quran.com/al-baqarah/164" TargetMode="External"/><Relationship Id="rId99" Type="http://schemas.openxmlformats.org/officeDocument/2006/relationships/hyperlink" Target="https://quran.com/al-hijr/22" TargetMode="External"/><Relationship Id="rId101" Type="http://schemas.openxmlformats.org/officeDocument/2006/relationships/hyperlink" Target="https://quran.com/al-qamar/19" TargetMode="External"/><Relationship Id="rId57" Type="http://schemas.openxmlformats.org/officeDocument/2006/relationships/hyperlink" Target="https://quran.com/ash-shuraa/32-34" TargetMode="External"/><Relationship Id="rId26" Type="http://schemas.openxmlformats.org/officeDocument/2006/relationships/hyperlink" Target="https://quran.com/ibrahim/32-35" TargetMode="External"/><Relationship Id="rId107" Type="http://schemas.openxmlformats.org/officeDocument/2006/relationships/hyperlink" Target="https://quran.com/ibrahim/32/tafsirs/ar-tafseer-al-qurtubi" TargetMode="External"/><Relationship Id="rId98" Type="http://schemas.openxmlformats.org/officeDocument/2006/relationships/hyperlink" Target="https://quran.com/yunus/22" TargetMode="External"/><Relationship Id="rId117" Type="http://schemas.openxmlformats.org/officeDocument/2006/relationships/hyperlink" Target="https://scied.ucar.edu/learning-zone/storms/monsoons" TargetMode="External"/><Relationship Id="rId39" Type="http://schemas.openxmlformats.org/officeDocument/2006/relationships/hyperlink" Target="https://science.nasa.gov/earth/earth-observatory/the-water-cycle/" TargetMode="External"/><Relationship Id="rId105" Type="http://schemas.openxmlformats.org/officeDocument/2006/relationships/hyperlink" Target="https://tafseerquran.com/en/tafsir/14/34" TargetMode="External"/><Relationship Id="rId106" Type="http://schemas.openxmlformats.org/officeDocument/2006/relationships/hyperlink" Target="https://tafseerquran.com/en/tafsir/14/35" TargetMode="External"/><Relationship Id="rId75" Type="http://schemas.openxmlformats.org/officeDocument/2006/relationships/hyperlink" Target="https://thequran.love/2025/08/08/al-ghazalis-occasionalism-and-laws-of-nature/" TargetMode="External"/><Relationship Id="rId120" Type="http://schemas.openxmlformats.org/officeDocument/2006/relationships/hyperlink" Target="https://thequran.love/2025/09/10/gods-control-human-choice-and-the-fabric-of-reality/" TargetMode="External"/><Relationship Id="rId54" Type="http://schemas.openxmlformats.org/officeDocument/2006/relationships/hyperlink" Target="https://thequran.love/2026/01/15/the-breath-of-the-divine-a-thematic-and-scientific-analysis-of-wind-in-the-quran/" TargetMode="External"/><Relationship Id="rId72" Type="http://schemas.openxmlformats.org/officeDocument/2006/relationships/hyperlink" Target="https://thequran.love/2026/06/10/dr-zia-h-shahs-occasionalism-a-comprehensive-synthesis/" TargetMode="External"/><Relationship Id="rId77" Type="http://schemas.openxmlformats.org/officeDocument/2006/relationships/hyperlink" Target="https://thequran.love/2026/08/26/the-ever-present-god-al-ghazalis-occasionalism-as-presented-by-zia-h-shah-md-a-defense-of-divine-participation-without-denying-human-free-will/" TargetMode="External"/><Relationship Id="rId71" Type="http://schemas.openxmlformats.org/officeDocument/2006/relationships/hyperlink" Target="https://thequran.love/category/occasionalism/" TargetMode="External"/><Relationship Id="rId103" Type="http://schemas.openxmlformats.org/officeDocument/2006/relationships/hyperlink" Target="https://www.alim.org/quran/tafsir/ibn-kathir/surah/14/32/" TargetMode="External"/><Relationship Id="rId104" Type="http://schemas.openxmlformats.org/officeDocument/2006/relationships/hyperlink" Target="https://www.alim.org/quran/tafsir/ibn-kathir/surah/14/35/" TargetMode="External"/><Relationship Id="rId113" Type="http://schemas.openxmlformats.org/officeDocument/2006/relationships/hyperlink" Target="https://www.britannica.com/science/Archimedes-principle" TargetMode="External"/><Relationship Id="rId42" Type="http://schemas.openxmlformats.org/officeDocument/2006/relationships/hyperlink" Target="https://www.hec.usace.army.mil/confluence/hmsdocs/hmstrm/channel-flow/channel-flow-basic-concepts-equations-and-solution-techniques" TargetMode="External"/><Relationship Id="rId48" Type="http://schemas.openxmlformats.org/officeDocument/2006/relationships/hyperlink" Target="https://www.imo.org/en/ourwork/safety/pages/shipdesignandstability-default.aspx" TargetMode="External"/><Relationship Id="rId110" Type="http://schemas.openxmlformats.org/officeDocument/2006/relationships/hyperlink" Target="https://www.islamicstudies.info/tafheem.php?sura=14&amp;to=34&amp;verse=28" TargetMode="External"/><Relationship Id="rId111" Type="http://schemas.openxmlformats.org/officeDocument/2006/relationships/hyperlink" Target="https://www.islamicstudies.info/tafheem.php?sura=14&amp;to=41&amp;verse=35" TargetMode="External"/><Relationship Id="rId115" Type="http://schemas.openxmlformats.org/officeDocument/2006/relationships/hyperlink" Target="https://www.nesdis.noaa.gov/about/k-12-education/oceans-coasts/what-causes-tides" TargetMode="External"/><Relationship Id="rId61" Type="http://schemas.openxmlformats.org/officeDocument/2006/relationships/hyperlink" Target="https://www.nigms.nih.gov/education/fact-sheets/Pages/circadian-rhythms" TargetMode="External"/><Relationship Id="rId116" Type="http://schemas.openxmlformats.org/officeDocument/2006/relationships/hyperlink" Target="https://www.noaa.gov/jetstream/clouds/how-clouds-form" TargetMode="External"/><Relationship Id="rId119" Type="http://schemas.openxmlformats.org/officeDocument/2006/relationships/hyperlink" Target="https://www.nobelprize.org/prizes/physics/2022/press-release/" TargetMode="External"/><Relationship Id="rId43" Type="http://schemas.openxmlformats.org/officeDocument/2006/relationships/hyperlink" Target="https://www.unep.org/al-mizan-covenant-earth" TargetMode="External"/><Relationship Id="rId41" Type="http://schemas.openxmlformats.org/officeDocument/2006/relationships/hyperlink" Target="https://www.usgs.gov/publications/basic-hydraulic-principles-open-channel-flow" TargetMode="External"/><Relationship Id="rId114" Type="http://schemas.openxmlformats.org/officeDocument/2006/relationships/hyperlink" Target="https://www.usgs.gov/water-science-school/science/surface-runoff-and-water-cycle" TargetMode="External"/><Relationship Id="rId38" Type="http://schemas.openxmlformats.org/officeDocument/2006/relationships/hyperlink" Target="https://www.usgs.gov/water-science-school/water-cycle" TargetMode="External"/><Relationship Id="rId9" Type="http://schemas.openxmlformats.org/officeDocument/2006/relationships/header" Target="header1.xml"/><Relationship Id="rId10" Type="http://schemas.openxmlformats.org/officeDocument/2006/relationships/footer" Target="footer1.xml"/></Relationships>
</file>

<file path=word/_rels/footnotes.xml.rels><?xml version='1.0' encoding='UTF-8' standalone='yes'?>
<Relationships xmlns="http://schemas.openxmlformats.org/package/2006/relationships"><Relationship Id="rId102" Type="http://schemas.openxmlformats.org/officeDocument/2006/relationships/hyperlink" Target="https://corpus.quran.com/wordbyword.jsp?chapter=14&amp;verse=32" TargetMode="External"/><Relationship Id="rId27" Type="http://schemas.openxmlformats.org/officeDocument/2006/relationships/hyperlink" Target="https://islamawakened.org/quran/14/32/default.htm" TargetMode="External"/><Relationship Id="rId28" Type="http://schemas.openxmlformats.org/officeDocument/2006/relationships/hyperlink" Target="https://islamawakened.org/quran/14/33/default.htm" TargetMode="External"/><Relationship Id="rId29" Type="http://schemas.openxmlformats.org/officeDocument/2006/relationships/hyperlink" Target="https://islamawakened.org/quran/14/34/default.htm" TargetMode="External"/><Relationship Id="rId30" Type="http://schemas.openxmlformats.org/officeDocument/2006/relationships/hyperlink" Target="https://islamawakened.org/quran/14/35/default.htm" TargetMode="External"/><Relationship Id="rId46" Type="http://schemas.openxmlformats.org/officeDocument/2006/relationships/hyperlink" Target="https://openstax.org/books/university-physics-volume-1/pages/14-4-archimedes-principle-and-buoyancy" TargetMode="External"/><Relationship Id="rId52" Type="http://schemas.openxmlformats.org/officeDocument/2006/relationships/hyperlink" Target="https://physicstoday.aip.org/features/the-physics-of-sailing" TargetMode="External"/><Relationship Id="rId66" Type="http://schemas.openxmlformats.org/officeDocument/2006/relationships/hyperlink" Target="https://plato.stanford.edu/entries/al-ghazali/" TargetMode="External"/><Relationship Id="rId65" Type="http://schemas.openxmlformats.org/officeDocument/2006/relationships/hyperlink" Target="https://plato.stanford.edu/entries/occasionalism/" TargetMode="External"/><Relationship Id="rId81" Type="http://schemas.openxmlformats.org/officeDocument/2006/relationships/hyperlink" Target="https://plato.stanford.edu/entries/qt-issues/index.html" TargetMode="External"/><Relationship Id="rId108" Type="http://schemas.openxmlformats.org/officeDocument/2006/relationships/hyperlink" Target="https://quran-tafsir.net/alrazy/sura14-aya32.html" TargetMode="External"/><Relationship Id="rId109" Type="http://schemas.openxmlformats.org/officeDocument/2006/relationships/hyperlink" Target="https://quran-tafsir.net/alrazy/sura14-aya35.html" TargetMode="External"/><Relationship Id="rId100" Type="http://schemas.openxmlformats.org/officeDocument/2006/relationships/hyperlink" Target="https://quran.com/adh-dhariyat/41" TargetMode="External"/><Relationship Id="rId97" Type="http://schemas.openxmlformats.org/officeDocument/2006/relationships/hyperlink" Target="https://quran.com/al-araf/57" TargetMode="External"/><Relationship Id="rId96" Type="http://schemas.openxmlformats.org/officeDocument/2006/relationships/hyperlink" Target="https://quran.com/al-baqarah/164" TargetMode="External"/><Relationship Id="rId99" Type="http://schemas.openxmlformats.org/officeDocument/2006/relationships/hyperlink" Target="https://quran.com/al-hijr/22" TargetMode="External"/><Relationship Id="rId101" Type="http://schemas.openxmlformats.org/officeDocument/2006/relationships/hyperlink" Target="https://quran.com/al-qamar/19" TargetMode="External"/><Relationship Id="rId57" Type="http://schemas.openxmlformats.org/officeDocument/2006/relationships/hyperlink" Target="https://quran.com/ash-shuraa/32-34" TargetMode="External"/><Relationship Id="rId26" Type="http://schemas.openxmlformats.org/officeDocument/2006/relationships/hyperlink" Target="https://quran.com/ibrahim/32-35" TargetMode="External"/><Relationship Id="rId107" Type="http://schemas.openxmlformats.org/officeDocument/2006/relationships/hyperlink" Target="https://quran.com/ibrahim/32/tafsirs/ar-tafseer-al-qurtubi" TargetMode="External"/><Relationship Id="rId98" Type="http://schemas.openxmlformats.org/officeDocument/2006/relationships/hyperlink" Target="https://quran.com/yunus/22" TargetMode="External"/><Relationship Id="rId117" Type="http://schemas.openxmlformats.org/officeDocument/2006/relationships/hyperlink" Target="https://scied.ucar.edu/learning-zone/storms/monsoons" TargetMode="External"/><Relationship Id="rId39" Type="http://schemas.openxmlformats.org/officeDocument/2006/relationships/hyperlink" Target="https://science.nasa.gov/earth/earth-observatory/the-water-cycle/" TargetMode="External"/><Relationship Id="rId105" Type="http://schemas.openxmlformats.org/officeDocument/2006/relationships/hyperlink" Target="https://tafseerquran.com/en/tafsir/14/34" TargetMode="External"/><Relationship Id="rId106" Type="http://schemas.openxmlformats.org/officeDocument/2006/relationships/hyperlink" Target="https://tafseerquran.com/en/tafsir/14/35" TargetMode="External"/><Relationship Id="rId75" Type="http://schemas.openxmlformats.org/officeDocument/2006/relationships/hyperlink" Target="https://thequran.love/2025/08/08/al-ghazalis-occasionalism-and-laws-of-nature/" TargetMode="External"/><Relationship Id="rId120" Type="http://schemas.openxmlformats.org/officeDocument/2006/relationships/hyperlink" Target="https://thequran.love/2025/09/10/gods-control-human-choice-and-the-fabric-of-reality/" TargetMode="External"/><Relationship Id="rId54" Type="http://schemas.openxmlformats.org/officeDocument/2006/relationships/hyperlink" Target="https://thequran.love/2026/01/15/the-breath-of-the-divine-a-thematic-and-scientific-analysis-of-wind-in-the-quran/" TargetMode="External"/><Relationship Id="rId72" Type="http://schemas.openxmlformats.org/officeDocument/2006/relationships/hyperlink" Target="https://thequran.love/2026/06/10/dr-zia-h-shahs-occasionalism-a-comprehensive-synthesis/" TargetMode="External"/><Relationship Id="rId77" Type="http://schemas.openxmlformats.org/officeDocument/2006/relationships/hyperlink" Target="https://thequran.love/2026/08/26/the-ever-present-god-al-ghazalis-occasionalism-as-presented-by-zia-h-shah-md-a-defense-of-divine-participation-without-denying-human-free-will/" TargetMode="External"/><Relationship Id="rId71" Type="http://schemas.openxmlformats.org/officeDocument/2006/relationships/hyperlink" Target="https://thequran.love/category/occasionalism/" TargetMode="External"/><Relationship Id="rId103" Type="http://schemas.openxmlformats.org/officeDocument/2006/relationships/hyperlink" Target="https://www.alim.org/quran/tafsir/ibn-kathir/surah/14/32/" TargetMode="External"/><Relationship Id="rId104" Type="http://schemas.openxmlformats.org/officeDocument/2006/relationships/hyperlink" Target="https://www.alim.org/quran/tafsir/ibn-kathir/surah/14/35/" TargetMode="External"/><Relationship Id="rId113" Type="http://schemas.openxmlformats.org/officeDocument/2006/relationships/hyperlink" Target="https://www.britannica.com/science/Archimedes-principle" TargetMode="External"/><Relationship Id="rId42" Type="http://schemas.openxmlformats.org/officeDocument/2006/relationships/hyperlink" Target="https://www.hec.usace.army.mil/confluence/hmsdocs/hmstrm/channel-flow/channel-flow-basic-concepts-equations-and-solution-techniques" TargetMode="External"/><Relationship Id="rId48" Type="http://schemas.openxmlformats.org/officeDocument/2006/relationships/hyperlink" Target="https://www.imo.org/en/ourwork/safety/pages/shipdesignandstability-default.aspx" TargetMode="External"/><Relationship Id="rId110" Type="http://schemas.openxmlformats.org/officeDocument/2006/relationships/hyperlink" Target="https://www.islamicstudies.info/tafheem.php?sura=14&amp;to=34&amp;verse=28" TargetMode="External"/><Relationship Id="rId111" Type="http://schemas.openxmlformats.org/officeDocument/2006/relationships/hyperlink" Target="https://www.islamicstudies.info/tafheem.php?sura=14&amp;to=41&amp;verse=35" TargetMode="External"/><Relationship Id="rId115" Type="http://schemas.openxmlformats.org/officeDocument/2006/relationships/hyperlink" Target="https://www.nesdis.noaa.gov/about/k-12-education/oceans-coasts/what-causes-tides" TargetMode="External"/><Relationship Id="rId61" Type="http://schemas.openxmlformats.org/officeDocument/2006/relationships/hyperlink" Target="https://www.nigms.nih.gov/education/fact-sheets/Pages/circadian-rhythms" TargetMode="External"/><Relationship Id="rId116" Type="http://schemas.openxmlformats.org/officeDocument/2006/relationships/hyperlink" Target="https://www.noaa.gov/jetstream/clouds/how-clouds-form" TargetMode="External"/><Relationship Id="rId119" Type="http://schemas.openxmlformats.org/officeDocument/2006/relationships/hyperlink" Target="https://www.nobelprize.org/prizes/physics/2022/press-release/" TargetMode="External"/><Relationship Id="rId43" Type="http://schemas.openxmlformats.org/officeDocument/2006/relationships/hyperlink" Target="https://www.unep.org/al-mizan-covenant-earth" TargetMode="External"/><Relationship Id="rId41" Type="http://schemas.openxmlformats.org/officeDocument/2006/relationships/hyperlink" Target="https://www.usgs.gov/publications/basic-hydraulic-principles-open-channel-flow" TargetMode="External"/><Relationship Id="rId114" Type="http://schemas.openxmlformats.org/officeDocument/2006/relationships/hyperlink" Target="https://www.usgs.gov/water-science-school/science/surface-runoff-and-water-cycle" TargetMode="External"/><Relationship Id="rId38" Type="http://schemas.openxmlformats.org/officeDocument/2006/relationships/hyperlink" Target="https://www.usgs.gov/water-science-school/water-cycl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Rivers Under Command, Ships Upon the Sea</dc:title>
  <dc:creator>OpenAI Deep Research</dc:creator>
  <dc:language>en-US</dc:language>
  <cp:keywords>Quran 14:32-35, Archimedes, buoyancy, ships, wind, rivers, occasionalism, al-Ghazali, Zia H. Shah</cp:keywords>
  <dcterms:created xsi:type="dcterms:W3CDTF">2026-08-29T11:49:12Z</dcterms:created>
  <dcterms:modified xsi:type="dcterms:W3CDTF">2026-08-29T11:49:12Z</dcterms:modified>
  <dc:subject>Scientific, philosophical, and theological commentary on Qur’an 14:32–35</dc:subject>
</cp:coreProperties>
</file>

<file path=docProps/custom.xml><?xml version="1.0" encoding="utf-8"?>
<Properties xmlns="http://schemas.openxmlformats.org/officeDocument/2006/custom-properties" xmlns:vt="http://schemas.openxmlformats.org/officeDocument/2006/docPropsVTypes"/>
</file>