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p>
    <w:p>
      <w:pPr>
        <w:spacing w:after="280"/>
      </w:pPr>
    </w:p>
    <w:p>
      <w:pPr>
        <w:spacing w:after="280"/>
      </w:pPr>
    </w:p>
    <w:p>
      <w:pPr>
        <w:spacing w:after="280"/>
      </w:pPr>
    </w:p>
    <w:p>
      <w:pPr>
        <w:spacing w:after="400"/>
        <w:jc w:val="center"/>
      </w:pPr>
      <w:r>
        <w:rPr>
          <w:rFonts w:ascii="Calibri" w:hAnsi="Calibri" w:eastAsia="Calibri" w:cs="Calibri"/>
          <w:b/>
          <w:color w:val="A47B21"/>
          <w:sz w:val="20"/>
        </w:rPr>
        <w:t>DEEP RESEARCH COMMENTARY</w:t>
      </w:r>
    </w:p>
    <w:p>
      <w:pPr>
        <w:pStyle w:val="Title"/>
      </w:pPr>
      <w:r>
        <w:t>Cosmic Reckoning</w:t>
      </w:r>
    </w:p>
    <w:p>
      <w:pPr>
        <w:pStyle w:val="Subtitle"/>
      </w:pPr>
      <w:r>
        <w:t>The Sun, the Moon, Calendars, and the Qur’anic Theology of Knowledge</w:t>
      </w:r>
    </w:p>
    <w:p>
      <w:pPr>
        <w:spacing w:after="520"/>
        <w:ind w:left="1656" w:right="1656"/>
        <w:jc w:val="center"/>
        <w:pBdr>
          <w:bottom w:val="single" w:sz="10" w:space="2" w:color="A47B21"/>
        </w:pBdr>
      </w:pPr>
    </w:p>
    <w:p>
      <w:pPr>
        <w:spacing w:after="360"/>
        <w:jc w:val="center"/>
      </w:pPr>
      <w:r>
        <w:rPr>
          <w:rFonts w:ascii="Calibri" w:hAnsi="Calibri" w:eastAsia="Calibri" w:cs="Calibri"/>
          <w:b/>
          <w:color w:val="1F4D78"/>
          <w:sz w:val="24"/>
        </w:rPr>
        <w:t>QUR’AN 55:5  ·  10:5  ·  17:12</w:t>
      </w:r>
    </w:p>
    <w:p>
      <w:pPr>
        <w:spacing w:line="300" w:lineRule="auto" w:after="960"/>
        <w:ind w:left="648" w:right="648"/>
        <w:jc w:val="center"/>
      </w:pPr>
      <w:r>
        <w:rPr>
          <w:rFonts w:ascii="Calibri" w:hAnsi="Calibri" w:eastAsia="Calibri" w:cs="Calibri"/>
          <w:i/>
          <w:color w:val="203748"/>
          <w:sz w:val="24"/>
        </w:rPr>
        <w:t>A scientific, historical, philosophical, and theological commentary</w:t>
      </w:r>
    </w:p>
    <w:p>
      <w:pPr>
        <w:spacing w:after="100"/>
        <w:jc w:val="center"/>
      </w:pPr>
      <w:r>
        <w:rPr>
          <w:rFonts w:ascii="Calibri" w:hAnsi="Calibri" w:eastAsia="Calibri" w:cs="Calibri"/>
          <w:color w:val="65737E"/>
          <w:sz w:val="20"/>
        </w:rPr>
        <w:t>Prepared for scholarly and general readers</w:t>
      </w:r>
    </w:p>
    <w:p>
      <w:pPr>
        <w:jc w:val="center"/>
      </w:pPr>
      <w:r>
        <w:rPr>
          <w:rFonts w:ascii="Calibri" w:hAnsi="Calibri" w:eastAsia="Calibri" w:cs="Calibri"/>
          <w:b/>
          <w:color w:val="65737E"/>
          <w:sz w:val="20"/>
        </w:rPr>
        <w:t>28 August 2026</w:t>
      </w:r>
    </w:p>
    <w:p>
      <w:r>
        <w:br w:type="page"/>
      </w:r>
    </w:p>
    <w:p>
      <w:pPr>
        <w:pStyle w:val="Heading1"/>
        <w:keepNext/>
      </w:pPr>
      <w:r>
        <w:t>Abstract</w:t>
      </w:r>
    </w:p>
    <w:p>
      <w:r>
        <w:rPr>
          <w:rFonts w:ascii="Calibri" w:hAnsi="Calibri" w:eastAsia="Calibri" w:cs="Calibri"/>
          <w:sz w:val="22"/>
        </w:rPr>
        <w:t xml:space="preserve">Three Qur’anic passages connect the most visible rhythms of the sky with calculation, chronology, livelihood, knowledge, and divine purpose. Qur’an 55:5 declares, with lapidary economy, that “the sun and the moon” operate </w:t>
      </w:r>
      <w:r>
        <w:rPr>
          <w:rFonts w:ascii="Calibri" w:hAnsi="Calibri" w:eastAsia="Calibri" w:cs="Calibri"/>
          <w:i/>
          <w:sz w:val="22"/>
        </w:rPr>
        <w:t>bi-ḥusbān</w:t>
      </w:r>
      <w:r>
        <w:rPr>
          <w:rFonts w:ascii="Calibri" w:hAnsi="Calibri" w:eastAsia="Calibri" w:cs="Calibri"/>
          <w:sz w:val="22"/>
        </w:rPr>
        <w:t>—by reckoning, calculation, or measured determination. Qur’an 10:5 distinguishes the sun’s radiant brilliance from the moon’s light and identifies the moon’s ordered stations as a means of knowing years and calculating time. Qur’an 17:12 presents night and day as signs whose alternation enables economic activity as well as chronological reckoning. Read in their literary settings, these verses unite cosmic order with moral order: the calculability of nature is mercy, a condition of language, agriculture, worship, navigation, science, and civilization; human beings are consequently obliged to measure justly and use knowledge responsibly.</w:t>
      </w:r>
    </w:p>
    <w:p>
      <w:r>
        <w:rPr>
          <w:rFonts w:ascii="Calibri" w:hAnsi="Calibri" w:eastAsia="Calibri" w:cs="Calibri"/>
          <w:sz w:val="22"/>
        </w:rPr>
        <w:t>Historically, Muslim societies made the un-intercalated lunar Hijri calendar central to ritual life, while also employing solar and regnal systems for agriculture, taxation, administration, and astronomy. The same civilization produced decisive work in algebra, algorithms, trigonometry, astronomical tables, instrumentation, observational astronomy, geodesy, and calendar science. Its scholars translated and criticized earlier knowledge, added original discoveries, and transmitted a transformed inheritance to Latin Europe. The later relocation of scientific leadership toward Europe was gradual and multi-causal—not a single “torch-passing”—and it does not diminish the cumulative, trans-civilizational character of knowledge.</w:t>
      </w:r>
    </w:p>
    <w:p>
      <w:r>
        <w:rPr>
          <w:rFonts w:ascii="Calibri" w:hAnsi="Calibri" w:eastAsia="Calibri" w:cs="Calibri"/>
          <w:sz w:val="22"/>
        </w:rPr>
        <w:t xml:space="preserve">The Gregorian calendar illustrates that cumulative process. Promulgated by Pope Gregory XIII in 1582 through </w:t>
      </w:r>
      <w:r>
        <w:rPr>
          <w:rFonts w:ascii="Calibri" w:hAnsi="Calibri" w:eastAsia="Calibri" w:cs="Calibri"/>
          <w:i/>
          <w:sz w:val="22"/>
        </w:rPr>
        <w:t>Inter gravissimas</w:t>
      </w:r>
      <w:r>
        <w:rPr>
          <w:rFonts w:ascii="Calibri" w:hAnsi="Calibri" w:eastAsia="Calibri" w:cs="Calibri"/>
          <w:sz w:val="22"/>
        </w:rPr>
        <w:t>, it corrected the Julian drift that had displaced the ecclesiastical equinox used in the computation of Easter. Its underlying reform proposal came principally from the Italian physician and astronomer Aloysius Lilius; Christopher Clavius helped evaluate, explain, and defend it. Today most Muslims, like most of humanity, use a solar civil calendar alongside the lunar religious calendar. That practical plurality accords with Qur’an 13:17: froth passes away, while what benefits people remains. The verse is not an automatic law of historical survival, but it supplies an epistemic ethic—test claims, preserve benefit, and discard vanity.</w:t>
      </w:r>
    </w:p>
    <w:p>
      <w:r>
        <w:rPr>
          <w:rFonts w:ascii="Calibri" w:hAnsi="Calibri" w:eastAsia="Calibri" w:cs="Calibri"/>
          <w:sz w:val="22"/>
        </w:rPr>
        <w:t>Scientifically, modern astronomy explains the sun’s self-luminous radiance, the moon’s reflected light, phases as changing viewing geometry, orbital regularities, and the unavoidable mismatch among day, synodic month, and tropical year. These discoveries do not “prove” revelation, but they amplify the verses’ central affirmation: the cosmos is ordered enough to be investigated and calculated. Philosophically, the passages invite humility about the conventional elements of every calendar and wonder at the natural regularities on which conventions depend. Theologically, they call Muslims to be permanent seekers of every beneficial kind of knowledge, resisting both scientistic reduction and religious dogmatism.</w:t>
      </w:r>
    </w:p>
    <w:p>
      <w:pPr>
        <w:pStyle w:val="Heading1"/>
        <w:keepNext/>
      </w:pPr>
      <w:r>
        <w:t>Executive answer</w:t>
      </w:r>
    </w:p>
    <w:p>
      <w:r>
        <w:rPr>
          <w:rFonts w:ascii="Calibri" w:hAnsi="Calibri" w:eastAsia="Calibri" w:cs="Calibri"/>
          <w:sz w:val="22"/>
        </w:rPr>
        <w:t>The three verses advance one integrated vision. Nature is neither divine nor meaningless; it is a field of signs. Its recurring motions are stable enough to count, yet no calendar is simply “given” by nature, because days, lunar months, and solar years do not divide evenly into one another. Human beings must therefore observe, calculate, choose conventions, revise them, and coordinate society. The Hijri calendar answers a religious purpose with unusual universality: Ramadan and the Hajj circulate through the seasons, and crescent sighting keeps sacred time tied to a visible celestial sign. A solar civil calendar answers different needs: agriculture, taxation, schooling, contracts, seasons, and international coordination. Treating either instrument as the only legitimate measure for every task confuses fidelity with inflexibility.</w:t>
      </w:r>
    </w:p>
    <w:p>
      <w:r>
        <w:rPr>
          <w:rFonts w:ascii="Calibri" w:hAnsi="Calibri" w:eastAsia="Calibri" w:cs="Calibri"/>
          <w:sz w:val="22"/>
        </w:rPr>
        <w:t>The historical lesson is equally clear. Muslim scholars did not possess a monopoly on knowledge, and Europe did not create science ex nihilo. Mathematics and astronomy grew through Egyptian, Mesopotamian, Greek, Indian, Persian, Muslim, Jewish, Latin Christian, East Asian, and modern global contributions. Baghdad was a major center, not the sole “Mecca of knowledge”; Cairo, Damascus, Maragha, Samarqand, Córdoba, Toledo, Padua, Paris, Kraków, and many other sites mattered at different times. The center of scientific power eventually shifted toward Europe, but ideas kept traveling in both directions. The morally serious response is neither triumphalism nor civilizational self-contempt. It is gratitude, critical memory, and renewed participation.</w:t>
      </w:r>
    </w:p>
    <w:p>
      <w:pPr>
        <w:spacing w:before="160" w:after="240" w:line="300" w:lineRule="auto"/>
        <w:ind w:left="360" w:right="360"/>
        <w:shd w:fill="F4F6F9"/>
      </w:pPr>
      <w:r>
        <w:rPr>
          <w:rFonts w:ascii="Calibri" w:hAnsi="Calibri" w:eastAsia="Calibri" w:cs="Calibri"/>
          <w:b/>
          <w:color w:val="A47B21"/>
          <w:sz w:val="19"/>
        </w:rPr>
        <w:t xml:space="preserve">CENTRAL THESIS  </w:t>
      </w:r>
      <w:r>
        <w:rPr>
          <w:rFonts w:ascii="Calibri" w:hAnsi="Calibri" w:eastAsia="Calibri" w:cs="Calibri"/>
          <w:color w:val="203748"/>
          <w:sz w:val="21"/>
        </w:rPr>
        <w:t>Nature supplies recurring motions; people turn them into calendars. The Qur’anic calling is to observe faithfully, calculate honestly, preserve sacred time, and adopt whatever truthful knowledge serves human flourishing.</w:t>
      </w:r>
    </w:p>
    <w:p>
      <w:r>
        <w:br w:type="page"/>
      </w:r>
    </w:p>
    <w:p>
      <w:pPr>
        <w:pStyle w:val="Heading1"/>
        <w:keepNext/>
      </w:pPr>
      <w:r>
        <w:t>Contents</w:t>
      </w:r>
    </w:p>
    <w:p>
      <w:pPr>
        <w:numPr>
          <w:ilvl w:val="0"/>
          <w:numId w:val="11"/>
        </w:numPr>
      </w:pPr>
      <w:r>
        <w:rPr>
          <w:rFonts w:ascii="Calibri" w:hAnsi="Calibri" w:eastAsia="Calibri" w:cs="Calibri"/>
          <w:color w:val="203748"/>
          <w:sz w:val="21"/>
        </w:rPr>
        <w:t>1. The Qur’anic texts</w:t>
      </w:r>
    </w:p>
    <w:p>
      <w:pPr>
        <w:numPr>
          <w:ilvl w:val="0"/>
          <w:numId w:val="11"/>
        </w:numPr>
      </w:pPr>
      <w:r>
        <w:rPr>
          <w:rFonts w:ascii="Calibri" w:hAnsi="Calibri" w:eastAsia="Calibri" w:cs="Calibri"/>
          <w:color w:val="203748"/>
          <w:sz w:val="21"/>
        </w:rPr>
        <w:t>2. Historical commentary: from lunar sacred time to plural calendars</w:t>
      </w:r>
    </w:p>
    <w:p>
      <w:pPr>
        <w:numPr>
          <w:ilvl w:val="0"/>
          <w:numId w:val="11"/>
        </w:numPr>
      </w:pPr>
      <w:r>
        <w:rPr>
          <w:rFonts w:ascii="Calibri" w:hAnsi="Calibri" w:eastAsia="Calibri" w:cs="Calibri"/>
          <w:color w:val="203748"/>
          <w:sz w:val="21"/>
        </w:rPr>
        <w:t>3. Scientific commentary</w:t>
      </w:r>
    </w:p>
    <w:p>
      <w:pPr>
        <w:numPr>
          <w:ilvl w:val="0"/>
          <w:numId w:val="11"/>
        </w:numPr>
      </w:pPr>
      <w:r>
        <w:rPr>
          <w:rFonts w:ascii="Calibri" w:hAnsi="Calibri" w:eastAsia="Calibri" w:cs="Calibri"/>
          <w:color w:val="203748"/>
          <w:sz w:val="21"/>
        </w:rPr>
        <w:t>4. Philosophical commentary</w:t>
      </w:r>
    </w:p>
    <w:p>
      <w:pPr>
        <w:numPr>
          <w:ilvl w:val="0"/>
          <w:numId w:val="11"/>
        </w:numPr>
      </w:pPr>
      <w:r>
        <w:rPr>
          <w:rFonts w:ascii="Calibri" w:hAnsi="Calibri" w:eastAsia="Calibri" w:cs="Calibri"/>
          <w:color w:val="203748"/>
          <w:sz w:val="21"/>
        </w:rPr>
        <w:t>5. Theological commentary</w:t>
      </w:r>
    </w:p>
    <w:p>
      <w:pPr>
        <w:numPr>
          <w:ilvl w:val="0"/>
          <w:numId w:val="11"/>
        </w:numPr>
      </w:pPr>
      <w:r>
        <w:rPr>
          <w:rFonts w:ascii="Calibri" w:hAnsi="Calibri" w:eastAsia="Calibri" w:cs="Calibri"/>
          <w:color w:val="203748"/>
          <w:sz w:val="21"/>
        </w:rPr>
        <w:t>6. Constructive synthesis</w:t>
      </w:r>
    </w:p>
    <w:p>
      <w:pPr>
        <w:numPr>
          <w:ilvl w:val="0"/>
          <w:numId w:val="11"/>
        </w:numPr>
      </w:pPr>
      <w:r>
        <w:rPr>
          <w:rFonts w:ascii="Calibri" w:hAnsi="Calibri" w:eastAsia="Calibri" w:cs="Calibri"/>
          <w:color w:val="203748"/>
          <w:sz w:val="21"/>
        </w:rPr>
        <w:t>7. Practical implications</w:t>
      </w:r>
    </w:p>
    <w:p>
      <w:pPr>
        <w:numPr>
          <w:ilvl w:val="0"/>
          <w:numId w:val="11"/>
        </w:numPr>
      </w:pPr>
      <w:r>
        <w:rPr>
          <w:rFonts w:ascii="Calibri" w:hAnsi="Calibri" w:eastAsia="Calibri" w:cs="Calibri"/>
          <w:color w:val="203748"/>
          <w:sz w:val="21"/>
        </w:rPr>
        <w:t>Epilogue: two horizons</w:t>
      </w:r>
    </w:p>
    <w:p>
      <w:pPr>
        <w:numPr>
          <w:ilvl w:val="0"/>
          <w:numId w:val="11"/>
        </w:numPr>
      </w:pPr>
      <w:r>
        <w:rPr>
          <w:rFonts w:ascii="Calibri" w:hAnsi="Calibri" w:eastAsia="Calibri" w:cs="Calibri"/>
          <w:color w:val="203748"/>
          <w:sz w:val="21"/>
        </w:rPr>
        <w:t>Selected sources and further reading</w:t>
      </w:r>
    </w:p>
    <w:p>
      <w:pPr>
        <w:spacing w:before="200" w:after="80"/>
      </w:pPr>
      <w:r>
        <w:rPr>
          <w:rFonts w:ascii="Calibri" w:hAnsi="Calibri" w:eastAsia="Calibri" w:cs="Calibri"/>
          <w:i/>
          <w:color w:val="65737E"/>
          <w:sz w:val="18"/>
        </w:rPr>
        <w:t>Navigation note: Word’s Navigation Pane follows the document’s heading hierarchy.</w:t>
      </w:r>
    </w:p>
    <w:p>
      <w:r>
        <w:br w:type="page"/>
      </w:r>
    </w:p>
    <w:p>
      <w:pPr>
        <w:pStyle w:val="Heading1"/>
        <w:keepNext/>
      </w:pPr>
      <w:r>
        <w:t>1. The Qur’anic texts</w:t>
      </w:r>
    </w:p>
    <w:p>
      <w:pPr>
        <w:pStyle w:val="Heading2"/>
        <w:keepNext/>
      </w:pPr>
      <w:r>
        <w:t>1.1 Qur’an 55:5 — cosmic calculation</w:t>
      </w:r>
    </w:p>
    <w:p>
      <w:pPr>
        <w:spacing w:before="100" w:after="160" w:line="300" w:lineRule="auto"/>
        <w:ind w:left="288" w:right="288"/>
        <w:shd w:fill="F7F8FA"/>
        <w:bidi w:val="1"/>
        <w:jc w:val="center"/>
      </w:pPr>
      <w:r>
        <w:rPr>
          <w:rFonts w:ascii="DejaVu Sans" w:hAnsi="DejaVu Sans" w:eastAsia="DejaVu Sans" w:cs="DejaVu Sans"/>
          <w:b/>
          <w:color w:val="203748"/>
          <w:sz w:val="30"/>
        </w:rPr>
        <w:t>ٱلشَّمْسُ وَٱلْقَمَرُ بِحُسْبَانٍ</w:t>
      </w:r>
    </w:p>
    <w:p>
      <w:r>
        <w:rPr>
          <w:rFonts w:ascii="Calibri" w:hAnsi="Calibri" w:eastAsia="Calibri" w:cs="Calibri"/>
          <w:b/>
          <w:sz w:val="22"/>
        </w:rPr>
        <w:t>Fresh literal rendering:</w:t>
      </w:r>
      <w:r>
        <w:rPr>
          <w:rFonts w:ascii="Calibri" w:hAnsi="Calibri" w:eastAsia="Calibri" w:cs="Calibri"/>
          <w:sz w:val="22"/>
        </w:rPr>
        <w:t xml:space="preserve"> </w:t>
      </w:r>
      <w:r>
        <w:rPr>
          <w:rFonts w:ascii="Calibri" w:hAnsi="Calibri" w:eastAsia="Calibri" w:cs="Calibri"/>
          <w:i/>
          <w:sz w:val="22"/>
        </w:rPr>
        <w:t>The sun and the moon are by reckoning.</w:t>
      </w:r>
    </w:p>
    <w:p>
      <w:r>
        <w:rPr>
          <w:rFonts w:ascii="Calibri" w:hAnsi="Calibri" w:eastAsia="Calibri" w:cs="Calibri"/>
          <w:sz w:val="22"/>
        </w:rPr>
        <w:t xml:space="preserve">The compact Arabic has no expressed verb. The prepositional phrase </w:t>
      </w:r>
      <w:r>
        <w:rPr>
          <w:rFonts w:ascii="Calibri" w:hAnsi="Calibri" w:eastAsia="Calibri" w:cs="Calibri"/>
          <w:i/>
          <w:sz w:val="22"/>
        </w:rPr>
        <w:t>bi-ḥusbān</w:t>
      </w:r>
      <w:r>
        <w:rPr>
          <w:rFonts w:ascii="Calibri" w:hAnsi="Calibri" w:eastAsia="Calibri" w:cs="Calibri"/>
          <w:sz w:val="22"/>
        </w:rPr>
        <w:t xml:space="preserve"> carries the force: the sun and moon are governed, known, or move by computation, exact reckoning, or measured determination. Six influential English versions reveal the semantic range:</w:t>
      </w:r>
    </w:p>
    <w:tbl>
      <w:tblPr>
        <w:tblW w:type="dxa" w:w="9360"/>
        <w:jc w:val="left"/>
        <w:tblLayout w:type="fixed"/>
        <w:tblLook w:firstColumn="1" w:firstRow="1" w:lastColumn="0" w:lastRow="0" w:noHBand="0" w:noVBand="1" w:val="04A0"/>
        <w:tblInd w:w="120" w:type="dxa"/>
        <w:tblBorders>
          <w:top w:val="single" w:sz="5" w:space="0" w:color="D4DDE4"/>
          <w:left w:val="single" w:sz="5" w:space="0" w:color="D4DDE4"/>
          <w:bottom w:val="single" w:sz="5" w:space="0" w:color="D4DDE4"/>
          <w:right w:val="single" w:sz="5" w:space="0" w:color="D4DDE4"/>
          <w:insideH w:val="single" w:sz="5" w:space="0" w:color="D4DDE4"/>
          <w:insideV w:val="single" w:sz="5" w:space="0" w:color="D4DDE4"/>
        </w:tblBorders>
      </w:tblPr>
      <w:tblGrid>
        <w:gridCol w:w="3000"/>
        <w:gridCol w:w="6360"/>
      </w:tblGrid>
      <w:tr>
        <w:trPr>
          <w:tblHeader w:val="true"/>
        </w:trPr>
        <w:tc>
          <w:tcPr>
            <w:tcW w:type="dxa" w:w="300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Translation</w:t>
            </w:r>
          </w:p>
        </w:tc>
        <w:tc>
          <w:tcPr>
            <w:tcW w:type="dxa" w:w="636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Rendering of Qur’an 55:5</w:t>
            </w:r>
          </w:p>
        </w:tc>
      </w:tr>
      <w:tr>
        <w:tc>
          <w:tcPr>
            <w:tcW w:type="dxa" w:w="30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M. A. S. Abdel Haleem</w:t>
            </w:r>
          </w:p>
        </w:tc>
        <w:tc>
          <w:tcPr>
            <w:tcW w:type="dxa" w:w="636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follow their calculated courses.”</w:t>
            </w:r>
          </w:p>
        </w:tc>
      </w:tr>
      <w:tr>
        <w:tc>
          <w:tcPr>
            <w:tcW w:type="dxa" w:w="30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 xml:space="preserve">Mustafa Khattab, </w:t>
            </w:r>
            <w:r>
              <w:rPr>
                <w:rFonts w:ascii="Calibri" w:hAnsi="Calibri" w:eastAsia="Calibri" w:cs="Calibri"/>
                <w:i/>
                <w:color w:val="273746"/>
                <w:sz w:val="18"/>
              </w:rPr>
              <w:t>The Clear Quran</w:t>
            </w:r>
          </w:p>
        </w:tc>
        <w:tc>
          <w:tcPr>
            <w:tcW w:type="dxa" w:w="636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˹travel˺ with precision.”</w:t>
            </w:r>
          </w:p>
        </w:tc>
      </w:tr>
      <w:tr>
        <w:tc>
          <w:tcPr>
            <w:tcW w:type="dxa" w:w="30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Sahih International</w:t>
            </w:r>
          </w:p>
        </w:tc>
        <w:tc>
          <w:tcPr>
            <w:tcW w:type="dxa" w:w="636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[move] by precise calculation.”</w:t>
            </w:r>
          </w:p>
        </w:tc>
      </w:tr>
      <w:tr>
        <w:tc>
          <w:tcPr>
            <w:tcW w:type="dxa" w:w="30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Marmaduke Pickthall</w:t>
            </w:r>
          </w:p>
        </w:tc>
        <w:tc>
          <w:tcPr>
            <w:tcW w:type="dxa" w:w="636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are made punctual.”</w:t>
            </w:r>
          </w:p>
        </w:tc>
      </w:tr>
      <w:tr>
        <w:tc>
          <w:tcPr>
            <w:tcW w:type="dxa" w:w="30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Abdullah Yusuf Ali</w:t>
            </w:r>
          </w:p>
        </w:tc>
        <w:tc>
          <w:tcPr>
            <w:tcW w:type="dxa" w:w="636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follow courses (exactly) computed.”</w:t>
            </w:r>
          </w:p>
        </w:tc>
      </w:tr>
      <w:tr>
        <w:tc>
          <w:tcPr>
            <w:tcW w:type="dxa" w:w="30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Abul A‘la Maududi</w:t>
            </w:r>
          </w:p>
        </w:tc>
        <w:tc>
          <w:tcPr>
            <w:tcW w:type="dxa" w:w="636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8"/>
              </w:rPr>
              <w:t>“The sun and the moon follow a reckoning.”</w:t>
            </w:r>
          </w:p>
        </w:tc>
      </w:tr>
    </w:tbl>
    <w:p>
      <w:pPr>
        <w:spacing w:before="80" w:after="80"/>
      </w:pPr>
    </w:p>
    <w:p>
      <w:r>
        <w:rPr>
          <w:rFonts w:ascii="Calibri" w:hAnsi="Calibri" w:eastAsia="Calibri" w:cs="Calibri"/>
          <w:sz w:val="22"/>
        </w:rPr>
        <w:t>The root ḥ-s-b encompasses counting, calculating, accounting, and reckoning. Pickthall’s “punctual” stresses dependable recurrence; Haleem and Yusuf Ali emphasize course; Sahih International foregrounds calculability; Maududi stays close to the spare ambiguity of the Arabic. Classical commentary commonly reads the phrase as strict measure and known courses. Yet “precise calculation” should not be reduced to uniform circular motion. Modern orbital precision includes ellipses, variable orbital speed, precession, perturbation, and calculable uncertainty. Order is richer than mechanical sameness.</w:t>
      </w:r>
    </w:p>
    <w:p>
      <w:r>
        <w:rPr>
          <w:rFonts w:ascii="Calibri" w:hAnsi="Calibri" w:eastAsia="Calibri" w:cs="Calibri"/>
          <w:sz w:val="22"/>
        </w:rPr>
        <w:t xml:space="preserve">The verse’s immediate context is decisive. Sūrat al-Raḥmān opens with divine mercy, the teaching of the Qur’an, the creation of the human being, and the gift of articulate expression (55:1–4). It then moves from cosmic calculation (55:5) to the submission of vegetation and stars, the raising of heaven, and the establishment of the </w:t>
      </w:r>
      <w:r>
        <w:rPr>
          <w:rFonts w:ascii="Calibri" w:hAnsi="Calibri" w:eastAsia="Calibri" w:cs="Calibri"/>
          <w:i/>
          <w:sz w:val="22"/>
        </w:rPr>
        <w:t>mīzān</w:t>
      </w:r>
      <w:r>
        <w:rPr>
          <w:rFonts w:ascii="Calibri" w:hAnsi="Calibri" w:eastAsia="Calibri" w:cs="Calibri"/>
          <w:sz w:val="22"/>
        </w:rPr>
        <w:t xml:space="preserve">, the balance (55:6–9). The literary movement is from </w:t>
      </w:r>
      <w:r>
        <w:rPr>
          <w:rFonts w:ascii="Calibri" w:hAnsi="Calibri" w:eastAsia="Calibri" w:cs="Calibri"/>
          <w:b/>
          <w:sz w:val="22"/>
        </w:rPr>
        <w:t>mercy → communication → cosmic measure → ethical measure</w:t>
      </w:r>
      <w:r>
        <w:rPr>
          <w:rFonts w:ascii="Calibri" w:hAnsi="Calibri" w:eastAsia="Calibri" w:cs="Calibri"/>
          <w:sz w:val="22"/>
        </w:rPr>
        <w:t>. The heavens are measured; therefore humans must not transgress in measurement. Astronomy and justice are not identical, but the same theological imagination joins them: intelligibility is a gift, and a gift creates responsibility.</w:t>
      </w:r>
    </w:p>
    <w:p>
      <w:pPr>
        <w:pStyle w:val="Heading2"/>
        <w:keepNext/>
      </w:pPr>
      <w:r>
        <w:t>1.2 Qur’an 10:5 — radiance, phases, and the knowledge of years</w:t>
      </w:r>
    </w:p>
    <w:p>
      <w:pPr>
        <w:spacing w:before="100" w:after="160" w:line="300" w:lineRule="auto"/>
        <w:ind w:left="288" w:right="288"/>
        <w:shd w:fill="F7F8FA"/>
        <w:bidi w:val="1"/>
        <w:jc w:val="center"/>
      </w:pPr>
      <w:r>
        <w:rPr>
          <w:rFonts w:ascii="DejaVu Sans" w:hAnsi="DejaVu Sans" w:eastAsia="DejaVu Sans" w:cs="DejaVu Sans"/>
          <w:b/>
          <w:color w:val="203748"/>
          <w:sz w:val="30"/>
        </w:rPr>
        <w:t>هُوَ ٱلَّذِي جَعَلَ ٱلشَّمْسَ ضِيَآءً وَٱلْقَمَرَ نُورًا وَقَدَّرَهُۥ مَنَازِلَ لِتَعْلَمُوا۟ عَدَدَ ٱلسِّنِينَ وَٱلْحِسَابَ ۚ مَا خَلَقَ ٱللَّهُ ذَٰلِكَ إِلَّا بِٱلْحَقِّ ۚ يُفَصِّلُ ٱلْـَٔايَٰتِ لِقَوْمٍ يَعْلَمُونَ</w:t>
      </w:r>
    </w:p>
    <w:p>
      <w:r>
        <w:rPr>
          <w:rFonts w:ascii="Calibri" w:hAnsi="Calibri" w:eastAsia="Calibri" w:cs="Calibri"/>
          <w:b/>
          <w:sz w:val="22"/>
        </w:rPr>
        <w:t>Fresh literal rendering:</w:t>
      </w:r>
      <w:r>
        <w:rPr>
          <w:rFonts w:ascii="Calibri" w:hAnsi="Calibri" w:eastAsia="Calibri" w:cs="Calibri"/>
          <w:sz w:val="22"/>
        </w:rPr>
        <w:t xml:space="preserve"> </w:t>
      </w:r>
      <w:r>
        <w:rPr>
          <w:rFonts w:ascii="Calibri" w:hAnsi="Calibri" w:eastAsia="Calibri" w:cs="Calibri"/>
          <w:i/>
          <w:sz w:val="22"/>
        </w:rPr>
        <w:t>He is the One who made the sun a blazing radiance and the moon a light, and determined for it stations, so that you may know the number of years and calculation. God did not create this except in truth and for a true purpose. He sets out the signs distinctly for people who know.</w:t>
      </w:r>
    </w:p>
    <w:p>
      <w:r>
        <w:rPr>
          <w:rFonts w:ascii="Calibri" w:hAnsi="Calibri" w:eastAsia="Calibri" w:cs="Calibri"/>
          <w:sz w:val="22"/>
        </w:rPr>
        <w:t>The relevant wording in six translations is compared below. The excerpts isolate the clauses at issue; the linked editions provide their full verses.</w:t>
      </w:r>
    </w:p>
    <w:tbl>
      <w:tblPr>
        <w:tblW w:type="dxa" w:w="9360"/>
        <w:jc w:val="left"/>
        <w:tblLayout w:type="fixed"/>
        <w:tblLook w:firstColumn="1" w:firstRow="1" w:lastColumn="0" w:lastRow="0" w:noHBand="0" w:noVBand="1" w:val="04A0"/>
        <w:tblInd w:w="120" w:type="dxa"/>
        <w:tblBorders>
          <w:top w:val="single" w:sz="5" w:space="0" w:color="D4DDE4"/>
          <w:left w:val="single" w:sz="5" w:space="0" w:color="D4DDE4"/>
          <w:bottom w:val="single" w:sz="5" w:space="0" w:color="D4DDE4"/>
          <w:right w:val="single" w:sz="5" w:space="0" w:color="D4DDE4"/>
          <w:insideH w:val="single" w:sz="5" w:space="0" w:color="D4DDE4"/>
          <w:insideV w:val="single" w:sz="5" w:space="0" w:color="D4DDE4"/>
        </w:tblBorders>
      </w:tblPr>
      <w:tblGrid>
        <w:gridCol w:w="2050"/>
        <w:gridCol w:w="1830"/>
        <w:gridCol w:w="2680"/>
        <w:gridCol w:w="2800"/>
      </w:tblGrid>
      <w:tr>
        <w:trPr>
          <w:tblHeader w:val="true"/>
        </w:trPr>
        <w:tc>
          <w:tcPr>
            <w:tcW w:type="dxa" w:w="205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Translation</w:t>
            </w:r>
          </w:p>
        </w:tc>
        <w:tc>
          <w:tcPr>
            <w:tcW w:type="dxa" w:w="183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55:5</w:t>
            </w:r>
          </w:p>
        </w:tc>
        <w:tc>
          <w:tcPr>
            <w:tcW w:type="dxa" w:w="268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10:5</w:t>
            </w:r>
          </w:p>
        </w:tc>
        <w:tc>
          <w:tcPr>
            <w:tcW w:type="dxa" w:w="280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17:12</w:t>
            </w:r>
          </w:p>
        </w:tc>
      </w:tr>
      <w:tr>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Abdel Haleem</w:t>
            </w:r>
          </w:p>
        </w:tc>
        <w:tc>
          <w:tcPr>
            <w:tcW w:type="dxa" w:w="183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“follow their calculated courses”</w:t>
            </w:r>
          </w:p>
        </w:tc>
        <w:tc>
          <w:tcPr>
            <w:tcW w:type="dxa" w:w="268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“determining phases for it … calculate time”</w:t>
            </w:r>
          </w:p>
        </w:tc>
        <w:tc>
          <w:tcPr>
            <w:tcW w:type="dxa" w:w="28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“count the years and calculate”</w:t>
            </w:r>
          </w:p>
        </w:tc>
      </w:tr>
      <w:tr>
        <w:tc>
          <w:tcPr>
            <w:tcW w:type="dxa" w:w="2050"/>
            <w:vAlign w:val="center"/>
            <w:shd w:fill="FAFBFC"/>
            <w:tcMar>
              <w:top w:w="80" w:type="dxa"/>
              <w:start w:w="120" w:type="dxa"/>
              <w:bottom w:w="80" w:type="dxa"/>
              <w:end w:w="120" w:type="dxa"/>
            </w:tcMar>
          </w:tcPr>
          <w:p>
            <w:pPr>
              <w:spacing w:before="20" w:after="20" w:line="259" w:lineRule="auto"/>
            </w:pPr>
            <w:r>
              <w:rPr>
                <w:rFonts w:ascii="Calibri" w:hAnsi="Calibri" w:eastAsia="Calibri" w:cs="Calibri"/>
                <w:i/>
                <w:color w:val="273746"/>
                <w:sz w:val="17"/>
              </w:rPr>
              <w:t>The Clear Quran</w:t>
            </w:r>
          </w:p>
        </w:tc>
        <w:tc>
          <w:tcPr>
            <w:tcW w:type="dxa" w:w="183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“˹travel˺ with precision”</w:t>
            </w:r>
          </w:p>
        </w:tc>
        <w:tc>
          <w:tcPr>
            <w:tcW w:type="dxa" w:w="268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“precisely ordained phases … calculation ˹of time˺”</w:t>
            </w:r>
          </w:p>
        </w:tc>
        <w:tc>
          <w:tcPr>
            <w:tcW w:type="dxa" w:w="28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“years and calculation ˹of time˺”</w:t>
            </w:r>
          </w:p>
        </w:tc>
      </w:tr>
      <w:tr>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Sahih International</w:t>
            </w:r>
          </w:p>
        </w:tc>
        <w:tc>
          <w:tcPr>
            <w:tcW w:type="dxa" w:w="183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“[move] by precise calculation”</w:t>
            </w:r>
          </w:p>
        </w:tc>
        <w:tc>
          <w:tcPr>
            <w:tcW w:type="dxa" w:w="268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“determined for it phases … account [of time]”</w:t>
            </w:r>
          </w:p>
        </w:tc>
        <w:tc>
          <w:tcPr>
            <w:tcW w:type="dxa" w:w="28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“years and the account”</w:t>
            </w:r>
          </w:p>
        </w:tc>
      </w:tr>
      <w:tr>
        <w:tc>
          <w:tcPr>
            <w:tcW w:type="dxa" w:w="20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Pickthall</w:t>
            </w:r>
          </w:p>
        </w:tc>
        <w:tc>
          <w:tcPr>
            <w:tcW w:type="dxa" w:w="183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“are made punctual”</w:t>
            </w:r>
          </w:p>
        </w:tc>
        <w:tc>
          <w:tcPr>
            <w:tcW w:type="dxa" w:w="268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“measured for her stages … years, and the reckoning”</w:t>
            </w:r>
          </w:p>
        </w:tc>
        <w:tc>
          <w:tcPr>
            <w:tcW w:type="dxa" w:w="28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“computation of the years, and the reckoning”</w:t>
            </w:r>
          </w:p>
        </w:tc>
      </w:tr>
      <w:tr>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Yusuf Ali</w:t>
            </w:r>
          </w:p>
        </w:tc>
        <w:tc>
          <w:tcPr>
            <w:tcW w:type="dxa" w:w="183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“courses (exactly) computed”</w:t>
            </w:r>
          </w:p>
        </w:tc>
        <w:tc>
          <w:tcPr>
            <w:tcW w:type="dxa" w:w="268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“measured out stages … count (of time)”</w:t>
            </w:r>
          </w:p>
        </w:tc>
        <w:tc>
          <w:tcPr>
            <w:tcW w:type="dxa" w:w="280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“number and count of the years”</w:t>
            </w:r>
          </w:p>
        </w:tc>
      </w:tr>
      <w:tr>
        <w:tc>
          <w:tcPr>
            <w:tcW w:type="dxa" w:w="20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Maududi</w:t>
            </w:r>
          </w:p>
        </w:tc>
        <w:tc>
          <w:tcPr>
            <w:tcW w:type="dxa" w:w="183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“follow a reckoning”</w:t>
            </w:r>
          </w:p>
        </w:tc>
        <w:tc>
          <w:tcPr>
            <w:tcW w:type="dxa" w:w="268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“determined the stages … reckoning of time”</w:t>
            </w:r>
          </w:p>
        </w:tc>
        <w:tc>
          <w:tcPr>
            <w:tcW w:type="dxa" w:w="280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“computation of years and numbers”</w:t>
            </w:r>
          </w:p>
        </w:tc>
      </w:tr>
    </w:tbl>
    <w:p>
      <w:pPr>
        <w:spacing w:before="80" w:after="80"/>
      </w:pPr>
    </w:p>
    <w:p>
      <w:r>
        <w:rPr>
          <w:rFonts w:ascii="Calibri" w:hAnsi="Calibri" w:eastAsia="Calibri" w:cs="Calibri"/>
          <w:sz w:val="22"/>
        </w:rPr>
        <w:t xml:space="preserve">The distinction between </w:t>
      </w:r>
      <w:r>
        <w:rPr>
          <w:rFonts w:ascii="Calibri" w:hAnsi="Calibri" w:eastAsia="Calibri" w:cs="Calibri"/>
          <w:i/>
          <w:sz w:val="22"/>
        </w:rPr>
        <w:t>ḍiyāʾ</w:t>
      </w:r>
      <w:r>
        <w:rPr>
          <w:rFonts w:ascii="Calibri" w:hAnsi="Calibri" w:eastAsia="Calibri" w:cs="Calibri"/>
          <w:sz w:val="22"/>
        </w:rPr>
        <w:t xml:space="preserve"> (the sun’s intense radiance) and </w:t>
      </w:r>
      <w:r>
        <w:rPr>
          <w:rFonts w:ascii="Calibri" w:hAnsi="Calibri" w:eastAsia="Calibri" w:cs="Calibri"/>
          <w:i/>
          <w:sz w:val="22"/>
        </w:rPr>
        <w:t>nūr</w:t>
      </w:r>
      <w:r>
        <w:rPr>
          <w:rFonts w:ascii="Calibri" w:hAnsi="Calibri" w:eastAsia="Calibri" w:cs="Calibri"/>
          <w:sz w:val="22"/>
        </w:rPr>
        <w:t xml:space="preserve"> (the moon’s light) is theologically and scientifically evocative. Modern science establishes that the sun generates radiant energy through nuclear fusion, whereas visible moonlight is reflected sunlight. Some classical lexicographers also treated </w:t>
      </w:r>
      <w:r>
        <w:rPr>
          <w:rFonts w:ascii="Calibri" w:hAnsi="Calibri" w:eastAsia="Calibri" w:cs="Calibri"/>
          <w:i/>
          <w:sz w:val="22"/>
        </w:rPr>
        <w:t>ḍiyāʾ</w:t>
      </w:r>
      <w:r>
        <w:rPr>
          <w:rFonts w:ascii="Calibri" w:hAnsi="Calibri" w:eastAsia="Calibri" w:cs="Calibri"/>
          <w:sz w:val="22"/>
        </w:rPr>
        <w:t xml:space="preserve"> as a more intense or self-subsisting luminosity and </w:t>
      </w:r>
      <w:r>
        <w:rPr>
          <w:rFonts w:ascii="Calibri" w:hAnsi="Calibri" w:eastAsia="Calibri" w:cs="Calibri"/>
          <w:i/>
          <w:sz w:val="22"/>
        </w:rPr>
        <w:t>nūr</w:t>
      </w:r>
      <w:r>
        <w:rPr>
          <w:rFonts w:ascii="Calibri" w:hAnsi="Calibri" w:eastAsia="Calibri" w:cs="Calibri"/>
          <w:sz w:val="22"/>
        </w:rPr>
        <w:t xml:space="preserve"> as a more general or derivative light. This makes the wording strikingly consonant with astronomy. It does </w:t>
      </w:r>
      <w:r>
        <w:rPr>
          <w:rFonts w:ascii="Calibri" w:hAnsi="Calibri" w:eastAsia="Calibri" w:cs="Calibri"/>
          <w:b/>
          <w:sz w:val="22"/>
        </w:rPr>
        <w:t>not</w:t>
      </w:r>
      <w:r>
        <w:rPr>
          <w:rFonts w:ascii="Calibri" w:hAnsi="Calibri" w:eastAsia="Calibri" w:cs="Calibri"/>
          <w:sz w:val="22"/>
        </w:rPr>
        <w:t>, by itself, amount to a technical proof that the Arabic lexical pair encodes the physics of reflection. Khattab’s “reflected light” is an interpretive translation; the Arabic says “a light.” Responsible commentary can appreciate the resonance without converting a flexible premodern vocabulary into a laboratory statement.</w:t>
      </w:r>
    </w:p>
    <w:p>
      <w:r>
        <w:rPr>
          <w:rFonts w:ascii="Calibri" w:hAnsi="Calibri" w:eastAsia="Calibri" w:cs="Calibri"/>
          <w:sz w:val="22"/>
        </w:rPr>
        <w:t xml:space="preserve">The singular pronoun in </w:t>
      </w:r>
      <w:r>
        <w:rPr>
          <w:rFonts w:ascii="Calibri" w:hAnsi="Calibri" w:eastAsia="Calibri" w:cs="Calibri"/>
          <w:i/>
          <w:sz w:val="22"/>
        </w:rPr>
        <w:t>qaddarahu manāzil</w:t>
      </w:r>
      <w:r>
        <w:rPr>
          <w:rFonts w:ascii="Calibri" w:hAnsi="Calibri" w:eastAsia="Calibri" w:cs="Calibri"/>
          <w:sz w:val="22"/>
        </w:rPr>
        <w:t xml:space="preserve"> most naturally refers to the moon: God “determined for it stations.” The </w:t>
      </w:r>
      <w:r>
        <w:rPr>
          <w:rFonts w:ascii="Calibri" w:hAnsi="Calibri" w:eastAsia="Calibri" w:cs="Calibri"/>
          <w:i/>
          <w:sz w:val="22"/>
        </w:rPr>
        <w:t>manāzil</w:t>
      </w:r>
      <w:r>
        <w:rPr>
          <w:rFonts w:ascii="Calibri" w:hAnsi="Calibri" w:eastAsia="Calibri" w:cs="Calibri"/>
          <w:sz w:val="22"/>
        </w:rPr>
        <w:t xml:space="preserve"> are the recognizable stages or stations through which the moon appears to pass. Because phase recurs in a synodic cycle of about 29.53 days, the moon is a magnificent public clock. It does not require a palace observatory to notice waxing, fullness, waning, and disappearance. Qur’an 2:189 similarly calls the new moons markers of time for people and for pilgrimage. Lunar visibility democratizes sacred time.</w:t>
      </w:r>
    </w:p>
    <w:p>
      <w:r>
        <w:rPr>
          <w:rFonts w:ascii="Calibri" w:hAnsi="Calibri" w:eastAsia="Calibri" w:cs="Calibri"/>
          <w:sz w:val="22"/>
        </w:rPr>
        <w:t xml:space="preserve">Yet the verse moves from observation to understanding: “that you may know the number of years and the calculation.” Knowledge is not passive gazing. The heavens invite numeracy, prediction, comparison, and record. The closing phrase </w:t>
      </w:r>
      <w:r>
        <w:rPr>
          <w:rFonts w:ascii="Calibri" w:hAnsi="Calibri" w:eastAsia="Calibri" w:cs="Calibri"/>
          <w:i/>
          <w:sz w:val="22"/>
        </w:rPr>
        <w:t>mā khalaqa Allāhu dhālika illā bi-l-ḥaqq</w:t>
      </w:r>
      <w:r>
        <w:rPr>
          <w:rFonts w:ascii="Calibri" w:hAnsi="Calibri" w:eastAsia="Calibri" w:cs="Calibri"/>
          <w:sz w:val="22"/>
        </w:rPr>
        <w:t xml:space="preserve"> adds teleology: creation is not frivolous or false but constituted “in truth” and for a true end. The next clause—God explains the signs “for people who know”—honors cultivated intelligence. The Qur’anic sign does not abolish analysis; it becomes more articulate through it.</w:t>
      </w:r>
    </w:p>
    <w:p>
      <w:pPr>
        <w:pStyle w:val="Heading2"/>
        <w:keepNext/>
      </w:pPr>
      <w:r>
        <w:t>1.3 Qur’an 17:12 — night, day, livelihood, and account</w:t>
      </w:r>
    </w:p>
    <w:p>
      <w:pPr>
        <w:spacing w:before="100" w:after="160" w:line="300" w:lineRule="auto"/>
        <w:ind w:left="288" w:right="288"/>
        <w:shd w:fill="F7F8FA"/>
        <w:bidi w:val="1"/>
        <w:jc w:val="center"/>
      </w:pPr>
      <w:r>
        <w:rPr>
          <w:rFonts w:ascii="DejaVu Sans" w:hAnsi="DejaVu Sans" w:eastAsia="DejaVu Sans" w:cs="DejaVu Sans"/>
          <w:b/>
          <w:color w:val="203748"/>
          <w:sz w:val="30"/>
        </w:rPr>
        <w:t>وَجَعَلْنَا ٱلَّيْلَ وَٱلنَّهَارَ ءَايَتَيْنِ ۖ فَمَحَوْنَآ ءَايَةَ ٱلَّيْلِ وَجَعَلْنَآ ءَايَةَ ٱلنَّهَارِ مُبْصِرَةً لِّتَبْتَغُوا۟ فَضْلًا مِّن رَّبِّكُمْ وَلِتَعْلَمُوا۟ عَدَدَ ٱلسِّنِينَ وَٱلْحِسَابَ ۚ وَكُلَّ شَىْءٍ فَصَّلْنَٰهُ تَفْصِيلًا</w:t>
      </w:r>
    </w:p>
    <w:p>
      <w:r>
        <w:rPr>
          <w:rFonts w:ascii="Calibri" w:hAnsi="Calibri" w:eastAsia="Calibri" w:cs="Calibri"/>
          <w:b/>
          <w:sz w:val="22"/>
        </w:rPr>
        <w:t>Fresh literal rendering:</w:t>
      </w:r>
      <w:r>
        <w:rPr>
          <w:rFonts w:ascii="Calibri" w:hAnsi="Calibri" w:eastAsia="Calibri" w:cs="Calibri"/>
          <w:sz w:val="22"/>
        </w:rPr>
        <w:t xml:space="preserve"> </w:t>
      </w:r>
      <w:r>
        <w:rPr>
          <w:rFonts w:ascii="Calibri" w:hAnsi="Calibri" w:eastAsia="Calibri" w:cs="Calibri"/>
          <w:i/>
          <w:sz w:val="22"/>
        </w:rPr>
        <w:t>We made the night and the day two signs. Then We made the sign of night dim and the sign of day enabling sight, so that you might seek bounty from your Lord and know the number of years and the account. We have set everything out with clear differentiation.</w:t>
      </w:r>
    </w:p>
    <w:p>
      <w:r>
        <w:rPr>
          <w:rFonts w:ascii="Calibri" w:hAnsi="Calibri" w:eastAsia="Calibri" w:cs="Calibri"/>
          <w:sz w:val="22"/>
        </w:rPr>
        <w:t>Commentators differ on whether the two “signs” are night and day as phenomena or, more specifically, the moon and sun associated with them. The verse need not be forced into a cosmogonic story in which the moon once physically shone like the sun and was later erased. Its plain phenomenological point is strong: night is comparatively obscured; daylight discloses the visible field. Their regular alternation structures rest and work, worship and travel, contracts and deadlines.</w:t>
      </w:r>
    </w:p>
    <w:p>
      <w:r>
        <w:rPr>
          <w:rFonts w:ascii="Calibri" w:hAnsi="Calibri" w:eastAsia="Calibri" w:cs="Calibri"/>
          <w:sz w:val="22"/>
        </w:rPr>
        <w:t>The verse makes a remarkable pairing: daylight enables people to “seek bounty” through labor and exchange, while the two signs enable them to count years. Chronology is economic infrastructure. Harvests, wages, rents, debts, shipping, schools, public finance, and scientific observations all depend on shared time. The sacred sign is therefore not a retreat from ordinary life. Correct reckoning supports human flourishing.</w:t>
      </w:r>
    </w:p>
    <w:p>
      <w:r>
        <w:rPr>
          <w:rFonts w:ascii="Calibri" w:hAnsi="Calibri" w:eastAsia="Calibri" w:cs="Calibri"/>
          <w:sz w:val="22"/>
        </w:rPr>
        <w:t xml:space="preserve">The following verses deepen the moral register. Qur’an 17:13–14 speaks of every person’s record and commands, “Read your record.” The proximity of chronological </w:t>
      </w:r>
      <w:r>
        <w:rPr>
          <w:rFonts w:ascii="Calibri" w:hAnsi="Calibri" w:eastAsia="Calibri" w:cs="Calibri"/>
          <w:i/>
          <w:sz w:val="22"/>
        </w:rPr>
        <w:t>ḥisāb</w:t>
      </w:r>
      <w:r>
        <w:rPr>
          <w:rFonts w:ascii="Calibri" w:hAnsi="Calibri" w:eastAsia="Calibri" w:cs="Calibri"/>
          <w:sz w:val="22"/>
        </w:rPr>
        <w:t xml:space="preserve"> to moral accounting does not turn astronomy into eschatology, but it creates a powerful thematic bridge: the creature who learns to count days is also a creature accountable for how those days are used.</w:t>
      </w:r>
    </w:p>
    <w:p>
      <w:pPr>
        <w:pStyle w:val="Heading1"/>
        <w:keepNext/>
      </w:pPr>
      <w:r>
        <w:t>2. Historical commentary: from lunar sacred time to plural calendars</w:t>
      </w:r>
    </w:p>
    <w:p>
      <w:pPr>
        <w:pStyle w:val="Heading2"/>
        <w:keepNext/>
      </w:pPr>
      <w:r>
        <w:t>2.1 Lunar calendars in Muslim societies</w:t>
      </w:r>
    </w:p>
    <w:p>
      <w:r>
        <w:rPr>
          <w:rFonts w:ascii="Calibri" w:hAnsi="Calibri" w:eastAsia="Calibri" w:cs="Calibri"/>
          <w:sz w:val="22"/>
        </w:rPr>
        <w:t>The Islamic calendar is an un-intercalated lunar calendar of twelve months. Its epoch is the Hijra, the Prophet Muhammad’s migration from Mecca to Medina in 622 CE; the calendar’s formal administrative adoption is generally associated with Caliph ʿUmar around 17 AH/638 CE. The choice gave a growing polity a common documentary era while grounding collective memory in a moral migration rather than a monarch’s accession or imperial triumph.</w:t>
      </w:r>
    </w:p>
    <w:p>
      <w:r>
        <w:rPr>
          <w:rFonts w:ascii="Calibri" w:hAnsi="Calibri" w:eastAsia="Calibri" w:cs="Calibri"/>
          <w:sz w:val="22"/>
        </w:rPr>
        <w:t>The average synodic month is about 29.53059 days. Twelve such lunations total about 354.367 days, nearly 10.875 days shorter than the tropical year. Consequently Ramadan, the two Eids, the Hajj season, and the sacred months migrate through the solar seasons, returning to approximately the same season after roughly thirty-three solar years. This circulation is not a defect in the religious calendar. It distributes fasting and pilgrimage across long and short days, heat and cold, and different parts of the inhabited world. It also prevents sacred months from becoming permanently attached to one agricultural season.</w:t>
      </w:r>
    </w:p>
    <w:p>
      <w:r>
        <w:rPr>
          <w:rFonts w:ascii="Calibri" w:hAnsi="Calibri" w:eastAsia="Calibri" w:cs="Calibri"/>
          <w:sz w:val="22"/>
        </w:rPr>
        <w:t>Traditional month-beginnings are tied to the first visible crescent. That practice gives communities a direct relation to sky and horizon, but visibility is affected by conjunction time, elongation, atmospheric clarity, latitude, geography, and the observer. As a result, Muslim jurists and communities have long debated local versus global sighting, eyewitness testimony, and the role of astronomical calculation. The disagreement is not simply “faith versus science.” Both observation and calculation are modes of attending to the same created order; the jurisprudential question is what constitutes the legally operative sign.</w:t>
      </w:r>
    </w:p>
    <w:p>
      <w:r>
        <w:rPr>
          <w:rFonts w:ascii="Calibri" w:hAnsi="Calibri" w:eastAsia="Calibri" w:cs="Calibri"/>
          <w:sz w:val="22"/>
        </w:rPr>
        <w:t>Most importantly, Muslim societies did not historically use the Hijri calendar for every purpose. Religious dates might be lunar while fiscal, agricultural, seasonal, regnal, or astronomical records used solar or hybrid systems. This pluralism was pragmatic because a lunar year drifts through planting and tax seasons. The Jalālī reform under the Seljuk ruler Malik-Shah is an instructive case. In 1074–75 a group of astronomers associated with ʿUmar Khayyam was commissioned to keep the calendar aligned with the vernal equinox. The resulting Persian solar tradition was designed for seasonal exactness. Claims that a single fixed “Jalālī rule” is categorically more accurate than the Gregorian calendar should be treated cautiously, because historical intercalation schemes and later reconstructions differ. The larger point is secure: Muslim astronomers could honor the lunar religious calendar while devising solar reckoning for other needs.</w:t>
      </w:r>
    </w:p>
    <w:p>
      <w:pPr>
        <w:pStyle w:val="Heading2"/>
        <w:keepNext/>
      </w:pPr>
      <w:r>
        <w:t>2.2 Muslim contributions to mathematics and astronomy</w:t>
      </w:r>
    </w:p>
    <w:p>
      <w:r>
        <w:rPr>
          <w:rFonts w:ascii="Calibri" w:hAnsi="Calibri" w:eastAsia="Calibri" w:cs="Calibri"/>
          <w:sz w:val="22"/>
        </w:rPr>
        <w:t>Islamicate astronomy arose from religious, administrative, and intellectual needs, but it cannot be reduced to utility. Prayer times, qibla orientation, fasting, pilgrimage, inheritance, commerce, geography, and calendar construction supplied practical problems. Curiosity about the structure of the cosmos supplied another motive. Under Abbasid patronage, scholars translated Greek, Syriac, Persian, and Sanskrit works into Arabic, criticized them, and created new syntheses. Translation was not passive copying; it was the construction of a research language.</w:t>
      </w:r>
    </w:p>
    <w:p>
      <w:r>
        <w:rPr>
          <w:rFonts w:ascii="Calibri" w:hAnsi="Calibri" w:eastAsia="Calibri" w:cs="Calibri"/>
          <w:sz w:val="22"/>
        </w:rPr>
        <w:t xml:space="preserve">Muḥammad ibn Mūsā al-Khwārizmī, working in ninth-century Baghdad, gave “algorithm” to the world through the Latinized form of his name and “algebra” through the title of his systematic work </w:t>
      </w:r>
      <w:r>
        <w:rPr>
          <w:rFonts w:ascii="Calibri" w:hAnsi="Calibri" w:eastAsia="Calibri" w:cs="Calibri"/>
          <w:i/>
          <w:sz w:val="22"/>
        </w:rPr>
        <w:t>al-jabr wa-l-muqābala</w:t>
      </w:r>
      <w:r>
        <w:rPr>
          <w:rFonts w:ascii="Calibri" w:hAnsi="Calibri" w:eastAsia="Calibri" w:cs="Calibri"/>
          <w:sz w:val="22"/>
        </w:rPr>
        <w:t>. His astronomical tables joined Indian, Persian, and Greek materials. The spread of Hindu–Arabic numerals and positional computation eventually transformed bookkeeping, science, engineering, and everyday calculation far beyond the Muslim world.</w:t>
      </w:r>
    </w:p>
    <w:p>
      <w:r>
        <w:rPr>
          <w:rFonts w:ascii="Calibri" w:hAnsi="Calibri" w:eastAsia="Calibri" w:cs="Calibri"/>
          <w:sz w:val="22"/>
        </w:rPr>
        <w:t>Astronomers improved both observations and mathematical instruments. Al-Battānī refined measurements of the solar year and applied trigonometric methods to astronomy; his Latinized work influenced later European astronomers. Al-Bīrūnī compared calendars and religious chronologies, developed sophisticated geodesy, and used triangulation to estimate the Earth’s radius with remarkable success. Muslim scholars developed sine, tangent, and spherical-trigonometric techniques needed to solve astronomical and geographic problems. Al-Uqlīdisī described pen-and-paper decimal arithmetic; al-Kāshī later calculated π to extraordinary precision and made powerful use of decimal fractions.</w:t>
      </w:r>
    </w:p>
    <w:p>
      <w:r>
        <w:rPr>
          <w:rFonts w:ascii="Calibri" w:hAnsi="Calibri" w:eastAsia="Calibri" w:cs="Calibri"/>
          <w:sz w:val="22"/>
        </w:rPr>
        <w:t xml:space="preserve">The astrolabe, inherited from antiquity and extensively refined in Islamic societies, compressed a model of the sky into a portable analog computer. It could help determine time, celestial altitude, latitude, prayer times, and direction. Observatories and tables extended that program: the Maragha observatory under Naṣīr al-Dīn al-Ṭūsī generated new models and the </w:t>
      </w:r>
      <w:r>
        <w:rPr>
          <w:rFonts w:ascii="Calibri" w:hAnsi="Calibri" w:eastAsia="Calibri" w:cs="Calibri"/>
          <w:i/>
          <w:sz w:val="22"/>
        </w:rPr>
        <w:t>Zīj-i Īlkhānī</w:t>
      </w:r>
      <w:r>
        <w:rPr>
          <w:rFonts w:ascii="Calibri" w:hAnsi="Calibri" w:eastAsia="Calibri" w:cs="Calibri"/>
          <w:sz w:val="22"/>
        </w:rPr>
        <w:t>; the Samarqand school around Ulugh Beg and al-Kāshī produced outstanding observations and calculations.</w:t>
      </w:r>
    </w:p>
    <w:p>
      <w:r>
        <w:rPr>
          <w:rFonts w:ascii="Calibri" w:hAnsi="Calibri" w:eastAsia="Calibri" w:cs="Calibri"/>
          <w:sz w:val="22"/>
        </w:rPr>
        <w:t>Al-Ṭūsī’s geometrical “couple” and the mathematically equivalent planetary models of the Damascene timekeeper Ibn al-Shāṭir later appeared in forms related to Copernican astronomy. Historians debate the exact routes of transmission and should not leap from mathematical similarity to a fully documented chain of borrowing. Still, the comparison decisively refutes the notion that late medieval Islamic astronomy was intellectually inert. Its practitioners were not merely preserving Ptolemy; they were trying to repair his models.</w:t>
      </w:r>
    </w:p>
    <w:p>
      <w:pPr>
        <w:pStyle w:val="Heading2"/>
        <w:keepNext/>
      </w:pPr>
      <w:r>
        <w:t>2.3 No monopoly: how the geography of knowledge changed</w:t>
      </w:r>
    </w:p>
    <w:p>
      <w:r>
        <w:rPr>
          <w:rFonts w:ascii="Calibri" w:hAnsi="Calibri" w:eastAsia="Calibri" w:cs="Calibri"/>
          <w:sz w:val="22"/>
        </w:rPr>
        <w:t>Muslims did not have a monopoly on knowledge, and no civilization ever has. What is sometimes called “Islamic science” was produced by Muslims, Christians, Jews, Sabians, and others working in shared languages and institutions. Its sources were multilingual and its afterlives were global. From the twelfth century onward, translation movements centered in places such as Toledo rendered Arabic scientific and philosophical works into Latin, often through the collaboration of Jewish, Christian, and Muslim intermediaries. European scholars inherited not untouched Greece but Greek, Indian, Persian, and Islamicate knowledge already translated, tested, corrected, and enlarged.</w:t>
      </w:r>
    </w:p>
    <w:p>
      <w:r>
        <w:rPr>
          <w:rFonts w:ascii="Calibri" w:hAnsi="Calibri" w:eastAsia="Calibri" w:cs="Calibri"/>
          <w:sz w:val="22"/>
        </w:rPr>
        <w:t>Over subsequent centuries the principal institutional centers of mathematical natural philosophy and experimental science shifted toward Europe. The metaphor that the “Mecca of knowledge” moved from Baghdad to Europe captures a real change in scientific leadership, but it can mislead if taken as a single event. Baghdad was devastated in 1258, yet important work continued in Cairo, Damascus, Maragha, Istanbul, and Samarqand. Europe’s rise involved universities, print, maritime expansion, state competition, patronage, confessional conflict, colonial extraction, and new experimental and mathematical cultures. The trajectories differed by field and region.</w:t>
      </w:r>
    </w:p>
    <w:p>
      <w:r>
        <w:rPr>
          <w:rFonts w:ascii="Calibri" w:hAnsi="Calibri" w:eastAsia="Calibri" w:cs="Calibri"/>
          <w:sz w:val="22"/>
        </w:rPr>
        <w:t>There are two equal and opposite historical errors. One is Eurocentric amnesia: modern science is imagined as an exclusively European miracle without translation, debt, or cross-cultural traffic. The other is nostalgic apologetics: every modern discovery is claimed in advance for Muslims, as though ancestral glory eliminates present responsibility. A mature Muslim history of science rejects both. Knowledge is a human commons, unevenly cultivated and unjustly distributed, but never the ethnic property of a people.</w:t>
      </w:r>
    </w:p>
    <w:p>
      <w:pPr>
        <w:pStyle w:val="Heading2"/>
        <w:keepNext/>
      </w:pPr>
      <w:r>
        <w:t>2.4 The Gregorian calendar: papal authority and astronomical design</w:t>
      </w:r>
    </w:p>
    <w:p>
      <w:r>
        <w:rPr>
          <w:rFonts w:ascii="Calibri" w:hAnsi="Calibri" w:eastAsia="Calibri" w:cs="Calibri"/>
          <w:sz w:val="22"/>
        </w:rPr>
        <w:t xml:space="preserve">The calendar now used for most civil purposes around the world was promulgated under Pope Gregory XIII. The papal bull </w:t>
      </w:r>
      <w:r>
        <w:rPr>
          <w:rFonts w:ascii="Calibri" w:hAnsi="Calibri" w:eastAsia="Calibri" w:cs="Calibri"/>
          <w:i/>
          <w:sz w:val="22"/>
        </w:rPr>
        <w:t>Inter gravissimas</w:t>
      </w:r>
      <w:r>
        <w:rPr>
          <w:rFonts w:ascii="Calibri" w:hAnsi="Calibri" w:eastAsia="Calibri" w:cs="Calibri"/>
          <w:sz w:val="22"/>
        </w:rPr>
        <w:t>, dated 24 February 1582, authorized the reform. In the first adopting Catholic countries, Thursday 4 October 1582 was followed by Friday 15 October, removing ten accumulated dates while preserving the weekly sequence.</w:t>
      </w:r>
    </w:p>
    <w:p>
      <w:r>
        <w:rPr>
          <w:rFonts w:ascii="Calibri" w:hAnsi="Calibri" w:eastAsia="Calibri" w:cs="Calibri"/>
          <w:sz w:val="22"/>
        </w:rPr>
        <w:t>The problem lay in the Julian calendar’s assumption that the year averaged 365.25 days. The tropical year—the seasonal cycle from equinox to corresponding equinox—is roughly 365.2422 days. The difference is only about eleven minutes per year, but it accumulates to about a day in 128 years. By the sixteenth century, the ecclesiastical date associated with the spring equinox had drifted about ten days from the convention used by the Council of Nicaea. This complicated the computus, the calculation of Easter.</w:t>
      </w:r>
    </w:p>
    <w:p>
      <w:r>
        <w:rPr>
          <w:rFonts w:ascii="Calibri" w:hAnsi="Calibri" w:eastAsia="Calibri" w:cs="Calibri"/>
          <w:sz w:val="22"/>
        </w:rPr>
        <w:t>The Gregorian rule retains leap years divisible by four except century years, which are leap years only when divisible by 400. Thus 1600 and 2000 are leap years, while 1700, 1800, 1900, and 2100 are not. The resulting average year is 365.2425 days—close enough to the tropical year that a one-day seasonal error accumulates only after roughly 3,300 years at the present rate.</w:t>
      </w:r>
    </w:p>
    <w:p>
      <w:r>
        <w:rPr>
          <w:rFonts w:ascii="Calibri" w:hAnsi="Calibri" w:eastAsia="Calibri" w:cs="Calibri"/>
          <w:sz w:val="22"/>
        </w:rPr>
        <w:t>Calling Pope Gregory the calendar’s “creator” obscures the division of labor. Gregory commissioned and authorized the reform, giving it institutional force. The underlying scientific proposal came principally from the Calabrian physician and astronomer Aloysius Lilius (Luigi Lilio), whose brother presented it after Lilius’s death. A papal commission evaluated the proposal. The Jesuit mathematician Christopher Clavius helped refine the implementation and became its great expositor and defender; Ignazio Danti and other experts also contributed. The calendar is thus an alliance of observational astronomy, mathematical design, religious purpose, and political authority.</w:t>
      </w:r>
    </w:p>
    <w:p>
      <w:r>
        <w:rPr>
          <w:rFonts w:ascii="Calibri" w:hAnsi="Calibri" w:eastAsia="Calibri" w:cs="Calibri"/>
          <w:sz w:val="22"/>
        </w:rPr>
        <w:t>Its purpose was explicitly Christian—the correct liturgical dating of Easter in relation to the spring equinox—but its method was public, mathematical, and transferable. Protestant and Orthodox lands did not all adopt it immediately; Britain and its colonies waited until 1752, and other states changed later. Its eventual global civil dominance shows neither that Catholic theology was thereby proven nor that religion is hostile to science. It shows that a useful standard can outgrow the confessional setting of its creation.</w:t>
      </w:r>
    </w:p>
    <w:p>
      <w:pPr>
        <w:pStyle w:val="Heading2"/>
        <w:keepNext/>
      </w:pPr>
      <w:r>
        <w:t>2.5 One society, more than one clock</w:t>
      </w:r>
    </w:p>
    <w:p>
      <w:r>
        <w:rPr>
          <w:rFonts w:ascii="Calibri" w:hAnsi="Calibri" w:eastAsia="Calibri" w:cs="Calibri"/>
          <w:sz w:val="22"/>
        </w:rPr>
        <w:t>Modern Muslims of every theological shade generally inhabit layered time. They use the Hijri calendar for Ramadan, Hajj, Eids, mourning anniversaries, and other religious observances, while using the Gregorian calendar for passports, medicine, education, science, trade, aviation, contracts, and international coordination. Iran uses a solar Hijri civil calendar; other states preserve additional national conventions. Saudi Arabia’s 2016 change to Gregorian reckoning for public-sector pay illustrates the practical pressure toward a solar administrative year, even in a society where the lunar calendar remains religiously central.</w:t>
      </w:r>
    </w:p>
    <w:p>
      <w:r>
        <w:rPr>
          <w:rFonts w:ascii="Calibri" w:hAnsi="Calibri" w:eastAsia="Calibri" w:cs="Calibri"/>
          <w:sz w:val="22"/>
        </w:rPr>
        <w:t>Calling the lunar calendar “Islamic” is entirely appropriate when one means the canonical religious calendar. The problem arises when “Islamic” is made to mean “the only legitimate calendar for every human task.” Such exclusivism is historically inaccurate and theologically unnecessary. A calendar is an instrument that maps natural cycles into a social coordinate system. Different instruments can answer different questions. A compass does not become impious because a sextant is useful; a lunar ritual calendar does not become less sacred because a solar calendar better tracks seasons.</w:t>
      </w:r>
    </w:p>
    <w:p>
      <w:pPr>
        <w:pStyle w:val="Heading1"/>
        <w:keepNext/>
      </w:pPr>
      <w:r>
        <w:t>3. Scientific commentary</w:t>
      </w:r>
    </w:p>
    <w:p>
      <w:pPr>
        <w:pStyle w:val="Heading2"/>
        <w:keepNext/>
      </w:pPr>
      <w:r>
        <w:t>3.1 What exactly is being calculated?</w:t>
      </w:r>
    </w:p>
    <w:p>
      <w:r>
        <w:rPr>
          <w:rFonts w:ascii="Calibri" w:hAnsi="Calibri" w:eastAsia="Calibri" w:cs="Calibri"/>
          <w:sz w:val="22"/>
        </w:rPr>
        <w:t>Modern astronomy reveals a hierarchy of regular motions. Earth rotates, producing the dominant cycle of day and night. Earth orbits the sun, generating the seasonal year in combination with axial tilt. The moon orbits Earth while the Earth–moon system orbits the sun. Newtonian gravitation and later relativistic corrections make these motions calculable with extraordinary precision. Kepler’s laws describe elliptical orbits, equal areas swept in equal times, and the relationship between orbital size and period.</w:t>
      </w:r>
    </w:p>
    <w:p>
      <w:r>
        <w:rPr>
          <w:rFonts w:ascii="Calibri" w:hAnsi="Calibri" w:eastAsia="Calibri" w:cs="Calibri"/>
          <w:sz w:val="22"/>
        </w:rPr>
        <w:t xml:space="preserve">The phrase </w:t>
      </w:r>
      <w:r>
        <w:rPr>
          <w:rFonts w:ascii="Calibri" w:hAnsi="Calibri" w:eastAsia="Calibri" w:cs="Calibri"/>
          <w:i/>
          <w:sz w:val="22"/>
        </w:rPr>
        <w:t>bi-ḥusbān</w:t>
      </w:r>
      <w:r>
        <w:rPr>
          <w:rFonts w:ascii="Calibri" w:hAnsi="Calibri" w:eastAsia="Calibri" w:cs="Calibri"/>
          <w:sz w:val="22"/>
        </w:rPr>
        <w:t xml:space="preserve"> is therefore resonant not because celestial motion is simple, but because its complexity is mathematically tractable. The moon’s orbit is perturbed by the sun; Earth’s axis precesses; tidal interactions slowly change rotation; the tropical year itself is not absolutely constant. Precision means reliable model-based prediction with stated frames and uncertainties. It does not mean that nature must conform to a perfectly repeating clockwork abstraction.</w:t>
      </w:r>
    </w:p>
    <w:p>
      <w:pPr>
        <w:pStyle w:val="Heading2"/>
        <w:keepNext/>
      </w:pPr>
      <w:r>
        <w:t>3.2 Sunlight, moonlight, and phases</w:t>
      </w:r>
    </w:p>
    <w:p>
      <w:r>
        <w:rPr>
          <w:rFonts w:ascii="Calibri" w:hAnsi="Calibri" w:eastAsia="Calibri" w:cs="Calibri"/>
          <w:sz w:val="22"/>
        </w:rPr>
        <w:t>The sun is a star. Nuclear fusion in its core converts hydrogen into helium and releases energy, which eventually emerges as electromagnetic radiation and drives most surface ecosystems on Earth. The moon produces no comparable visible light of its own. Sunlight illuminates one half of the moon at every moment; lunar phases occur because observers on Earth see changing fractions of that illuminated hemisphere as the geometry of sun, Earth, and moon changes.</w:t>
      </w:r>
    </w:p>
    <w:p>
      <w:r>
        <w:rPr>
          <w:rFonts w:ascii="Calibri" w:hAnsi="Calibri" w:eastAsia="Calibri" w:cs="Calibri"/>
          <w:sz w:val="22"/>
        </w:rPr>
        <w:t>The moon completes an orbit relative to the background stars in about 27.322 days, but the phase cycle takes about 29.5 days because Earth has moved along its own orbit during that interval. This distinction between sidereal and synodic periods is a beautiful example of why reckoning requires models, not merely counting nights. Appearance, frame of reference, and motion must be related.</w:t>
      </w:r>
    </w:p>
    <w:p>
      <w:pPr>
        <w:pStyle w:val="Heading2"/>
        <w:keepNext/>
      </w:pPr>
      <w:r>
        <w:t>3.3 Why calendars need human judgment</w:t>
      </w:r>
    </w:p>
    <w:p>
      <w:r>
        <w:rPr>
          <w:rFonts w:ascii="Calibri" w:hAnsi="Calibri" w:eastAsia="Calibri" w:cs="Calibri"/>
          <w:sz w:val="22"/>
        </w:rPr>
        <w:t>Nature offers periodicities but not a ready-made printed calendar. The three principal cycles are incommensurable:</w:t>
      </w:r>
    </w:p>
    <w:tbl>
      <w:tblPr>
        <w:tblW w:type="dxa" w:w="9360"/>
        <w:jc w:val="left"/>
        <w:tblLayout w:type="fixed"/>
        <w:tblLook w:firstColumn="1" w:firstRow="1" w:lastColumn="0" w:lastRow="0" w:noHBand="0" w:noVBand="1" w:val="04A0"/>
        <w:tblInd w:w="120" w:type="dxa"/>
        <w:tblBorders>
          <w:top w:val="single" w:sz="5" w:space="0" w:color="D4DDE4"/>
          <w:left w:val="single" w:sz="5" w:space="0" w:color="D4DDE4"/>
          <w:bottom w:val="single" w:sz="5" w:space="0" w:color="D4DDE4"/>
          <w:right w:val="single" w:sz="5" w:space="0" w:color="D4DDE4"/>
          <w:insideH w:val="single" w:sz="5" w:space="0" w:color="D4DDE4"/>
          <w:insideV w:val="single" w:sz="5" w:space="0" w:color="D4DDE4"/>
        </w:tblBorders>
      </w:tblPr>
      <w:tblGrid>
        <w:gridCol w:w="2150"/>
        <w:gridCol w:w="1450"/>
        <w:gridCol w:w="2050"/>
        <w:gridCol w:w="3710"/>
      </w:tblGrid>
      <w:tr>
        <w:trPr>
          <w:tblHeader w:val="true"/>
        </w:trPr>
        <w:tc>
          <w:tcPr>
            <w:tcW w:type="dxa" w:w="215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Natural rhythm</w:t>
            </w:r>
          </w:p>
        </w:tc>
        <w:tc>
          <w:tcPr>
            <w:tcW w:type="dxa" w:w="145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Approximate period</w:t>
            </w:r>
          </w:p>
        </w:tc>
        <w:tc>
          <w:tcPr>
            <w:tcW w:type="dxa" w:w="205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Calendar role</w:t>
            </w:r>
          </w:p>
        </w:tc>
        <w:tc>
          <w:tcPr>
            <w:tcW w:type="dxa" w:w="3710"/>
            <w:shd w:fill="F4F6F9"/>
            <w:vAlign w:val="center"/>
            <w:tcMar>
              <w:top w:w="80" w:type="dxa"/>
              <w:start w:w="120" w:type="dxa"/>
              <w:bottom w:w="80" w:type="dxa"/>
              <w:end w:w="120" w:type="dxa"/>
            </w:tcMar>
          </w:tcPr>
          <w:p>
            <w:pPr>
              <w:spacing w:before="40" w:after="40" w:line="252" w:lineRule="auto"/>
            </w:pPr>
            <w:r>
              <w:rPr>
                <w:rFonts w:ascii="Calibri" w:hAnsi="Calibri" w:eastAsia="Calibri" w:cs="Calibri"/>
                <w:b/>
                <w:color w:val="203748"/>
                <w:sz w:val="17"/>
              </w:rPr>
              <w:t>Consequence</w:t>
            </w:r>
          </w:p>
        </w:tc>
      </w:tr>
      <w:tr>
        <w:tc>
          <w:tcPr>
            <w:tcW w:type="dxa" w:w="21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Mean solar day</w:t>
            </w:r>
          </w:p>
        </w:tc>
        <w:tc>
          <w:tcPr>
            <w:tcW w:type="dxa" w:w="14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24 hours by convention</w:t>
            </w:r>
          </w:p>
        </w:tc>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Basic day</w:t>
            </w:r>
          </w:p>
        </w:tc>
        <w:tc>
          <w:tcPr>
            <w:tcW w:type="dxa" w:w="371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Rotation is not perfectly uniform; civil time needs standards and leap adjustments</w:t>
            </w:r>
          </w:p>
        </w:tc>
      </w:tr>
      <w:tr>
        <w:tc>
          <w:tcPr>
            <w:tcW w:type="dxa" w:w="21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Synodic month</w:t>
            </w:r>
          </w:p>
        </w:tc>
        <w:tc>
          <w:tcPr>
            <w:tcW w:type="dxa" w:w="14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29.53059 days</w:t>
            </w:r>
          </w:p>
        </w:tc>
        <w:tc>
          <w:tcPr>
            <w:tcW w:type="dxa" w:w="20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Lunar month</w:t>
            </w:r>
          </w:p>
        </w:tc>
        <w:tc>
          <w:tcPr>
            <w:tcW w:type="dxa" w:w="371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Months must alternate 29/30 days or follow observation/calculation</w:t>
            </w:r>
          </w:p>
        </w:tc>
      </w:tr>
      <w:tr>
        <w:tc>
          <w:tcPr>
            <w:tcW w:type="dxa" w:w="21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Twelve lunations</w:t>
            </w:r>
          </w:p>
        </w:tc>
        <w:tc>
          <w:tcPr>
            <w:tcW w:type="dxa" w:w="14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354.367 days</w:t>
            </w:r>
          </w:p>
        </w:tc>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Lunar year</w:t>
            </w:r>
          </w:p>
        </w:tc>
        <w:tc>
          <w:tcPr>
            <w:tcW w:type="dxa" w:w="371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Drifts about 10.875 days per tropical year</w:t>
            </w:r>
          </w:p>
        </w:tc>
      </w:tr>
      <w:tr>
        <w:tc>
          <w:tcPr>
            <w:tcW w:type="dxa" w:w="21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Tropical year</w:t>
            </w:r>
          </w:p>
        </w:tc>
        <w:tc>
          <w:tcPr>
            <w:tcW w:type="dxa" w:w="14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365.2422 days</w:t>
            </w:r>
          </w:p>
        </w:tc>
        <w:tc>
          <w:tcPr>
            <w:tcW w:type="dxa" w:w="205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Seasonal year</w:t>
            </w:r>
          </w:p>
        </w:tc>
        <w:tc>
          <w:tcPr>
            <w:tcW w:type="dxa" w:w="3710"/>
            <w:vAlign w:val="center"/>
            <w:shd w:fill="FAFBFC"/>
            <w:tcMar>
              <w:top w:w="80" w:type="dxa"/>
              <w:start w:w="120" w:type="dxa"/>
              <w:bottom w:w="80" w:type="dxa"/>
              <w:end w:w="120" w:type="dxa"/>
            </w:tcMar>
          </w:tcPr>
          <w:p>
            <w:pPr>
              <w:spacing w:before="20" w:after="20" w:line="259" w:lineRule="auto"/>
            </w:pPr>
            <w:r>
              <w:rPr>
                <w:rFonts w:ascii="Calibri" w:hAnsi="Calibri" w:eastAsia="Calibri" w:cs="Calibri"/>
                <w:color w:val="273746"/>
                <w:sz w:val="17"/>
              </w:rPr>
              <w:t>Cannot be expressed as a whole number of days</w:t>
            </w:r>
          </w:p>
        </w:tc>
      </w:tr>
      <w:tr>
        <w:tc>
          <w:tcPr>
            <w:tcW w:type="dxa" w:w="21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Gregorian mean year</w:t>
            </w:r>
          </w:p>
        </w:tc>
        <w:tc>
          <w:tcPr>
            <w:tcW w:type="dxa" w:w="14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365.2425 days</w:t>
            </w:r>
          </w:p>
        </w:tc>
        <w:tc>
          <w:tcPr>
            <w:tcW w:type="dxa" w:w="205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Civil approximation</w:t>
            </w:r>
          </w:p>
        </w:tc>
        <w:tc>
          <w:tcPr>
            <w:tcW w:type="dxa" w:w="3710"/>
            <w:vAlign w:val="center"/>
            <w:tcMar>
              <w:top w:w="80" w:type="dxa"/>
              <w:start w:w="120" w:type="dxa"/>
              <w:bottom w:w="80" w:type="dxa"/>
              <w:end w:w="120" w:type="dxa"/>
            </w:tcMar>
          </w:tcPr>
          <w:p>
            <w:pPr>
              <w:spacing w:before="20" w:after="20" w:line="259" w:lineRule="auto"/>
            </w:pPr>
            <w:r>
              <w:rPr>
                <w:rFonts w:ascii="Calibri" w:hAnsi="Calibri" w:eastAsia="Calibri" w:cs="Calibri"/>
                <w:color w:val="273746"/>
                <w:sz w:val="17"/>
              </w:rPr>
              <w:t>Leap rule closely tracks the seasonal year</w:t>
            </w:r>
          </w:p>
        </w:tc>
      </w:tr>
    </w:tbl>
    <w:p>
      <w:pPr>
        <w:spacing w:before="80" w:after="80"/>
      </w:pPr>
    </w:p>
    <w:p>
      <w:r>
        <w:rPr>
          <w:rFonts w:ascii="Calibri" w:hAnsi="Calibri" w:eastAsia="Calibri" w:cs="Calibri"/>
          <w:sz w:val="22"/>
        </w:rPr>
        <w:t>No reform can make these ratios exact, because the physical periods do not divide evenly. Calendar-making is thus a science of approximation and a politics of convention. It asks which cycle matters for which purpose, what error is tolerable, where a day begins, how a month is declared, and who has authority to coordinate the answer. The mismatch is not a flaw in creation. It is the condition that calls forth observation, mathematics, law, and cooperation.</w:t>
      </w:r>
    </w:p>
    <w:p>
      <w:pPr>
        <w:pStyle w:val="Heading2"/>
        <w:keepNext/>
      </w:pPr>
      <w:r>
        <w:t>3.4 Night, day, biology, and bounty</w:t>
      </w:r>
    </w:p>
    <w:p>
      <w:r>
        <w:rPr>
          <w:rFonts w:ascii="Calibri" w:hAnsi="Calibri" w:eastAsia="Calibri" w:cs="Calibri"/>
          <w:sz w:val="22"/>
        </w:rPr>
        <w:t>Qur’an 17:12’s pairing of visibility, work, and time has biological depth. Light and darkness are the strongest environmental signals for the human circadian system and influence sleep, hormone release, metabolism, and behavior. Biological clocks allow organisms to anticipate daily change rather than merely react to it. Modern artificial lighting, shift work, and rapid time-zone travel reveal how deeply physiology is entrained to the day–night cycle.</w:t>
      </w:r>
    </w:p>
    <w:p>
      <w:r>
        <w:rPr>
          <w:rFonts w:ascii="Calibri" w:hAnsi="Calibri" w:eastAsia="Calibri" w:cs="Calibri"/>
          <w:sz w:val="22"/>
        </w:rPr>
        <w:t>The verse’s language remains phenomenological, not biomedical. It does not mention melatonin or molecular feedback loops. Yet scientific knowledge enriches its claim that night and day are signs ordered toward life and activity. “Seeking bounty” includes agriculture and commerce, but it can also encompass the scientific labor through which creation’s possibilities become medicine, navigation, energy, and communication.</w:t>
      </w:r>
    </w:p>
    <w:p>
      <w:pPr>
        <w:pStyle w:val="Heading2"/>
        <w:keepNext/>
      </w:pPr>
      <w:r>
        <w:t>3.5 Fine-tuning: a disciplined theological inference</w:t>
      </w:r>
    </w:p>
    <w:p>
      <w:r>
        <w:rPr>
          <w:rFonts w:ascii="Calibri" w:hAnsi="Calibri" w:eastAsia="Calibri" w:cs="Calibri"/>
          <w:sz w:val="22"/>
        </w:rPr>
        <w:t>The possibility of observers depends on a remarkable conjunction of conditions. Cosmological structure requires laws, constants, and initial conditions that permit long-lived stars, chemical complexity, and stable environments. Locally, life on Earth depends on a durable star, an orbit compatible with surface liquid water, a protective atmosphere, accessible chemical elements, and long-term climatic and geologic processes. The sun–Earth–moon system participates in that habitability, though popular claims that the moon alone “perfectly stabilizes” Earth’s tilt should be stated cautiously.</w:t>
      </w:r>
    </w:p>
    <w:p>
      <w:r>
        <w:rPr>
          <w:rFonts w:ascii="Calibri" w:hAnsi="Calibri" w:eastAsia="Calibri" w:cs="Calibri"/>
          <w:sz w:val="22"/>
        </w:rPr>
        <w:t>Philosophers and cosmologists debate whether life-permitting conditions support a fine-tuning argument for design. The evidence can be interpreted through theism, multiverse selection, deeper physical necessity, or presently unknown theory. Probability assignments are difficult when there is only one observed universe and no agreed distribution over possible constants. Fine-tuning is therefore not a knock-down scientific proof of God.</w:t>
      </w:r>
    </w:p>
    <w:p>
      <w:r>
        <w:rPr>
          <w:rFonts w:ascii="Calibri" w:hAnsi="Calibri" w:eastAsia="Calibri" w:cs="Calibri"/>
          <w:sz w:val="22"/>
        </w:rPr>
        <w:t xml:space="preserve">It is nevertheless philosophically significant. The Qur’anic reader may rationally experience the layered fit among cosmic regularity, stellar history, chemistry, planetary environment, and conscious intelligence as theologically luminous. The inference is strongest when presented as cumulative and humble: not “science has closed every alternative,” but “the intelligibility and hospitality of the cosmos are congruent with creation </w:t>
      </w:r>
      <w:r>
        <w:rPr>
          <w:rFonts w:ascii="Calibri" w:hAnsi="Calibri" w:eastAsia="Calibri" w:cs="Calibri"/>
          <w:i/>
          <w:sz w:val="22"/>
        </w:rPr>
        <w:t>bi-l-ḥaqq</w:t>
      </w:r>
      <w:r>
        <w:rPr>
          <w:rFonts w:ascii="Calibri" w:hAnsi="Calibri" w:eastAsia="Calibri" w:cs="Calibri"/>
          <w:sz w:val="22"/>
        </w:rPr>
        <w:t>—in truth and for purpose.”</w:t>
      </w:r>
    </w:p>
    <w:p>
      <w:pPr>
        <w:pStyle w:val="Heading1"/>
        <w:keepNext/>
      </w:pPr>
      <w:r>
        <w:t>4. Philosophical commentary</w:t>
      </w:r>
    </w:p>
    <w:p>
      <w:pPr>
        <w:pStyle w:val="Heading2"/>
        <w:keepNext/>
      </w:pPr>
      <w:r>
        <w:t>4.1 Nature gives rhythms; cultures build calendars</w:t>
      </w:r>
    </w:p>
    <w:p>
      <w:r>
        <w:rPr>
          <w:rFonts w:ascii="Calibri" w:hAnsi="Calibri" w:eastAsia="Calibri" w:cs="Calibri"/>
          <w:sz w:val="22"/>
        </w:rPr>
        <w:t>A calendar is neither wholly natural nor merely invented. The day, lunation, and year are discovered periodicities. Numbered months, epochs, leap rules, month names, time zones, and holiday laws are social constructions. This mixed status dissolves a common false choice. A calendar can be conventional without being arbitrary, and religiously meaningful without being the only rational convention.</w:t>
      </w:r>
    </w:p>
    <w:p>
      <w:r>
        <w:rPr>
          <w:rFonts w:ascii="Calibri" w:hAnsi="Calibri" w:eastAsia="Calibri" w:cs="Calibri"/>
          <w:sz w:val="22"/>
        </w:rPr>
        <w:t>The Hijri epoch narrates identity through migration and moral community. The Gregorian epoch narrates history through a Christian chronology even when used by secular states. The Solar Hijri calendar joins the Hijra epoch to the vernal equinox. Every calendar is both an astronomical model and a cultural memory. Recognizing this does not relativize truth; it clarifies which parts are physical measurements and which are collective decisions.</w:t>
      </w:r>
    </w:p>
    <w:p>
      <w:pPr>
        <w:pStyle w:val="Heading2"/>
        <w:keepNext/>
      </w:pPr>
      <w:r>
        <w:t>4.2 The mathematizability of the world</w:t>
      </w:r>
    </w:p>
    <w:p>
      <w:r>
        <w:rPr>
          <w:rFonts w:ascii="Calibri" w:hAnsi="Calibri" w:eastAsia="Calibri" w:cs="Calibri"/>
          <w:sz w:val="22"/>
        </w:rPr>
        <w:t xml:space="preserve">Why can minds formed within nature discover equations that predict distant eclipses and spacecraft trajectories? Qur’an 55:5 places calculation within a sequence that also includes the teaching of language. Human </w:t>
      </w:r>
      <w:r>
        <w:rPr>
          <w:rFonts w:ascii="Calibri" w:hAnsi="Calibri" w:eastAsia="Calibri" w:cs="Calibri"/>
          <w:i/>
          <w:sz w:val="22"/>
        </w:rPr>
        <w:t>bayān</w:t>
      </w:r>
      <w:r>
        <w:rPr>
          <w:rFonts w:ascii="Calibri" w:hAnsi="Calibri" w:eastAsia="Calibri" w:cs="Calibri"/>
          <w:sz w:val="22"/>
        </w:rPr>
        <w:t xml:space="preserve"> and cosmic </w:t>
      </w:r>
      <w:r>
        <w:rPr>
          <w:rFonts w:ascii="Calibri" w:hAnsi="Calibri" w:eastAsia="Calibri" w:cs="Calibri"/>
          <w:i/>
          <w:sz w:val="22"/>
        </w:rPr>
        <w:t>ḥusbān</w:t>
      </w:r>
      <w:r>
        <w:rPr>
          <w:rFonts w:ascii="Calibri" w:hAnsi="Calibri" w:eastAsia="Calibri" w:cs="Calibri"/>
          <w:sz w:val="22"/>
        </w:rPr>
        <w:t xml:space="preserve"> answer one another: an intelligible world meets a symbol-making creature. This does not settle the philosophy of mathematics. Platonists, nominalists, structuralists, and naturalists explain mathematical applicability differently. But the verse highlights a fact on which they all depend: stable structure is available to rational inquiry.</w:t>
      </w:r>
    </w:p>
    <w:p>
      <w:r>
        <w:rPr>
          <w:rFonts w:ascii="Calibri" w:hAnsi="Calibri" w:eastAsia="Calibri" w:cs="Calibri"/>
          <w:sz w:val="22"/>
        </w:rPr>
        <w:t>Theologically, that availability is grace. It permits freedom because dependable regularity enables meaningful action. A universe whose patterns changed capriciously from hour to hour would frustrate agency, responsibility, and science. Divine sovereignty need not compete with causal order. In al-Ghazālī’s famous critique of necessary causation, regular sequences can be understood as divine custom (</w:t>
      </w:r>
      <w:r>
        <w:rPr>
          <w:rFonts w:ascii="Calibri" w:hAnsi="Calibri" w:eastAsia="Calibri" w:cs="Calibri"/>
          <w:i/>
          <w:sz w:val="22"/>
        </w:rPr>
        <w:t>ʿāda</w:t>
      </w:r>
      <w:r>
        <w:rPr>
          <w:rFonts w:ascii="Calibri" w:hAnsi="Calibri" w:eastAsia="Calibri" w:cs="Calibri"/>
          <w:sz w:val="22"/>
        </w:rPr>
        <w:t>) rather than powers independent of God. Occasionalism, properly understood, is not the prediction of chaos; it can affirm a faithfully ordered world while denying that created causes are metaphysically self-sufficient. Other Muslim theologians and philosophers accepted stronger forms of secondary causation. The shared point for this commentary is that studying regularity does not exile God from nature.</w:t>
      </w:r>
    </w:p>
    <w:p>
      <w:pPr>
        <w:pStyle w:val="Heading2"/>
        <w:keepNext/>
      </w:pPr>
      <w:r>
        <w:t>4.3 Qur’an 13:17 and the survival of benefit</w:t>
      </w:r>
    </w:p>
    <w:p>
      <w:r>
        <w:rPr>
          <w:rFonts w:ascii="Calibri" w:hAnsi="Calibri" w:eastAsia="Calibri" w:cs="Calibri"/>
          <w:sz w:val="22"/>
        </w:rPr>
        <w:t>Qur’an 13:17 compares truth and falsehood to water and froth, and to useful metal and the scum produced in smelting: “the froth disappears, but what benefits people remains.” Applied to intellectual history, the parable offers a principle of discernment. Useful numeral systems, astronomical tables, instruments, and calendar rules can cross religious and political borders because their performance is publicly testable. A Muslim can learn from a Greek, Indian, Christian, Jew, agnostic, or atheist without surrendering faith; truth does not acquire impurity from the identity of its discoverer.</w:t>
      </w:r>
    </w:p>
    <w:p>
      <w:r>
        <w:rPr>
          <w:rFonts w:ascii="Calibri" w:hAnsi="Calibri" w:eastAsia="Calibri" w:cs="Calibri"/>
          <w:sz w:val="22"/>
        </w:rPr>
        <w:t>The verse should not be converted into a naïve law that whatever survives is therefore true or good. Exploitative institutions and false ideas can persist, while valuable knowledge can be forgotten or suppressed. Benefit remains only through human stewardship, just institutions, education, translation, and correction. The parable is normative: become the sort of people who distinguish nourishing water from foam and useful metal from slag.</w:t>
      </w:r>
    </w:p>
    <w:p>
      <w:pPr>
        <w:pStyle w:val="Heading2"/>
        <w:keepNext/>
      </w:pPr>
      <w:r>
        <w:t>4.4 Beyond black-and-white philosophies of knowledge</w:t>
      </w:r>
    </w:p>
    <w:p>
      <w:r>
        <w:rPr>
          <w:rFonts w:ascii="Calibri" w:hAnsi="Calibri" w:eastAsia="Calibri" w:cs="Calibri"/>
          <w:sz w:val="22"/>
        </w:rPr>
        <w:t>Dogmatism divides knowledge into pure and contaminated camps before examining evidence. Scientism makes the opposite reduction, treating empirical science as the only meaningful discourse and excluding moral, aesthetic, metaphysical, and revealed knowledge by definition. The verses resist both. They honor observation and calculation while embedding them in questions of purpose, bounty, justice, and accountability.</w:t>
      </w:r>
    </w:p>
    <w:p>
      <w:r>
        <w:rPr>
          <w:rFonts w:ascii="Calibri" w:hAnsi="Calibri" w:eastAsia="Calibri" w:cs="Calibri"/>
          <w:sz w:val="22"/>
        </w:rPr>
        <w:t>An integrative philosophy can therefore say four things at once: scientific models deserve authority within their evidential domain; calendars are revisable human instruments; religious practices can attach sacred meaning to one instrument; and no instrument exhausts the meaning of time. This is not a weak compromise. It is conceptual precision.</w:t>
      </w:r>
    </w:p>
    <w:p>
      <w:pPr>
        <w:pStyle w:val="Heading1"/>
        <w:keepNext/>
      </w:pPr>
      <w:r>
        <w:t>5. Theological commentary</w:t>
      </w:r>
    </w:p>
    <w:p>
      <w:pPr>
        <w:pStyle w:val="Heading2"/>
        <w:keepNext/>
      </w:pPr>
      <w:r>
        <w:t>5.1 Creation as sign, not deity</w:t>
      </w:r>
    </w:p>
    <w:p>
      <w:r>
        <w:rPr>
          <w:rFonts w:ascii="Calibri" w:hAnsi="Calibri" w:eastAsia="Calibri" w:cs="Calibri"/>
          <w:sz w:val="22"/>
        </w:rPr>
        <w:t>The sun and moon were objects of worship in many ancient cultures. The Qur’an desacralizes them as gods and resacralizes them as signs. Their splendor points beyond itself. Because they are created, measured, and subordinated, they can be investigated without sacrilege. This theological demotion of celestial bodies from deities to creatures is compatible with the emergence of natural inquiry: what is not divine can have a created history, structure, and cause.</w:t>
      </w:r>
    </w:p>
    <w:p>
      <w:pPr>
        <w:pStyle w:val="Heading2"/>
        <w:keepNext/>
      </w:pPr>
      <w:r>
        <w:t>5.2 Providence through regularity</w:t>
      </w:r>
    </w:p>
    <w:p>
      <w:r>
        <w:rPr>
          <w:rFonts w:ascii="Calibri" w:hAnsi="Calibri" w:eastAsia="Calibri" w:cs="Calibri"/>
          <w:sz w:val="22"/>
        </w:rPr>
        <w:t>The three passages portray providence not chiefly as interruption but as dependable order. Predictable phases and days permit people to plan worship, store food, sail, trade, and build institutions. Ordinary regularity is miraculous in the older sense of a sign that awakens wonder. The mature believer need not wait for a violation of natural law to recognize divine care. The lawfulness itself is gift.</w:t>
      </w:r>
    </w:p>
    <w:p>
      <w:pPr>
        <w:pStyle w:val="Heading2"/>
        <w:keepNext/>
      </w:pPr>
      <w:r>
        <w:t>5.3 Sacred time and public time</w:t>
      </w:r>
    </w:p>
    <w:p>
      <w:r>
        <w:rPr>
          <w:rFonts w:ascii="Calibri" w:hAnsi="Calibri" w:eastAsia="Calibri" w:cs="Calibri"/>
          <w:sz w:val="22"/>
        </w:rPr>
        <w:t>The Hijri calendar embodies obedience, memory, and community. Its lunar movement through the seasons can be spiritually formative. The Gregorian calendar embodies a different achievement: close approximation to the seasonal year and global civil coordination. Their uses overlap, but their primary functions differ.</w:t>
      </w:r>
    </w:p>
    <w:p>
      <w:r>
        <w:rPr>
          <w:rFonts w:ascii="Calibri" w:hAnsi="Calibri" w:eastAsia="Calibri" w:cs="Calibri"/>
          <w:sz w:val="22"/>
        </w:rPr>
        <w:t>Islamic jurisprudence has long distinguished acts of worship from worldly transactions and public administration, even though all remain morally accountable. That distinction supports calendar pluralism. Preserving crescent-based religious observance need not require calculating salaries, school years, crop cycles, or astronomical datasets by an un-intercalated lunar year. Conversely, civil use of the Gregorian calendar need not secularize Ramadan. A Muslim can inhabit more than one temporal coordinate system without divided loyalty.</w:t>
      </w:r>
    </w:p>
    <w:p>
      <w:pPr>
        <w:pStyle w:val="Heading2"/>
        <w:keepNext/>
      </w:pPr>
      <w:r>
        <w:t>5.4 Knowledge as a religious vocation</w:t>
      </w:r>
    </w:p>
    <w:p>
      <w:r>
        <w:rPr>
          <w:rFonts w:ascii="Calibri" w:hAnsi="Calibri" w:eastAsia="Calibri" w:cs="Calibri"/>
          <w:sz w:val="22"/>
        </w:rPr>
        <w:t>The refrain “for people who know” makes epistemic effort part of grateful response. Knowledge here includes recognizing purpose, but it also includes the technical competence to count. The long Muslim tradition of timekeepers, astronomers, mathematicians, instrument makers, translators, and physicians is one historical enactment of that calling. Its later weakening should inspire institutional self-critique, not conspiracy or nostalgia.</w:t>
      </w:r>
    </w:p>
    <w:p>
      <w:r>
        <w:rPr>
          <w:rFonts w:ascii="Calibri" w:hAnsi="Calibri" w:eastAsia="Calibri" w:cs="Calibri"/>
          <w:sz w:val="22"/>
        </w:rPr>
        <w:t>Being a “good Muslim” cannot mean refusing well-established knowledge because its modern formulation arose elsewhere. If God is the Lord of all truth, then verified knowledge cannot be territorially foreign to faith. Muslims should be constant seekers of religious and secular learning, natural and social science, humanities and arts, practical crafts and moral wisdom. Each domain has methods and limits; none licenses contempt for all the others.</w:t>
      </w:r>
    </w:p>
    <w:p>
      <w:pPr>
        <w:pStyle w:val="Heading1"/>
        <w:keepNext/>
      </w:pPr>
      <w:r>
        <w:t>6. Constructive synthesis</w:t>
      </w:r>
    </w:p>
    <w:p>
      <w:r>
        <w:rPr>
          <w:rFonts w:ascii="Calibri" w:hAnsi="Calibri" w:eastAsia="Calibri" w:cs="Calibri"/>
          <w:sz w:val="22"/>
        </w:rPr>
        <w:t>The following propositions gather the commentary:</w:t>
      </w:r>
    </w:p>
    <w:p>
      <w:pPr>
        <w:numPr>
          <w:ilvl w:val="0"/>
          <w:numId w:val="10"/>
        </w:numPr>
      </w:pPr>
      <w:r>
        <w:rPr>
          <w:rFonts w:ascii="Calibri" w:hAnsi="Calibri" w:eastAsia="Calibri" w:cs="Calibri"/>
          <w:b/>
          <w:sz w:val="22"/>
        </w:rPr>
        <w:t>Cosmic order is a condition of civilization.</w:t>
      </w:r>
      <w:r>
        <w:rPr>
          <w:rFonts w:ascii="Calibri" w:hAnsi="Calibri" w:eastAsia="Calibri" w:cs="Calibri"/>
          <w:sz w:val="22"/>
        </w:rPr>
        <w:t xml:space="preserve"> Celestial regularity makes calendars, navigation, agriculture, worship, and science possible.</w:t>
      </w:r>
    </w:p>
    <w:p>
      <w:pPr>
        <w:numPr>
          <w:ilvl w:val="0"/>
          <w:numId w:val="10"/>
        </w:numPr>
      </w:pPr>
      <w:r>
        <w:rPr>
          <w:rFonts w:ascii="Calibri" w:hAnsi="Calibri" w:eastAsia="Calibri" w:cs="Calibri"/>
          <w:b/>
          <w:sz w:val="22"/>
        </w:rPr>
        <w:t>Calculation is a spiritual as well as technical act.</w:t>
      </w:r>
      <w:r>
        <w:rPr>
          <w:rFonts w:ascii="Calibri" w:hAnsi="Calibri" w:eastAsia="Calibri" w:cs="Calibri"/>
          <w:sz w:val="22"/>
        </w:rPr>
        <w:t xml:space="preserve"> When joined to humility and justice, measuring the world becomes gratitude for intelligibility.</w:t>
      </w:r>
    </w:p>
    <w:p>
      <w:pPr>
        <w:numPr>
          <w:ilvl w:val="0"/>
          <w:numId w:val="10"/>
        </w:numPr>
      </w:pPr>
      <w:r>
        <w:rPr>
          <w:rFonts w:ascii="Calibri" w:hAnsi="Calibri" w:eastAsia="Calibri" w:cs="Calibri"/>
          <w:b/>
          <w:sz w:val="22"/>
        </w:rPr>
        <w:t>The Qur’an invites science without pretending to be a science manual.</w:t>
      </w:r>
      <w:r>
        <w:rPr>
          <w:rFonts w:ascii="Calibri" w:hAnsi="Calibri" w:eastAsia="Calibri" w:cs="Calibri"/>
          <w:sz w:val="22"/>
        </w:rPr>
        <w:t xml:space="preserve"> Its claims concern signs, purpose, and responsibility; modern discoveries can deepen their meaning without being retrofitted into every word.</w:t>
      </w:r>
    </w:p>
    <w:p>
      <w:pPr>
        <w:numPr>
          <w:ilvl w:val="0"/>
          <w:numId w:val="10"/>
        </w:numPr>
      </w:pPr>
      <w:r>
        <w:rPr>
          <w:rFonts w:ascii="Calibri" w:hAnsi="Calibri" w:eastAsia="Calibri" w:cs="Calibri"/>
          <w:b/>
          <w:sz w:val="22"/>
        </w:rPr>
        <w:t>Lunar and solar calendars answer different needs.</w:t>
      </w:r>
      <w:r>
        <w:rPr>
          <w:rFonts w:ascii="Calibri" w:hAnsi="Calibri" w:eastAsia="Calibri" w:cs="Calibri"/>
          <w:sz w:val="22"/>
        </w:rPr>
        <w:t xml:space="preserve"> The Hijri calendar should remain authoritative for Islamic ritual; solar calendars are often superior for seasonal civil coordination.</w:t>
      </w:r>
    </w:p>
    <w:p>
      <w:pPr>
        <w:numPr>
          <w:ilvl w:val="0"/>
          <w:numId w:val="10"/>
        </w:numPr>
      </w:pPr>
      <w:r>
        <w:rPr>
          <w:rFonts w:ascii="Calibri" w:hAnsi="Calibri" w:eastAsia="Calibri" w:cs="Calibri"/>
          <w:b/>
          <w:sz w:val="22"/>
        </w:rPr>
        <w:t>Tradition itself was plural.</w:t>
      </w:r>
      <w:r>
        <w:rPr>
          <w:rFonts w:ascii="Calibri" w:hAnsi="Calibri" w:eastAsia="Calibri" w:cs="Calibri"/>
          <w:sz w:val="22"/>
        </w:rPr>
        <w:t xml:space="preserve"> Muslim states and scholars used more than one calendar and repeatedly improved mathematical and astronomical methods.</w:t>
      </w:r>
    </w:p>
    <w:p>
      <w:pPr>
        <w:numPr>
          <w:ilvl w:val="0"/>
          <w:numId w:val="10"/>
        </w:numPr>
      </w:pPr>
      <w:r>
        <w:rPr>
          <w:rFonts w:ascii="Calibri" w:hAnsi="Calibri" w:eastAsia="Calibri" w:cs="Calibri"/>
          <w:b/>
          <w:sz w:val="22"/>
        </w:rPr>
        <w:t>Scientific knowledge is cumulative and trans-civilizational.</w:t>
      </w:r>
      <w:r>
        <w:rPr>
          <w:rFonts w:ascii="Calibri" w:hAnsi="Calibri" w:eastAsia="Calibri" w:cs="Calibri"/>
          <w:sz w:val="22"/>
        </w:rPr>
        <w:t xml:space="preserve"> Muslim achievements were original and indispensable, but they grew from earlier inheritances and were themselves inherited and transformed elsewhere.</w:t>
      </w:r>
    </w:p>
    <w:p>
      <w:pPr>
        <w:numPr>
          <w:ilvl w:val="0"/>
          <w:numId w:val="10"/>
        </w:numPr>
      </w:pPr>
      <w:r>
        <w:rPr>
          <w:rFonts w:ascii="Calibri" w:hAnsi="Calibri" w:eastAsia="Calibri" w:cs="Calibri"/>
          <w:b/>
          <w:sz w:val="22"/>
        </w:rPr>
        <w:t>The shift toward European scientific leadership demands explanation, not mythology.</w:t>
      </w:r>
      <w:r>
        <w:rPr>
          <w:rFonts w:ascii="Calibri" w:hAnsi="Calibri" w:eastAsia="Calibri" w:cs="Calibri"/>
          <w:sz w:val="22"/>
        </w:rPr>
        <w:t xml:space="preserve"> It was gradual, regional, institutional, and entangled with both creativity and empire.</w:t>
      </w:r>
    </w:p>
    <w:p>
      <w:pPr>
        <w:numPr>
          <w:ilvl w:val="0"/>
          <w:numId w:val="10"/>
        </w:numPr>
      </w:pPr>
      <w:r>
        <w:rPr>
          <w:rFonts w:ascii="Calibri" w:hAnsi="Calibri" w:eastAsia="Calibri" w:cs="Calibri"/>
          <w:b/>
          <w:sz w:val="22"/>
        </w:rPr>
        <w:t>Qur’an 13:17 supplies an ethic of benefit, not a crude survival test.</w:t>
      </w:r>
      <w:r>
        <w:rPr>
          <w:rFonts w:ascii="Calibri" w:hAnsi="Calibri" w:eastAsia="Calibri" w:cs="Calibri"/>
          <w:sz w:val="22"/>
        </w:rPr>
        <w:t xml:space="preserve"> Knowledge must be judged by truth, service, justice, and durable human good.</w:t>
      </w:r>
    </w:p>
    <w:p>
      <w:pPr>
        <w:numPr>
          <w:ilvl w:val="0"/>
          <w:numId w:val="10"/>
        </w:numPr>
      </w:pPr>
      <w:r>
        <w:rPr>
          <w:rFonts w:ascii="Calibri" w:hAnsi="Calibri" w:eastAsia="Calibri" w:cs="Calibri"/>
          <w:b/>
          <w:sz w:val="22"/>
        </w:rPr>
        <w:t>Fine-tuning can be theologically meaningful without being oversold as proof.</w:t>
      </w:r>
      <w:r>
        <w:rPr>
          <w:rFonts w:ascii="Calibri" w:hAnsi="Calibri" w:eastAsia="Calibri" w:cs="Calibri"/>
          <w:sz w:val="22"/>
        </w:rPr>
        <w:t xml:space="preserve"> Scientific openness and religious wonder are compatible.</w:t>
      </w:r>
    </w:p>
    <w:p>
      <w:pPr>
        <w:numPr>
          <w:ilvl w:val="0"/>
          <w:numId w:val="10"/>
        </w:numPr>
      </w:pPr>
      <w:r>
        <w:rPr>
          <w:rFonts w:ascii="Calibri" w:hAnsi="Calibri" w:eastAsia="Calibri" w:cs="Calibri"/>
          <w:b/>
          <w:sz w:val="22"/>
        </w:rPr>
        <w:t>Muslim renewal requires epistemic hospitality.</w:t>
      </w:r>
      <w:r>
        <w:rPr>
          <w:rFonts w:ascii="Calibri" w:hAnsi="Calibri" w:eastAsia="Calibri" w:cs="Calibri"/>
          <w:sz w:val="22"/>
        </w:rPr>
        <w:t xml:space="preserve"> The faithful posture is confident enough to learn from anyone and critical enough to test everything.</w:t>
      </w:r>
    </w:p>
    <w:p>
      <w:pPr>
        <w:pStyle w:val="Heading1"/>
        <w:keepNext/>
      </w:pPr>
      <w:r>
        <w:t>7. Practical implications</w:t>
      </w:r>
    </w:p>
    <w:p>
      <w:r>
        <w:rPr>
          <w:rFonts w:ascii="Calibri" w:hAnsi="Calibri" w:eastAsia="Calibri" w:cs="Calibri"/>
          <w:sz w:val="22"/>
        </w:rPr>
        <w:t>For educators, the three verses are best taught with both Arabic semantics and elementary astronomy: phase geometry, lunar and solar periods, and the logic of leap years. For mosques and community organizations, disagreement about crescent declaration should be presented as a jurisprudential and astronomical question rather than a test of another Muslim’s sincerity. For Muslim-majority states, dual dating can preserve Hijri public memory while supporting efficient civil administration. For interreligious dialogue, the Gregorian reform is a useful case in which a specifically Christian problem stimulated a mathematically transferable public good. For researchers, the best antidote to both civilizational chauvinism and self-erasure is precise intellectual history.</w:t>
      </w:r>
    </w:p>
    <w:p>
      <w:pPr>
        <w:pStyle w:val="Heading1"/>
        <w:keepNext/>
      </w:pPr>
      <w:r>
        <w:t>Epilogue: two horizons</w:t>
      </w:r>
    </w:p>
    <w:p>
      <w:pPr>
        <w:pStyle w:val="Heading2"/>
        <w:keepNext/>
      </w:pPr>
      <w:r>
        <w:t>Theme One — Qur’an and science: expanding resonance</w:t>
      </w:r>
    </w:p>
    <w:p>
      <w:r>
        <w:rPr>
          <w:rFonts w:ascii="Calibri" w:hAnsi="Calibri" w:eastAsia="Calibri" w:cs="Calibri"/>
          <w:sz w:val="22"/>
        </w:rPr>
        <w:t>The Qur’an’s sun and moon verses have not become obsolete as astronomy has advanced. They have become more spacious. We now know that the sun’s radiance originates in stellar fusion; that moonlight is reflected sunlight; that phases arise from three-body viewing geometry; that orbital order includes elliptical speed, perturbation, and precession; that circadian biology is written into cellular mechanisms; and that calendars must reconcile irrationally related natural cycles. Far from dissolving the verses, secular knowledge discloses more of what celestial “reckoning” can mean.</w:t>
      </w:r>
    </w:p>
    <w:p>
      <w:r>
        <w:rPr>
          <w:rFonts w:ascii="Calibri" w:hAnsi="Calibri" w:eastAsia="Calibri" w:cs="Calibri"/>
          <w:sz w:val="22"/>
        </w:rPr>
        <w:t xml:space="preserve">This is resonance, not a forced concordance. The Qur’an does not state Kepler’s equations, nuclear reaction chains, or the Gregorian leap rule. Its enduring achievement is to frame an intelligible cosmos as sign, mercy, purpose, and trust. As cosmology examines the life-permitting ranges of laws, constants, and initial conditions, and as planetary science studies the narrow environmental pathways compatible with complex life, the believer may reasonably hear a deeper echo of creation </w:t>
      </w:r>
      <w:r>
        <w:rPr>
          <w:rFonts w:ascii="Calibri" w:hAnsi="Calibri" w:eastAsia="Calibri" w:cs="Calibri"/>
          <w:i/>
          <w:sz w:val="22"/>
        </w:rPr>
        <w:t>bi-l-ḥaqq</w:t>
      </w:r>
      <w:r>
        <w:rPr>
          <w:rFonts w:ascii="Calibri" w:hAnsi="Calibri" w:eastAsia="Calibri" w:cs="Calibri"/>
          <w:sz w:val="22"/>
        </w:rPr>
        <w:t>. The nonbeliever may interpret the same evidence differently. Science remains shared because its observations and models do not depend on prior assent to theology.</w:t>
      </w:r>
    </w:p>
    <w:p>
      <w:r>
        <w:rPr>
          <w:rFonts w:ascii="Calibri" w:hAnsi="Calibri" w:eastAsia="Calibri" w:cs="Calibri"/>
          <w:sz w:val="22"/>
        </w:rPr>
        <w:t>The productive dialogue therefore avoids two temptations: claiming that revelation secretly contains every discovery, and assuming that scientific explanation evacuates wonder. Explanation can intensify wonder. To know how delicately a phase depends on geometry or how slowly eleven minutes per year accumulate into calendar reform is to see order at a higher resolution.</w:t>
      </w:r>
    </w:p>
    <w:p>
      <w:pPr>
        <w:pStyle w:val="Heading2"/>
        <w:keepNext/>
      </w:pPr>
      <w:r>
        <w:t>Theme Two — the Muslim vocation: seek, test, include</w:t>
      </w:r>
    </w:p>
    <w:p>
      <w:r>
        <w:rPr>
          <w:rFonts w:ascii="Calibri" w:hAnsi="Calibri" w:eastAsia="Calibri" w:cs="Calibri"/>
          <w:sz w:val="22"/>
        </w:rPr>
        <w:t>The proper heir of al-Khwārizmī is not the person who repeatedly announces that algebra was once Muslim. It is the person who learns mathematics, improves institutions, shares knowledge, and solves present problems. The proper heir of al-Bīrūnī is not the person who fears other calendars. It is the person who compares civilizations carefully, measures the world honestly, and lets evidence correct inherited assumptions.</w:t>
      </w:r>
    </w:p>
    <w:p>
      <w:r>
        <w:rPr>
          <w:rFonts w:ascii="Calibri" w:hAnsi="Calibri" w:eastAsia="Calibri" w:cs="Calibri"/>
          <w:sz w:val="22"/>
        </w:rPr>
        <w:t>Muslims should preserve the lunar calendar’s sacred work. It unites worship with the sky, remembers the Hijra, and carries Ramadan and Hajj through the seasons. They should also welcome solar calendars wherever those better serve agriculture, public administration, science, and global coordination. Humanity has moved on not by abolishing the moon, but by learning to read several clocks at once. Nearly two billion Muslims already live this layered reality in countless ordinary acts.</w:t>
      </w:r>
    </w:p>
    <w:p>
      <w:r>
        <w:rPr>
          <w:rFonts w:ascii="Calibri" w:hAnsi="Calibri" w:eastAsia="Calibri" w:cs="Calibri"/>
          <w:sz w:val="22"/>
        </w:rPr>
        <w:t>A black-and-white philosophy of knowledge—Islamic or un-Islamic, sacred or secular, ours or theirs—cannot do justice to the Qur’anic vision. The water of wisdom may flow through many valleys. Foam may wear the colors of every tribe. What benefits people endures when human beings have the courage to recognize, preserve, and extend it. The enduring command of these verses is therefore not merely to count time, but to become worthy of it.</w:t>
      </w:r>
    </w:p>
    <w:p>
      <w:pPr>
        <w:pStyle w:val="Heading1"/>
        <w:keepNext/>
      </w:pPr>
      <w:r>
        <w:t>Selected sources and further reading</w:t>
      </w:r>
    </w:p>
    <w:p>
      <w:pPr>
        <w:pStyle w:val="Heading2"/>
        <w:keepNext/>
      </w:pPr>
      <w:r>
        <w:t>Qur’anic text, translation, and commentary</w:t>
      </w:r>
    </w:p>
    <w:p>
      <w:pPr>
        <w:numPr>
          <w:ilvl w:val="0"/>
          <w:numId w:val="11"/>
        </w:numPr>
      </w:pPr>
      <w:hyperlink r:id="rId13">
        <w:r>
          <w:rPr>
            <w:rFonts w:ascii="Calibri" w:hAnsi="Calibri" w:eastAsia="Calibri" w:cs="Calibri"/>
            <w:color w:val="1C5D99"/>
            <w:u w:val="single"/>
          </w:rPr>
          <w:t>Qur’an 55:5 and translation comparison</w:t>
        </w:r>
      </w:hyperlink>
      <w:r>
        <w:rPr>
          <w:rFonts w:ascii="Calibri" w:hAnsi="Calibri" w:eastAsia="Calibri" w:cs="Calibri"/>
          <w:sz w:val="22"/>
        </w:rPr>
        <w:t xml:space="preserve">; </w:t>
      </w:r>
      <w:hyperlink r:id="rId14">
        <w:r>
          <w:rPr>
            <w:rFonts w:ascii="Calibri" w:hAnsi="Calibri" w:eastAsia="Calibri" w:cs="Calibri"/>
            <w:color w:val="1C5D99"/>
            <w:u w:val="single"/>
          </w:rPr>
          <w:t>Quran.com, 55:5</w:t>
        </w:r>
      </w:hyperlink>
      <w:r>
        <w:rPr>
          <w:rFonts w:ascii="Calibri" w:hAnsi="Calibri" w:eastAsia="Calibri" w:cs="Calibri"/>
          <w:sz w:val="22"/>
        </w:rPr>
        <w:t>.</w:t>
      </w:r>
    </w:p>
    <w:p>
      <w:pPr>
        <w:numPr>
          <w:ilvl w:val="0"/>
          <w:numId w:val="11"/>
        </w:numPr>
      </w:pPr>
      <w:hyperlink r:id="rId15">
        <w:r>
          <w:rPr>
            <w:rFonts w:ascii="Calibri" w:hAnsi="Calibri" w:eastAsia="Calibri" w:cs="Calibri"/>
            <w:color w:val="1C5D99"/>
            <w:u w:val="single"/>
          </w:rPr>
          <w:t>Qur’an 10:5 and translation comparison</w:t>
        </w:r>
      </w:hyperlink>
      <w:r>
        <w:rPr>
          <w:rFonts w:ascii="Calibri" w:hAnsi="Calibri" w:eastAsia="Calibri" w:cs="Calibri"/>
          <w:sz w:val="22"/>
        </w:rPr>
        <w:t xml:space="preserve">; </w:t>
      </w:r>
      <w:hyperlink r:id="rId16">
        <w:r>
          <w:rPr>
            <w:rFonts w:ascii="Calibri" w:hAnsi="Calibri" w:eastAsia="Calibri" w:cs="Calibri"/>
            <w:color w:val="1C5D99"/>
            <w:u w:val="single"/>
          </w:rPr>
          <w:t>Quran.com, 10:5</w:t>
        </w:r>
      </w:hyperlink>
      <w:r>
        <w:rPr>
          <w:rFonts w:ascii="Calibri" w:hAnsi="Calibri" w:eastAsia="Calibri" w:cs="Calibri"/>
          <w:sz w:val="22"/>
        </w:rPr>
        <w:t>.</w:t>
      </w:r>
    </w:p>
    <w:p>
      <w:pPr>
        <w:numPr>
          <w:ilvl w:val="0"/>
          <w:numId w:val="11"/>
        </w:numPr>
      </w:pPr>
      <w:hyperlink r:id="rId17">
        <w:r>
          <w:rPr>
            <w:rFonts w:ascii="Calibri" w:hAnsi="Calibri" w:eastAsia="Calibri" w:cs="Calibri"/>
            <w:color w:val="1C5D99"/>
            <w:u w:val="single"/>
          </w:rPr>
          <w:t>Qur’an 17:12 and translation comparison</w:t>
        </w:r>
      </w:hyperlink>
      <w:r>
        <w:rPr>
          <w:rFonts w:ascii="Calibri" w:hAnsi="Calibri" w:eastAsia="Calibri" w:cs="Calibri"/>
          <w:sz w:val="22"/>
        </w:rPr>
        <w:t xml:space="preserve">; </w:t>
      </w:r>
      <w:hyperlink r:id="rId18">
        <w:r>
          <w:rPr>
            <w:rFonts w:ascii="Calibri" w:hAnsi="Calibri" w:eastAsia="Calibri" w:cs="Calibri"/>
            <w:color w:val="1C5D99"/>
            <w:u w:val="single"/>
          </w:rPr>
          <w:t>Quran.com, 17:12</w:t>
        </w:r>
      </w:hyperlink>
      <w:r>
        <w:rPr>
          <w:rFonts w:ascii="Calibri" w:hAnsi="Calibri" w:eastAsia="Calibri" w:cs="Calibri"/>
          <w:sz w:val="22"/>
        </w:rPr>
        <w:t>.</w:t>
      </w:r>
    </w:p>
    <w:p>
      <w:pPr>
        <w:numPr>
          <w:ilvl w:val="0"/>
          <w:numId w:val="11"/>
        </w:numPr>
      </w:pPr>
      <w:hyperlink r:id="rId19">
        <w:r>
          <w:rPr>
            <w:rFonts w:ascii="Calibri" w:hAnsi="Calibri" w:eastAsia="Calibri" w:cs="Calibri"/>
            <w:color w:val="1C5D99"/>
            <w:u w:val="single"/>
          </w:rPr>
          <w:t>Abdel Haleem’s translation of Qur’an 13:17</w:t>
        </w:r>
      </w:hyperlink>
      <w:r>
        <w:rPr>
          <w:rFonts w:ascii="Calibri" w:hAnsi="Calibri" w:eastAsia="Calibri" w:cs="Calibri"/>
          <w:sz w:val="22"/>
        </w:rPr>
        <w:t>.</w:t>
      </w:r>
    </w:p>
    <w:p>
      <w:pPr>
        <w:numPr>
          <w:ilvl w:val="0"/>
          <w:numId w:val="11"/>
        </w:numPr>
      </w:pPr>
      <w:hyperlink r:id="rId20">
        <w:r>
          <w:rPr>
            <w:rFonts w:ascii="Calibri" w:hAnsi="Calibri" w:eastAsia="Calibri" w:cs="Calibri"/>
            <w:color w:val="1C5D99"/>
            <w:u w:val="single"/>
          </w:rPr>
          <w:t>Al-Jalalayn on Qur’an 55:5</w:t>
        </w:r>
      </w:hyperlink>
      <w:r>
        <w:rPr>
          <w:rFonts w:ascii="Calibri" w:hAnsi="Calibri" w:eastAsia="Calibri" w:cs="Calibri"/>
          <w:sz w:val="22"/>
        </w:rPr>
        <w:t xml:space="preserve">; </w:t>
      </w:r>
      <w:hyperlink r:id="rId21">
        <w:r>
          <w:rPr>
            <w:rFonts w:ascii="Calibri" w:hAnsi="Calibri" w:eastAsia="Calibri" w:cs="Calibri"/>
            <w:color w:val="1C5D99"/>
            <w:u w:val="single"/>
          </w:rPr>
          <w:t>Maʿārif al-Qurʾān on Qur’an 55:5</w:t>
        </w:r>
      </w:hyperlink>
      <w:r>
        <w:rPr>
          <w:rFonts w:ascii="Calibri" w:hAnsi="Calibri" w:eastAsia="Calibri" w:cs="Calibri"/>
          <w:sz w:val="22"/>
        </w:rPr>
        <w:t>.</w:t>
      </w:r>
    </w:p>
    <w:p>
      <w:pPr>
        <w:numPr>
          <w:ilvl w:val="0"/>
          <w:numId w:val="11"/>
        </w:numPr>
      </w:pPr>
      <w:hyperlink r:id="rId22">
        <w:r>
          <w:rPr>
            <w:rFonts w:ascii="Calibri" w:hAnsi="Calibri" w:eastAsia="Calibri" w:cs="Calibri"/>
            <w:color w:val="1C5D99"/>
            <w:u w:val="single"/>
          </w:rPr>
          <w:t>Muhammad Asad’s note on Qur’an 10:5</w:t>
        </w:r>
      </w:hyperlink>
      <w:r>
        <w:rPr>
          <w:rFonts w:ascii="Calibri" w:hAnsi="Calibri" w:eastAsia="Calibri" w:cs="Calibri"/>
          <w:sz w:val="22"/>
        </w:rPr>
        <w:t>.</w:t>
      </w:r>
    </w:p>
    <w:p>
      <w:pPr>
        <w:pStyle w:val="Heading2"/>
        <w:keepNext/>
      </w:pPr>
      <w:r>
        <w:t>Calendar science and history</w:t>
      </w:r>
    </w:p>
    <w:p>
      <w:pPr>
        <w:numPr>
          <w:ilvl w:val="0"/>
          <w:numId w:val="11"/>
        </w:numPr>
      </w:pPr>
      <w:r>
        <w:rPr>
          <w:rFonts w:ascii="Calibri" w:hAnsi="Calibri" w:eastAsia="Calibri" w:cs="Calibri"/>
          <w:sz w:val="22"/>
        </w:rPr>
        <w:t xml:space="preserve">U.S. Naval Observatory, </w:t>
      </w:r>
      <w:hyperlink r:id="rId23">
        <w:r>
          <w:rPr>
            <w:rFonts w:ascii="Calibri" w:hAnsi="Calibri" w:eastAsia="Calibri" w:cs="Calibri"/>
            <w:color w:val="1C5D99"/>
            <w:u w:val="single"/>
          </w:rPr>
          <w:t>“The Islamic Calendar”</w:t>
        </w:r>
      </w:hyperlink>
      <w:r>
        <w:rPr>
          <w:rFonts w:ascii="Calibri" w:hAnsi="Calibri" w:eastAsia="Calibri" w:cs="Calibri"/>
          <w:sz w:val="22"/>
        </w:rPr>
        <w:t xml:space="preserve">; </w:t>
      </w:r>
      <w:hyperlink r:id="rId24">
        <w:r>
          <w:rPr>
            <w:rFonts w:ascii="Calibri" w:hAnsi="Calibri" w:eastAsia="Calibri" w:cs="Calibri"/>
            <w:color w:val="1C5D99"/>
            <w:u w:val="single"/>
          </w:rPr>
          <w:t>“Leap Years”</w:t>
        </w:r>
      </w:hyperlink>
      <w:r>
        <w:rPr>
          <w:rFonts w:ascii="Calibri" w:hAnsi="Calibri" w:eastAsia="Calibri" w:cs="Calibri"/>
          <w:sz w:val="22"/>
        </w:rPr>
        <w:t>.</w:t>
      </w:r>
    </w:p>
    <w:p>
      <w:pPr>
        <w:numPr>
          <w:ilvl w:val="0"/>
          <w:numId w:val="11"/>
        </w:numPr>
      </w:pPr>
      <w:r>
        <w:rPr>
          <w:rFonts w:ascii="Calibri" w:hAnsi="Calibri" w:eastAsia="Calibri" w:cs="Calibri"/>
          <w:sz w:val="22"/>
        </w:rPr>
        <w:t xml:space="preserve">Pontifical Academy of Sciences, </w:t>
      </w:r>
      <w:hyperlink r:id="rId25">
        <w:r>
          <w:rPr>
            <w:rFonts w:ascii="Calibri" w:hAnsi="Calibri" w:eastAsia="Calibri" w:cs="Calibri"/>
            <w:color w:val="1C5D99"/>
            <w:u w:val="single"/>
            <w:i/>
          </w:rPr>
          <w:t>The Gregorian Reform of the Calendar</w:t>
        </w:r>
      </w:hyperlink>
      <w:r>
        <w:rPr>
          <w:rFonts w:ascii="Calibri" w:hAnsi="Calibri" w:eastAsia="Calibri" w:cs="Calibri"/>
          <w:sz w:val="22"/>
        </w:rPr>
        <w:t>.</w:t>
      </w:r>
    </w:p>
    <w:p>
      <w:pPr>
        <w:numPr>
          <w:ilvl w:val="0"/>
          <w:numId w:val="11"/>
        </w:numPr>
      </w:pPr>
      <w:r>
        <w:rPr>
          <w:rFonts w:ascii="Calibri" w:hAnsi="Calibri" w:eastAsia="Calibri" w:cs="Calibri"/>
          <w:sz w:val="22"/>
        </w:rPr>
        <w:t xml:space="preserve">Linda Hall Library, </w:t>
      </w:r>
      <w:hyperlink r:id="rId26">
        <w:r>
          <w:rPr>
            <w:rFonts w:ascii="Calibri" w:hAnsi="Calibri" w:eastAsia="Calibri" w:cs="Calibri"/>
            <w:color w:val="1C5D99"/>
            <w:u w:val="single"/>
          </w:rPr>
          <w:t>“Pope Gregory XIII”</w:t>
        </w:r>
      </w:hyperlink>
      <w:r>
        <w:rPr>
          <w:rFonts w:ascii="Calibri" w:hAnsi="Calibri" w:eastAsia="Calibri" w:cs="Calibri"/>
          <w:sz w:val="22"/>
        </w:rPr>
        <w:t>.</w:t>
      </w:r>
    </w:p>
    <w:p>
      <w:pPr>
        <w:numPr>
          <w:ilvl w:val="0"/>
          <w:numId w:val="11"/>
        </w:numPr>
      </w:pPr>
      <w:r>
        <w:rPr>
          <w:rFonts w:ascii="Calibri" w:hAnsi="Calibri" w:eastAsia="Calibri" w:cs="Calibri"/>
          <w:sz w:val="22"/>
        </w:rPr>
        <w:t xml:space="preserve">Encyclopaedia Iranica, </w:t>
      </w:r>
      <w:hyperlink r:id="rId27">
        <w:r>
          <w:rPr>
            <w:rFonts w:ascii="Calibri" w:hAnsi="Calibri" w:eastAsia="Calibri" w:cs="Calibri"/>
            <w:color w:val="1C5D99"/>
            <w:u w:val="single"/>
          </w:rPr>
          <w:t>“Omar Khayyam as Astronomer”</w:t>
        </w:r>
      </w:hyperlink>
      <w:r>
        <w:rPr>
          <w:rFonts w:ascii="Calibri" w:hAnsi="Calibri" w:eastAsia="Calibri" w:cs="Calibri"/>
          <w:sz w:val="22"/>
        </w:rPr>
        <w:t>.</w:t>
      </w:r>
    </w:p>
    <w:p>
      <w:pPr>
        <w:numPr>
          <w:ilvl w:val="0"/>
          <w:numId w:val="11"/>
        </w:numPr>
      </w:pPr>
      <w:r>
        <w:rPr>
          <w:rFonts w:ascii="Calibri" w:hAnsi="Calibri" w:eastAsia="Calibri" w:cs="Calibri"/>
          <w:sz w:val="22"/>
        </w:rPr>
        <w:t xml:space="preserve">Paul Lunde, </w:t>
      </w:r>
      <w:hyperlink r:id="rId28">
        <w:r>
          <w:rPr>
            <w:rFonts w:ascii="Calibri" w:hAnsi="Calibri" w:eastAsia="Calibri" w:cs="Calibri"/>
            <w:color w:val="1C5D99"/>
            <w:u w:val="single"/>
          </w:rPr>
          <w:t>“The Hijri Calendar”</w:t>
        </w:r>
      </w:hyperlink>
      <w:r>
        <w:rPr>
          <w:rFonts w:ascii="Calibri" w:hAnsi="Calibri" w:eastAsia="Calibri" w:cs="Calibri"/>
          <w:sz w:val="22"/>
        </w:rPr>
        <w:t xml:space="preserve">, </w:t>
      </w:r>
      <w:r>
        <w:rPr>
          <w:rFonts w:ascii="Calibri" w:hAnsi="Calibri" w:eastAsia="Calibri" w:cs="Calibri"/>
          <w:i/>
          <w:sz w:val="22"/>
        </w:rPr>
        <w:t>AramcoWorld</w:t>
      </w:r>
      <w:r>
        <w:rPr>
          <w:rFonts w:ascii="Calibri" w:hAnsi="Calibri" w:eastAsia="Calibri" w:cs="Calibri"/>
          <w:sz w:val="22"/>
        </w:rPr>
        <w:t>.</w:t>
      </w:r>
    </w:p>
    <w:p>
      <w:pPr>
        <w:numPr>
          <w:ilvl w:val="0"/>
          <w:numId w:val="11"/>
        </w:numPr>
      </w:pPr>
      <w:r>
        <w:rPr>
          <w:rFonts w:ascii="Calibri" w:hAnsi="Calibri" w:eastAsia="Calibri" w:cs="Calibri"/>
          <w:sz w:val="22"/>
        </w:rPr>
        <w:t xml:space="preserve">Zia H. Shah, </w:t>
      </w:r>
      <w:hyperlink r:id="rId29">
        <w:r>
          <w:rPr>
            <w:rFonts w:ascii="Calibri" w:hAnsi="Calibri" w:eastAsia="Calibri" w:cs="Calibri"/>
            <w:color w:val="1C5D99"/>
            <w:u w:val="single"/>
          </w:rPr>
          <w:t>“From Moon Cycles to Solar Years: The Evolution of Calendars”</w:t>
        </w:r>
      </w:hyperlink>
      <w:r>
        <w:rPr>
          <w:rFonts w:ascii="Calibri" w:hAnsi="Calibri" w:eastAsia="Calibri" w:cs="Calibri"/>
          <w:sz w:val="22"/>
        </w:rPr>
        <w:t xml:space="preserve"> (2025).</w:t>
      </w:r>
    </w:p>
    <w:p>
      <w:pPr>
        <w:pStyle w:val="Heading2"/>
        <w:keepNext/>
      </w:pPr>
      <w:r>
        <w:t>Islamic mathematics, astronomy, and transmission</w:t>
      </w:r>
    </w:p>
    <w:p>
      <w:pPr>
        <w:numPr>
          <w:ilvl w:val="0"/>
          <w:numId w:val="11"/>
        </w:numPr>
      </w:pPr>
      <w:r>
        <w:rPr>
          <w:rFonts w:ascii="Calibri" w:hAnsi="Calibri" w:eastAsia="Calibri" w:cs="Calibri"/>
          <w:sz w:val="22"/>
        </w:rPr>
        <w:t xml:space="preserve">MacTutor History of Mathematics, </w:t>
      </w:r>
      <w:hyperlink r:id="rId30">
        <w:r>
          <w:rPr>
            <w:rFonts w:ascii="Calibri" w:hAnsi="Calibri" w:eastAsia="Calibri" w:cs="Calibri"/>
            <w:color w:val="1C5D99"/>
            <w:u w:val="single"/>
          </w:rPr>
          <w:t>“Arabic Mathematics”</w:t>
        </w:r>
      </w:hyperlink>
      <w:r>
        <w:rPr>
          <w:rFonts w:ascii="Calibri" w:hAnsi="Calibri" w:eastAsia="Calibri" w:cs="Calibri"/>
          <w:sz w:val="22"/>
        </w:rPr>
        <w:t xml:space="preserve">, with biographies of </w:t>
      </w:r>
      <w:hyperlink r:id="rId31">
        <w:r>
          <w:rPr>
            <w:rFonts w:ascii="Calibri" w:hAnsi="Calibri" w:eastAsia="Calibri" w:cs="Calibri"/>
            <w:color w:val="1C5D99"/>
            <w:u w:val="single"/>
          </w:rPr>
          <w:t>al-Khwārizmī</w:t>
        </w:r>
      </w:hyperlink>
      <w:r>
        <w:rPr>
          <w:rFonts w:ascii="Calibri" w:hAnsi="Calibri" w:eastAsia="Calibri" w:cs="Calibri"/>
          <w:sz w:val="22"/>
        </w:rPr>
        <w:t xml:space="preserve">, </w:t>
      </w:r>
      <w:hyperlink r:id="rId32">
        <w:r>
          <w:rPr>
            <w:rFonts w:ascii="Calibri" w:hAnsi="Calibri" w:eastAsia="Calibri" w:cs="Calibri"/>
            <w:color w:val="1C5D99"/>
            <w:u w:val="single"/>
          </w:rPr>
          <w:t>al-Battānī</w:t>
        </w:r>
      </w:hyperlink>
      <w:r>
        <w:rPr>
          <w:rFonts w:ascii="Calibri" w:hAnsi="Calibri" w:eastAsia="Calibri" w:cs="Calibri"/>
          <w:sz w:val="22"/>
        </w:rPr>
        <w:t xml:space="preserve">, </w:t>
      </w:r>
      <w:hyperlink r:id="rId33">
        <w:r>
          <w:rPr>
            <w:rFonts w:ascii="Calibri" w:hAnsi="Calibri" w:eastAsia="Calibri" w:cs="Calibri"/>
            <w:color w:val="1C5D99"/>
            <w:u w:val="single"/>
          </w:rPr>
          <w:t>al-Bīrūnī</w:t>
        </w:r>
      </w:hyperlink>
      <w:r>
        <w:rPr>
          <w:rFonts w:ascii="Calibri" w:hAnsi="Calibri" w:eastAsia="Calibri" w:cs="Calibri"/>
          <w:sz w:val="22"/>
        </w:rPr>
        <w:t xml:space="preserve">, </w:t>
      </w:r>
      <w:hyperlink r:id="rId34">
        <w:r>
          <w:rPr>
            <w:rFonts w:ascii="Calibri" w:hAnsi="Calibri" w:eastAsia="Calibri" w:cs="Calibri"/>
            <w:color w:val="1C5D99"/>
            <w:u w:val="single"/>
          </w:rPr>
          <w:t>al-Ṭūsī</w:t>
        </w:r>
      </w:hyperlink>
      <w:r>
        <w:rPr>
          <w:rFonts w:ascii="Calibri" w:hAnsi="Calibri" w:eastAsia="Calibri" w:cs="Calibri"/>
          <w:sz w:val="22"/>
        </w:rPr>
        <w:t xml:space="preserve">, and </w:t>
      </w:r>
      <w:hyperlink r:id="rId35">
        <w:r>
          <w:rPr>
            <w:rFonts w:ascii="Calibri" w:hAnsi="Calibri" w:eastAsia="Calibri" w:cs="Calibri"/>
            <w:color w:val="1C5D99"/>
            <w:u w:val="single"/>
          </w:rPr>
          <w:t>al-Kāshī</w:t>
        </w:r>
      </w:hyperlink>
      <w:r>
        <w:rPr>
          <w:rFonts w:ascii="Calibri" w:hAnsi="Calibri" w:eastAsia="Calibri" w:cs="Calibri"/>
          <w:sz w:val="22"/>
        </w:rPr>
        <w:t>.</w:t>
      </w:r>
    </w:p>
    <w:p>
      <w:pPr>
        <w:numPr>
          <w:ilvl w:val="0"/>
          <w:numId w:val="11"/>
        </w:numPr>
      </w:pPr>
      <w:r>
        <w:rPr>
          <w:rFonts w:ascii="Calibri" w:hAnsi="Calibri" w:eastAsia="Calibri" w:cs="Calibri"/>
          <w:sz w:val="22"/>
        </w:rPr>
        <w:t xml:space="preserve">Metropolitan Museum of Art, </w:t>
      </w:r>
      <w:hyperlink r:id="rId36">
        <w:r>
          <w:rPr>
            <w:rFonts w:ascii="Calibri" w:hAnsi="Calibri" w:eastAsia="Calibri" w:cs="Calibri"/>
            <w:color w:val="1C5D99"/>
            <w:u w:val="single"/>
          </w:rPr>
          <w:t>“The Astrolabe”</w:t>
        </w:r>
      </w:hyperlink>
      <w:r>
        <w:rPr>
          <w:rFonts w:ascii="Calibri" w:hAnsi="Calibri" w:eastAsia="Calibri" w:cs="Calibri"/>
          <w:sz w:val="22"/>
        </w:rPr>
        <w:t>.</w:t>
      </w:r>
    </w:p>
    <w:p>
      <w:pPr>
        <w:numPr>
          <w:ilvl w:val="0"/>
          <w:numId w:val="11"/>
        </w:numPr>
      </w:pPr>
      <w:r>
        <w:rPr>
          <w:rFonts w:ascii="Calibri" w:hAnsi="Calibri" w:eastAsia="Calibri" w:cs="Calibri"/>
          <w:sz w:val="22"/>
        </w:rPr>
        <w:t xml:space="preserve">David A. King, </w:t>
      </w:r>
      <w:hyperlink r:id="rId37">
        <w:r>
          <w:rPr>
            <w:rFonts w:ascii="Calibri" w:hAnsi="Calibri" w:eastAsia="Calibri" w:cs="Calibri"/>
            <w:color w:val="1C5D99"/>
            <w:u w:val="single"/>
          </w:rPr>
          <w:t>“Ibn al-Shāṭir”</w:t>
        </w:r>
      </w:hyperlink>
      <w:r>
        <w:rPr>
          <w:rFonts w:ascii="Calibri" w:hAnsi="Calibri" w:eastAsia="Calibri" w:cs="Calibri"/>
          <w:sz w:val="22"/>
        </w:rPr>
        <w:t>.</w:t>
      </w:r>
    </w:p>
    <w:p>
      <w:pPr>
        <w:numPr>
          <w:ilvl w:val="0"/>
          <w:numId w:val="11"/>
        </w:numPr>
      </w:pPr>
      <w:r>
        <w:rPr>
          <w:rFonts w:ascii="Calibri" w:hAnsi="Calibri" w:eastAsia="Calibri" w:cs="Calibri"/>
          <w:sz w:val="22"/>
        </w:rPr>
        <w:t xml:space="preserve">Charles Burnett, </w:t>
      </w:r>
      <w:hyperlink r:id="rId38">
        <w:r>
          <w:rPr>
            <w:rFonts w:ascii="Calibri" w:hAnsi="Calibri" w:eastAsia="Calibri" w:cs="Calibri"/>
            <w:color w:val="1C5D99"/>
            <w:u w:val="single"/>
          </w:rPr>
          <w:t>“The Translation and Transmission of Greek and Islamic Science to Latin Christendom”</w:t>
        </w:r>
      </w:hyperlink>
      <w:r>
        <w:rPr>
          <w:rFonts w:ascii="Calibri" w:hAnsi="Calibri" w:eastAsia="Calibri" w:cs="Calibri"/>
          <w:sz w:val="22"/>
        </w:rPr>
        <w:t xml:space="preserve">, in </w:t>
      </w:r>
      <w:r>
        <w:rPr>
          <w:rFonts w:ascii="Calibri" w:hAnsi="Calibri" w:eastAsia="Calibri" w:cs="Calibri"/>
          <w:i/>
          <w:sz w:val="22"/>
        </w:rPr>
        <w:t>The Cambridge History of Science</w:t>
      </w:r>
      <w:r>
        <w:rPr>
          <w:rFonts w:ascii="Calibri" w:hAnsi="Calibri" w:eastAsia="Calibri" w:cs="Calibri"/>
          <w:sz w:val="22"/>
        </w:rPr>
        <w:t>.</w:t>
      </w:r>
    </w:p>
    <w:p>
      <w:pPr>
        <w:numPr>
          <w:ilvl w:val="0"/>
          <w:numId w:val="11"/>
        </w:numPr>
      </w:pPr>
      <w:r>
        <w:rPr>
          <w:rFonts w:ascii="Calibri" w:hAnsi="Calibri" w:eastAsia="Calibri" w:cs="Calibri"/>
          <w:sz w:val="22"/>
        </w:rPr>
        <w:t xml:space="preserve">George Saliba, </w:t>
      </w:r>
      <w:hyperlink r:id="rId39">
        <w:r>
          <w:rPr>
            <w:rFonts w:ascii="Calibri" w:hAnsi="Calibri" w:eastAsia="Calibri" w:cs="Calibri"/>
            <w:color w:val="1C5D99"/>
            <w:u w:val="single"/>
            <w:i/>
          </w:rPr>
          <w:t>Islamic Science and the Making of the European Renaissance</w:t>
        </w:r>
      </w:hyperlink>
      <w:r>
        <w:rPr>
          <w:rFonts w:ascii="Calibri" w:hAnsi="Calibri" w:eastAsia="Calibri" w:cs="Calibri"/>
          <w:sz w:val="22"/>
        </w:rPr>
        <w:t>.</w:t>
      </w:r>
    </w:p>
    <w:p>
      <w:pPr>
        <w:pStyle w:val="Heading2"/>
        <w:keepNext/>
      </w:pPr>
      <w:r>
        <w:t>Modern science and philosophy</w:t>
      </w:r>
    </w:p>
    <w:p>
      <w:pPr>
        <w:numPr>
          <w:ilvl w:val="0"/>
          <w:numId w:val="11"/>
        </w:numPr>
      </w:pPr>
      <w:r>
        <w:rPr>
          <w:rFonts w:ascii="Calibri" w:hAnsi="Calibri" w:eastAsia="Calibri" w:cs="Calibri"/>
          <w:sz w:val="22"/>
        </w:rPr>
        <w:t xml:space="preserve">NASA, </w:t>
      </w:r>
      <w:hyperlink r:id="rId40">
        <w:r>
          <w:rPr>
            <w:rFonts w:ascii="Calibri" w:hAnsi="Calibri" w:eastAsia="Calibri" w:cs="Calibri"/>
            <w:color w:val="1C5D99"/>
            <w:u w:val="single"/>
          </w:rPr>
          <w:t>“Moon Phases”</w:t>
        </w:r>
      </w:hyperlink>
      <w:r>
        <w:rPr>
          <w:rFonts w:ascii="Calibri" w:hAnsi="Calibri" w:eastAsia="Calibri" w:cs="Calibri"/>
          <w:sz w:val="22"/>
        </w:rPr>
        <w:t xml:space="preserve">, </w:t>
      </w:r>
      <w:hyperlink r:id="rId41">
        <w:r>
          <w:rPr>
            <w:rFonts w:ascii="Calibri" w:hAnsi="Calibri" w:eastAsia="Calibri" w:cs="Calibri"/>
            <w:color w:val="1C5D99"/>
            <w:u w:val="single"/>
          </w:rPr>
          <w:t>“Sun Facts”</w:t>
        </w:r>
      </w:hyperlink>
      <w:r>
        <w:rPr>
          <w:rFonts w:ascii="Calibri" w:hAnsi="Calibri" w:eastAsia="Calibri" w:cs="Calibri"/>
          <w:sz w:val="22"/>
        </w:rPr>
        <w:t xml:space="preserve">, </w:t>
      </w:r>
      <w:hyperlink r:id="rId42">
        <w:r>
          <w:rPr>
            <w:rFonts w:ascii="Calibri" w:hAnsi="Calibri" w:eastAsia="Calibri" w:cs="Calibri"/>
            <w:color w:val="1C5D99"/>
            <w:u w:val="single"/>
          </w:rPr>
          <w:t>“Orbits and Kepler’s Laws”</w:t>
        </w:r>
      </w:hyperlink>
      <w:r>
        <w:rPr>
          <w:rFonts w:ascii="Calibri" w:hAnsi="Calibri" w:eastAsia="Calibri" w:cs="Calibri"/>
          <w:sz w:val="22"/>
        </w:rPr>
        <w:t xml:space="preserve">, and </w:t>
      </w:r>
      <w:hyperlink r:id="rId43">
        <w:r>
          <w:rPr>
            <w:rFonts w:ascii="Calibri" w:hAnsi="Calibri" w:eastAsia="Calibri" w:cs="Calibri"/>
            <w:color w:val="1C5D99"/>
            <w:u w:val="single"/>
          </w:rPr>
          <w:t>“The Habitable Zone”</w:t>
        </w:r>
      </w:hyperlink>
      <w:r>
        <w:rPr>
          <w:rFonts w:ascii="Calibri" w:hAnsi="Calibri" w:eastAsia="Calibri" w:cs="Calibri"/>
          <w:sz w:val="22"/>
        </w:rPr>
        <w:t>.</w:t>
      </w:r>
    </w:p>
    <w:p>
      <w:pPr>
        <w:numPr>
          <w:ilvl w:val="0"/>
          <w:numId w:val="11"/>
        </w:numPr>
      </w:pPr>
      <w:r>
        <w:rPr>
          <w:rFonts w:ascii="Calibri" w:hAnsi="Calibri" w:eastAsia="Calibri" w:cs="Calibri"/>
          <w:sz w:val="22"/>
        </w:rPr>
        <w:t xml:space="preserve">National Institute of General Medical Sciences, </w:t>
      </w:r>
      <w:hyperlink r:id="rId44">
        <w:r>
          <w:rPr>
            <w:rFonts w:ascii="Calibri" w:hAnsi="Calibri" w:eastAsia="Calibri" w:cs="Calibri"/>
            <w:color w:val="1C5D99"/>
            <w:u w:val="single"/>
          </w:rPr>
          <w:t>“Circadian Rhythms”</w:t>
        </w:r>
      </w:hyperlink>
      <w:r>
        <w:rPr>
          <w:rFonts w:ascii="Calibri" w:hAnsi="Calibri" w:eastAsia="Calibri" w:cs="Calibri"/>
          <w:sz w:val="22"/>
        </w:rPr>
        <w:t>.</w:t>
      </w:r>
    </w:p>
    <w:p>
      <w:pPr>
        <w:numPr>
          <w:ilvl w:val="0"/>
          <w:numId w:val="11"/>
        </w:numPr>
      </w:pPr>
      <w:r>
        <w:rPr>
          <w:rFonts w:ascii="Calibri" w:hAnsi="Calibri" w:eastAsia="Calibri" w:cs="Calibri"/>
          <w:sz w:val="22"/>
        </w:rPr>
        <w:t xml:space="preserve">Nobel Prize, </w:t>
      </w:r>
      <w:hyperlink r:id="rId45">
        <w:r>
          <w:rPr>
            <w:rFonts w:ascii="Calibri" w:hAnsi="Calibri" w:eastAsia="Calibri" w:cs="Calibri"/>
            <w:color w:val="1C5D99"/>
            <w:u w:val="single"/>
          </w:rPr>
          <w:t>Scientific background to the 2017 prize in physiology or medicine</w:t>
        </w:r>
      </w:hyperlink>
      <w:r>
        <w:rPr>
          <w:rFonts w:ascii="Calibri" w:hAnsi="Calibri" w:eastAsia="Calibri" w:cs="Calibri"/>
          <w:sz w:val="22"/>
        </w:rPr>
        <w:t>.</w:t>
      </w:r>
    </w:p>
    <w:p>
      <w:pPr>
        <w:numPr>
          <w:ilvl w:val="0"/>
          <w:numId w:val="11"/>
        </w:numPr>
      </w:pPr>
      <w:r>
        <w:rPr>
          <w:rFonts w:ascii="Calibri" w:hAnsi="Calibri" w:eastAsia="Calibri" w:cs="Calibri"/>
          <w:sz w:val="22"/>
        </w:rPr>
        <w:t xml:space="preserve">Stanford Encyclopedia of Philosophy, </w:t>
      </w:r>
      <w:hyperlink r:id="rId46">
        <w:r>
          <w:rPr>
            <w:rFonts w:ascii="Calibri" w:hAnsi="Calibri" w:eastAsia="Calibri" w:cs="Calibri"/>
            <w:color w:val="1C5D99"/>
            <w:u w:val="single"/>
          </w:rPr>
          <w:t>“Fine-Tuning”</w:t>
        </w:r>
      </w:hyperlink>
      <w:r>
        <w:rPr>
          <w:rFonts w:ascii="Calibri" w:hAnsi="Calibri" w:eastAsia="Calibri" w:cs="Calibri"/>
          <w:sz w:val="22"/>
        </w:rPr>
        <w:t xml:space="preserve">, </w:t>
      </w:r>
      <w:hyperlink r:id="rId47">
        <w:r>
          <w:rPr>
            <w:rFonts w:ascii="Calibri" w:hAnsi="Calibri" w:eastAsia="Calibri" w:cs="Calibri"/>
            <w:color w:val="1C5D99"/>
            <w:u w:val="single"/>
          </w:rPr>
          <w:t>“Al-Ghazali”</w:t>
        </w:r>
      </w:hyperlink>
      <w:r>
        <w:rPr>
          <w:rFonts w:ascii="Calibri" w:hAnsi="Calibri" w:eastAsia="Calibri" w:cs="Calibri"/>
          <w:sz w:val="22"/>
        </w:rPr>
        <w:t xml:space="preserve">, and </w:t>
      </w:r>
      <w:hyperlink r:id="rId48">
        <w:r>
          <w:rPr>
            <w:rFonts w:ascii="Calibri" w:hAnsi="Calibri" w:eastAsia="Calibri" w:cs="Calibri"/>
            <w:color w:val="1C5D99"/>
            <w:u w:val="single"/>
          </w:rPr>
          <w:t>“Occasionalism”</w:t>
        </w:r>
      </w:hyperlink>
      <w:r>
        <w:rPr>
          <w:rFonts w:ascii="Calibri" w:hAnsi="Calibri" w:eastAsia="Calibri" w:cs="Calibri"/>
          <w:sz w:val="22"/>
        </w:rPr>
        <w:t>.</w:t>
      </w:r>
    </w:p>
    <w:p>
      <w:pPr>
        <w:spacing w:before="240"/>
        <w:pBdr>
          <w:bottom w:val="single" w:sz="5" w:space="3" w:color="D4DDE4"/>
        </w:pBdr>
      </w:pPr>
    </w:p>
    <w:p>
      <w:pPr>
        <w:spacing w:before="120" w:after="40"/>
      </w:pPr>
      <w:r>
        <w:rPr>
          <w:rFonts w:ascii="Calibri" w:hAnsi="Calibri" w:eastAsia="Calibri" w:cs="Calibri"/>
          <w:b/>
          <w:color w:val="65737E"/>
          <w:sz w:val="18"/>
        </w:rPr>
        <w:t>Research note</w:t>
      </w:r>
    </w:p>
    <w:p>
      <w:pPr>
        <w:spacing w:after="0" w:line="276" w:lineRule="auto"/>
      </w:pPr>
      <w:r>
        <w:rPr>
          <w:rFonts w:ascii="Calibri" w:hAnsi="Calibri" w:eastAsia="Calibri" w:cs="Calibri"/>
          <w:color w:val="65737E"/>
          <w:sz w:val="17"/>
        </w:rPr>
        <w:t>Sources were checked through 28 August 2026. Modern translation quotations are limited to brief comparison excerpts; a fresh literal rendering is supplied for each complete verse.</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cs="Calibri"/>
        <w:color w:val="65737E"/>
        <w:sz w:val="17"/>
      </w:rPr>
      <w:t xml:space="preserve">Page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s="Calibri"/>
        <w:color w:val="65737E"/>
        <w:sz w:val="17"/>
      </w:rPr>
      <w:t>Deep Research Commentary  •  28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left"/>
      <w:pBdr>
        <w:bottom w:val="single" w:sz="6" w:space="3" w:color="D4DDE4"/>
      </w:pBdr>
    </w:pPr>
    <w:r>
      <w:rPr>
        <w:rFonts w:ascii="Calibri" w:hAnsi="Calibri" w:eastAsia="Calibri" w:cs="Calibri"/>
        <w:b/>
        <w:color w:val="65737E"/>
        <w:sz w:val="17"/>
      </w:rPr>
      <w:t>COSMIC RECKONING  |  QUR’AN, CALENDARS, AND KNOWLEDGE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lvlJc w:val="left"/>
      <w:pPr>
        <w:tabs>
          <w:tab w:val="num" w:pos="720"/>
        </w:tabs>
        <w:ind w:left="720" w:hanging="459"/>
        <w:spacing w:after="80" w:line="290" w:lineRule="auto"/>
      </w:pPr>
    </w:lvl>
  </w:abstractNum>
  <w:num w:numId="10">
    <w:abstractNumId w:val="9"/>
  </w:num>
  <w:abstractNum w:abstractNumId="10">
    <w:multiLevelType w:val="singleLevel"/>
    <w:lvl w:ilvl="0">
      <w:start w:val="1"/>
      <w:numFmt w:val="bullet"/>
      <w:lvlText w:val="•"/>
      <w:suff w:val="tab"/>
      <w:lvlJc w:val="left"/>
      <w:pPr>
        <w:tabs>
          <w:tab w:val="num" w:pos="540"/>
        </w:tabs>
        <w:ind w:left="540" w:hanging="279"/>
        <w:spacing w:after="80" w:line="290" w:lineRule="auto"/>
      </w:pPr>
      <w:rPr>
        <w:rFonts w:ascii="Symbol" w:hAnsi="Symbol"/>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00" w:line="240" w:lineRule="auto"/>
      <w:contextualSpacing/>
      <w:jc w:val="center"/>
    </w:pPr>
    <w:rPr>
      <w:rFonts w:asciiTheme="majorHAnsi" w:eastAsiaTheme="majorEastAsia" w:hAnsiTheme="majorHAnsi" w:cstheme="majorBidi" w:ascii="Calibri" w:hAnsi="Calibri"/>
      <w:b/>
      <w:color w:val="20374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jc w:val="center"/>
    </w:pPr>
    <w:rPr>
      <w:rFonts w:asciiTheme="majorHAnsi" w:eastAsiaTheme="majorEastAsia" w:hAnsiTheme="majorHAnsi" w:cstheme="majorBidi" w:ascii="Calibri" w:hAnsi="Calibri"/>
      <w:i/>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myislam.org/surah-ar-rahman/ayat-5/" TargetMode="External"/><Relationship Id="rId14" Type="http://schemas.openxmlformats.org/officeDocument/2006/relationships/hyperlink" Target="https://quran.com/ar-rahman/5" TargetMode="External"/><Relationship Id="rId15" Type="http://schemas.openxmlformats.org/officeDocument/2006/relationships/hyperlink" Target="https://myislam.org/surah-yunus/ayat-5/" TargetMode="External"/><Relationship Id="rId16" Type="http://schemas.openxmlformats.org/officeDocument/2006/relationships/hyperlink" Target="https://quran.com/yunus/5" TargetMode="External"/><Relationship Id="rId17" Type="http://schemas.openxmlformats.org/officeDocument/2006/relationships/hyperlink" Target="https://myislam.org/surah-isra/ayat-12/" TargetMode="External"/><Relationship Id="rId18" Type="http://schemas.openxmlformats.org/officeDocument/2006/relationships/hyperlink" Target="https://quran.com/al-isra/12" TargetMode="External"/><Relationship Id="rId19" Type="http://schemas.openxmlformats.org/officeDocument/2006/relationships/hyperlink" Target="https://quran.com/ar-rad/17/translation/en-haleem" TargetMode="External"/><Relationship Id="rId20" Type="http://schemas.openxmlformats.org/officeDocument/2006/relationships/hyperlink" Target="https://surahquran.com/tafsir-english-aya-5-sora-55.html" TargetMode="External"/><Relationship Id="rId21" Type="http://schemas.openxmlformats.org/officeDocument/2006/relationships/hyperlink" Target="https://quran.com/ar-rahman/5/tafsirs/en-tafsir-maarif-ul-quran" TargetMode="External"/><Relationship Id="rId22" Type="http://schemas.openxmlformats.org/officeDocument/2006/relationships/hyperlink" Target="https://www.alim.org/quran/compare/surah/10/5/" TargetMode="External"/><Relationship Id="rId23" Type="http://schemas.openxmlformats.org/officeDocument/2006/relationships/hyperlink" Target="https://aa.usno.navy.mil/faq/islamic" TargetMode="External"/><Relationship Id="rId24" Type="http://schemas.openxmlformats.org/officeDocument/2006/relationships/hyperlink" Target="https://aa.usno.navy.mil/faq/leap_years" TargetMode="External"/><Relationship Id="rId25" Type="http://schemas.openxmlformats.org/officeDocument/2006/relationships/hyperlink" Target="https://www.pas.va/en/publications/extra-series/es3pas.html" TargetMode="External"/><Relationship Id="rId26" Type="http://schemas.openxmlformats.org/officeDocument/2006/relationships/hyperlink" Target="https://www.lindahall.org/about/news/scientist-of-the-day/pope-gregory-xiii/" TargetMode="External"/><Relationship Id="rId27" Type="http://schemas.openxmlformats.org/officeDocument/2006/relationships/hyperlink" Target="https://www.iranicaonline.org/articles/khayyam-omar/khayyam-omar-xv-as-astronomer/" TargetMode="External"/><Relationship Id="rId28" Type="http://schemas.openxmlformats.org/officeDocument/2006/relationships/hyperlink" Target="https://www.aramcoworld.com/articles/2023/2024-calendar" TargetMode="External"/><Relationship Id="rId29" Type="http://schemas.openxmlformats.org/officeDocument/2006/relationships/hyperlink" Target="https://thequran.love/2025/04/10/from-moon-cycles-to-solar-years-the-evolution-of-calendars/" TargetMode="External"/><Relationship Id="rId30" Type="http://schemas.openxmlformats.org/officeDocument/2006/relationships/hyperlink" Target="https://mathshistory.st-andrews.ac.uk/HistTopics/Arabic_mathematics/" TargetMode="External"/><Relationship Id="rId31" Type="http://schemas.openxmlformats.org/officeDocument/2006/relationships/hyperlink" Target="https://mathshistory.st-andrews.ac.uk/Biographies/Al-Khwarizmi/" TargetMode="External"/><Relationship Id="rId32" Type="http://schemas.openxmlformats.org/officeDocument/2006/relationships/hyperlink" Target="https://mathshistory.st-andrews.ac.uk/Biographies/Al-Battani/" TargetMode="External"/><Relationship Id="rId33" Type="http://schemas.openxmlformats.org/officeDocument/2006/relationships/hyperlink" Target="https://mathshistory.st-andrews.ac.uk/Biographies/Al-Biruni/" TargetMode="External"/><Relationship Id="rId34" Type="http://schemas.openxmlformats.org/officeDocument/2006/relationships/hyperlink" Target="https://mathshistory.st-andrews.ac.uk/Biographies/Al-Tusi_Nasir/" TargetMode="External"/><Relationship Id="rId35" Type="http://schemas.openxmlformats.org/officeDocument/2006/relationships/hyperlink" Target="https://mathshistory.st-andrews.ac.uk/Biographies/Al-Kashi/" TargetMode="External"/><Relationship Id="rId36" Type="http://schemas.openxmlformats.org/officeDocument/2006/relationships/hyperlink" Target="https://www.metmuseum.org/learn/educators/curriculum-resources/art-of-the-islamic-world/unit-four/featured-works-of-art/image-16" TargetMode="External"/><Relationship Id="rId37" Type="http://schemas.openxmlformats.org/officeDocument/2006/relationships/hyperlink" Target="https://islamsci.mcgill.ca/RASI/BEA/Ibn_al-Shatir_BEA.htm" TargetMode="External"/><Relationship Id="rId38" Type="http://schemas.openxmlformats.org/officeDocument/2006/relationships/hyperlink" Target="https://www.cambridge.org/core/books/abs/cambridge-history-of-science/translation-and-transmission-of-greek-and-islamic-science-to-latin-christendom/80DAC63DA8ED033148F327E7E37532F1" TargetMode="External"/><Relationship Id="rId39" Type="http://schemas.openxmlformats.org/officeDocument/2006/relationships/hyperlink" Target="https://mitpress.mit.edu/9780262195577/islamic-science-and-the-making-of-the-european-renaissance/" TargetMode="External"/><Relationship Id="rId40" Type="http://schemas.openxmlformats.org/officeDocument/2006/relationships/hyperlink" Target="https://science.nasa.gov/moon/moon-phases/" TargetMode="External"/><Relationship Id="rId41" Type="http://schemas.openxmlformats.org/officeDocument/2006/relationships/hyperlink" Target="https://science.nasa.gov/sun/facts/" TargetMode="External"/><Relationship Id="rId42" Type="http://schemas.openxmlformats.org/officeDocument/2006/relationships/hyperlink" Target="https://science.nasa.gov/solar-system/orbits-and-keplers-laws/" TargetMode="External"/><Relationship Id="rId43" Type="http://schemas.openxmlformats.org/officeDocument/2006/relationships/hyperlink" Target="https://science.nasa.gov/exoplanets/habitable-zone/" TargetMode="External"/><Relationship Id="rId44" Type="http://schemas.openxmlformats.org/officeDocument/2006/relationships/hyperlink" Target="https://www.nigms.nih.gov/education/fact-sheets/Pages/circadian-rhythms" TargetMode="External"/><Relationship Id="rId45" Type="http://schemas.openxmlformats.org/officeDocument/2006/relationships/hyperlink" Target="https://www.nobelprize.org/prizes/medicine/2017/advanced-information/" TargetMode="External"/><Relationship Id="rId46" Type="http://schemas.openxmlformats.org/officeDocument/2006/relationships/hyperlink" Target="https://plato.stanford.edu/entries/fine-tuning/" TargetMode="External"/><Relationship Id="rId47" Type="http://schemas.openxmlformats.org/officeDocument/2006/relationships/hyperlink" Target="https://plato.stanford.edu/entries/al-ghazali/" TargetMode="External"/><Relationship Id="rId48" Type="http://schemas.openxmlformats.org/officeDocument/2006/relationships/hyperlink" Target="https://plato.stanford.edu/entries/occasion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Cosmic Reckoning: The Sun, the Moon, Calendars, and the Qur’anic Theology of Knowledge</dc:title>
  <dc:subject>Scientific, historical, philosophical, and theological commentary on Qur’an 55:5, 10:5, and 17:12</dc:subject>
  <dc:creator>OpenAI Deep Research</dc:creator>
  <cp:keywords>Quran, calendars, Islamic astronomy, Gregorian calendar, history of science, theology</cp:keywords>
  <dc:description>Prepared 28 August 2026</dc:description>
  <cp:lastModifiedBy/>
  <cp:revision>1</cp:revision>
  <dcterms:created xsi:type="dcterms:W3CDTF">2013-12-23T23:15:00Z</dcterms:created>
  <dcterms:modified xsi:type="dcterms:W3CDTF">2013-12-23T23:15:00Z</dcterms:modified>
  <cp:category/>
</cp:coreProperties>
</file>