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240" w:after="360"/>
        <w:jc w:val="center"/>
      </w:pPr>
      <w:r>
        <w:rPr>
          <w:rFonts w:ascii="Calibri" w:hAnsi="Calibri" w:cs="Calibri"/>
          <w:b/>
          <w:color w:val="9A7016"/>
          <w:sz w:val="21"/>
        </w:rPr>
        <w:t>QUR’ANIC COMMENTARY</w:t>
      </w:r>
    </w:p>
    <w:p>
      <w:pPr>
        <w:spacing w:after="200"/>
        <w:jc w:val="center"/>
      </w:pPr>
      <w:r>
        <w:rPr>
          <w:rFonts w:ascii="Calibri" w:hAnsi="Calibri" w:cs="Calibri"/>
          <w:b/>
          <w:color w:val="203748"/>
          <w:sz w:val="60"/>
        </w:rPr>
        <w:t>When Sakīnah Is Threatened</w:t>
      </w:r>
    </w:p>
    <w:p>
      <w:pPr>
        <w:spacing w:after="160"/>
        <w:jc w:val="center"/>
      </w:pPr>
      <w:r>
        <w:rPr>
          <w:rFonts w:ascii="Calibri" w:hAnsi="Calibri" w:cs="Calibri"/>
          <w:b/>
          <w:color w:val="1F4D78"/>
          <w:sz w:val="34"/>
        </w:rPr>
        <w:t>From Qiwāmah to Iṣlāḥ</w:t>
      </w:r>
    </w:p>
    <w:p>
      <w:pPr>
        <w:spacing w:after="840"/>
        <w:jc w:val="center"/>
      </w:pPr>
      <w:r>
        <w:rPr>
          <w:rFonts w:ascii="Calibri" w:hAnsi="Calibri" w:cs="Calibri"/>
          <w:color w:val="5A646D"/>
          <w:sz w:val="27"/>
        </w:rPr>
        <w:t>A Comprehensive Classical and Contemporary Commentary on Qur’an 4:34–35</w:t>
      </w:r>
    </w:p>
    <w:p>
      <w:pPr>
        <w:spacing w:after="140"/>
        <w:jc w:val="center"/>
      </w:pPr>
      <w:r>
        <w:rPr>
          <w:rFonts w:ascii="Calibri" w:hAnsi="Calibri" w:cs="Calibri"/>
          <w:b/>
          <w:color w:val="9A7016"/>
          <w:sz w:val="21"/>
        </w:rPr>
        <w:t>Responsibility • Marital Rupture • Nonviolence • Arbitration • Mercy</w:t>
      </w:r>
    </w:p>
    <w:p>
      <w:pPr>
        <w:spacing w:before="1440"/>
        <w:jc w:val="center"/>
      </w:pPr>
      <w:r>
        <w:rPr>
          <w:rFonts w:ascii="Calibri" w:hAnsi="Calibri" w:cs="Calibri"/>
          <w:i/>
          <w:color w:val="5A646D"/>
          <w:sz w:val="20"/>
        </w:rPr>
        <w:t>Ethical, philosophical, theological, and practical study</w:t>
      </w:r>
    </w:p>
    <w:p>
      <w:r>
        <w:br w:type="page"/>
      </w:r>
    </w:p>
    <w:p>
      <w:pPr>
        <w:pStyle w:val="Heading1"/>
        <w:spacing w:before="0"/>
      </w:pPr>
      <w:r>
        <w:t>Abstract</w:t>
      </w:r>
    </w:p>
    <w:p>
      <w:pPr>
        <w:widowControl/>
      </w:pPr>
      <w:r>
        <w:rPr>
          <w:rFonts w:ascii="Calibri" w:hAnsi="Calibri" w:cs="Calibri"/>
          <w:sz w:val="22"/>
        </w:rPr>
        <w:t>Qur’an 4:34–35 is among the most discussed passages in the modern interpretation of Islam. It has often been detached from its literary setting and reduced to a slogan about male authority or a supposed permission for husbands to strike their wives. Read as a continuous unit, however, the passage has a markedly different architecture. It begins by imposing a duty of material and moral care upon husbands; praises the God-conscious fidelity of righteous wives; addresses a serious disruption of the marital covenant; establishes graduated measures of admonition, intimate distance, and physical separation; prohibits further action once the rupture has ended; transfers unresolved conflict from private power to balanced communal arbitration; and makes sincere reconciliation, rather than punishment, its destination.</w:t>
      </w:r>
    </w:p>
    <w:p>
      <w:pPr>
        <w:widowControl/>
      </w:pPr>
      <w:r>
        <w:rPr>
          <w:rFonts w:ascii="Calibri" w:hAnsi="Calibri" w:cs="Calibri"/>
          <w:sz w:val="22"/>
        </w:rPr>
        <w:t xml:space="preserve">This commentary presents the Arabic text and six English translations, including the preferred nonviolent rendering supplied for this study. It examines the key terms </w:t>
      </w:r>
      <w:r>
        <w:rPr>
          <w:rFonts w:ascii="Calibri" w:hAnsi="Calibri" w:cs="Calibri"/>
          <w:i/>
          <w:sz w:val="22"/>
        </w:rPr>
        <w:t>qawwāmūn</w:t>
      </w:r>
      <w:r>
        <w:rPr>
          <w:rFonts w:ascii="Calibri" w:hAnsi="Calibri" w:cs="Calibri"/>
          <w:sz w:val="22"/>
        </w:rPr>
        <w:t xml:space="preserve">, </w:t>
      </w:r>
      <w:r>
        <w:rPr>
          <w:rFonts w:ascii="Calibri" w:hAnsi="Calibri" w:cs="Calibri"/>
          <w:i/>
          <w:sz w:val="22"/>
        </w:rPr>
        <w:t>faḍḍala</w:t>
      </w:r>
      <w:r>
        <w:rPr>
          <w:rFonts w:ascii="Calibri" w:hAnsi="Calibri" w:cs="Calibri"/>
          <w:sz w:val="22"/>
        </w:rPr>
        <w:t xml:space="preserve">, </w:t>
      </w:r>
      <w:r>
        <w:rPr>
          <w:rFonts w:ascii="Calibri" w:hAnsi="Calibri" w:cs="Calibri"/>
          <w:i/>
          <w:sz w:val="22"/>
        </w:rPr>
        <w:t>qānitāt</w:t>
      </w:r>
      <w:r>
        <w:rPr>
          <w:rFonts w:ascii="Calibri" w:hAnsi="Calibri" w:cs="Calibri"/>
          <w:sz w:val="22"/>
        </w:rPr>
        <w:t xml:space="preserve">, </w:t>
      </w:r>
      <w:r>
        <w:rPr>
          <w:rFonts w:ascii="Calibri" w:hAnsi="Calibri" w:cs="Calibri"/>
          <w:i/>
          <w:sz w:val="22"/>
        </w:rPr>
        <w:t>nushūz</w:t>
      </w:r>
      <w:r>
        <w:rPr>
          <w:rFonts w:ascii="Calibri" w:hAnsi="Calibri" w:cs="Calibri"/>
          <w:sz w:val="22"/>
        </w:rPr>
        <w:t xml:space="preserve">, </w:t>
      </w:r>
      <w:r>
        <w:rPr>
          <w:rFonts w:ascii="Calibri" w:hAnsi="Calibri" w:cs="Calibri"/>
          <w:i/>
          <w:sz w:val="22"/>
        </w:rPr>
        <w:t>hajr</w:t>
      </w:r>
      <w:r>
        <w:rPr>
          <w:rFonts w:ascii="Calibri" w:hAnsi="Calibri" w:cs="Calibri"/>
          <w:sz w:val="22"/>
        </w:rPr>
        <w:t xml:space="preserve">, </w:t>
      </w:r>
      <w:r>
        <w:rPr>
          <w:rFonts w:ascii="Calibri" w:hAnsi="Calibri" w:cs="Calibri"/>
          <w:i/>
          <w:sz w:val="22"/>
        </w:rPr>
        <w:t>wa-ḍribūhunna</w:t>
      </w:r>
      <w:r>
        <w:rPr>
          <w:rFonts w:ascii="Calibri" w:hAnsi="Calibri" w:cs="Calibri"/>
          <w:sz w:val="22"/>
        </w:rPr>
        <w:t xml:space="preserve">, </w:t>
      </w:r>
      <w:r>
        <w:rPr>
          <w:rFonts w:ascii="Calibri" w:hAnsi="Calibri" w:cs="Calibri"/>
          <w:i/>
          <w:sz w:val="22"/>
        </w:rPr>
        <w:t>shiqāq</w:t>
      </w:r>
      <w:r>
        <w:rPr>
          <w:rFonts w:ascii="Calibri" w:hAnsi="Calibri" w:cs="Calibri"/>
          <w:sz w:val="22"/>
        </w:rPr>
        <w:t xml:space="preserve">, </w:t>
      </w:r>
      <w:r>
        <w:rPr>
          <w:rFonts w:ascii="Calibri" w:hAnsi="Calibri" w:cs="Calibri"/>
          <w:i/>
          <w:sz w:val="22"/>
        </w:rPr>
        <w:t>ḥakam</w:t>
      </w:r>
      <w:r>
        <w:rPr>
          <w:rFonts w:ascii="Calibri" w:hAnsi="Calibri" w:cs="Calibri"/>
          <w:sz w:val="22"/>
        </w:rPr>
        <w:t xml:space="preserve">, </w:t>
      </w:r>
      <w:r>
        <w:rPr>
          <w:rFonts w:ascii="Calibri" w:hAnsi="Calibri" w:cs="Calibri"/>
          <w:i/>
          <w:sz w:val="22"/>
        </w:rPr>
        <w:t>iṣlāḥ</w:t>
      </w:r>
      <w:r>
        <w:rPr>
          <w:rFonts w:ascii="Calibri" w:hAnsi="Calibri" w:cs="Calibri"/>
          <w:sz w:val="22"/>
        </w:rPr>
        <w:t xml:space="preserve">, and </w:t>
      </w:r>
      <w:r>
        <w:rPr>
          <w:rFonts w:ascii="Calibri" w:hAnsi="Calibri" w:cs="Calibri"/>
          <w:i/>
          <w:sz w:val="22"/>
        </w:rPr>
        <w:t>tawfīq</w:t>
      </w:r>
      <w:r>
        <w:rPr>
          <w:rFonts w:ascii="Calibri" w:hAnsi="Calibri" w:cs="Calibri"/>
          <w:sz w:val="22"/>
        </w:rPr>
        <w:t xml:space="preserve">. It then surveys major classical approaches associated with al-Ṭabarī, al-Qurṭubī, al-Rāzī, Ibn Kathīr, and the juristic schools, followed by modern and contemporary readings associated with Muḥammad ʿAbduh, Rashīd Riḍā, Maududi, Muhammad Asad, Ibn ʿĀshūr, </w:t>
      </w:r>
      <w:r>
        <w:rPr>
          <w:rFonts w:ascii="Calibri" w:hAnsi="Calibri" w:cs="Calibri"/>
          <w:i/>
          <w:sz w:val="22"/>
        </w:rPr>
        <w:t>Maʿārif al-Qur’an</w:t>
      </w:r>
      <w:r>
        <w:rPr>
          <w:rFonts w:ascii="Calibri" w:hAnsi="Calibri" w:cs="Calibri"/>
          <w:sz w:val="22"/>
        </w:rPr>
        <w:t>, Wahiduddin Khan, Laleh Bakhtiar, Amina Wadud, Asma Barlas, and contemporary Ahmadi Muslim scholarship.</w:t>
      </w:r>
    </w:p>
    <w:p>
      <w:pPr>
        <w:widowControl/>
      </w:pPr>
      <w:r>
        <w:rPr>
          <w:rFonts w:ascii="Calibri" w:hAnsi="Calibri" w:cs="Calibri"/>
          <w:sz w:val="22"/>
        </w:rPr>
        <w:t xml:space="preserve">Historical honesty requires acknowledging that most premodern exegetes understood </w:t>
      </w:r>
      <w:r>
        <w:rPr>
          <w:rFonts w:ascii="Calibri" w:hAnsi="Calibri" w:cs="Calibri"/>
          <w:i/>
          <w:sz w:val="22"/>
        </w:rPr>
        <w:t>wa-ḍribūhunna</w:t>
      </w:r>
      <w:r>
        <w:rPr>
          <w:rFonts w:ascii="Calibri" w:hAnsi="Calibri" w:cs="Calibri"/>
          <w:sz w:val="22"/>
        </w:rPr>
        <w:t xml:space="preserve"> as a severely restricted physical act. Their interpretation, however, was a human judgment formed within societies in which corporal discipline was widely normalized. It is not identical with the infallible Qur’an. The Prophet Muhammad’s own conduct, the Qur’an’s controlling norms of justice, </w:t>
      </w:r>
      <w:r>
        <w:rPr>
          <w:rFonts w:ascii="Calibri" w:hAnsi="Calibri" w:cs="Calibri"/>
          <w:i/>
          <w:sz w:val="22"/>
        </w:rPr>
        <w:t>maʿrūf</w:t>
      </w:r>
      <w:r>
        <w:rPr>
          <w:rFonts w:ascii="Calibri" w:hAnsi="Calibri" w:cs="Calibri"/>
          <w:sz w:val="22"/>
        </w:rPr>
        <w:t xml:space="preserve">, mercy, mutuality, noninjury, and dignified separation, the semantic breadth of </w:t>
      </w:r>
      <w:r>
        <w:rPr>
          <w:rFonts w:ascii="Calibri" w:hAnsi="Calibri" w:cs="Calibri"/>
          <w:i/>
          <w:sz w:val="22"/>
        </w:rPr>
        <w:t>ḍaraba</w:t>
      </w:r>
      <w:r>
        <w:rPr>
          <w:rFonts w:ascii="Calibri" w:hAnsi="Calibri" w:cs="Calibri"/>
          <w:sz w:val="22"/>
        </w:rPr>
        <w:t>, and modern knowledge of the predictable harms of intimate-partner violence together support a categorical contemporary conclusion: wife-beating cannot be treated as a legitimate Islamic entitlement. The preferred rendering, “then separate houses,” completes a coherent nonviolent progression from private counsel to bed separation, residential separation, two-sided arbitration, and either genuine reconciliation or honorable release.</w:t>
      </w:r>
    </w:p>
    <w:p>
      <w:pPr>
        <w:pStyle w:val="Heading1"/>
      </w:pPr>
      <w:r>
        <w:t>Qur’an 4:34–35: The Arabic Text</w:t>
      </w:r>
    </w:p>
    <w:p>
      <w:pPr>
        <w:pStyle w:val="Heading2"/>
      </w:pPr>
      <w:r>
        <w:t>Qur’an 4:34</w:t>
      </w:r>
    </w:p>
    <w:p>
      <w:pPr>
        <w:pStyle w:val="BlockQuoteCustom"/>
        <w:spacing w:before="160" w:after="240" w:line="372" w:lineRule="auto"/>
        <w:ind w:left="259" w:right="259"/>
        <w:jc w:val="right"/>
        <w:bidi w:val="1"/>
      </w:pPr>
      <w:r>
        <w:rPr>
          <w:rFonts w:ascii="DejaVu Sans" w:hAnsi="DejaVu Sans" w:cs="DejaVu Sans"/>
          <w:color w:val="203748"/>
          <w:sz w:val="30"/>
        </w:rPr>
        <w:t>ٱلرِّجَالُ قَوَّٰمُونَ عَلَى ٱلنِّسَآءِ بِمَا فَضَّلَ ٱللَّهُ بَعْضَهُمْ عَلَىٰ بَعْضٍۢ وَبِمَآ أَنفَقُوا۟ مِنْ أَمْوَٰلِهِمْ ۚ فَٱلصَّـٰلِحَـٰتُ قَـٰنِتَـٰتٌ حَـٰفِظَـٰتٌۭ لِّلْغَيْبِ بِمَا حَفِظَ ٱللَّهُ ۚ وَٱلَّـٰتِى تَخَافُونَ نُشُوزَهُنَّ فَعِظُوهُنَّ وَٱهْجُرُوهُنَّ فِى ٱلْمَضَاجِعِ وَٱضْرِبُوهُنَّ ۖ فَإِنْ أَطَعْنَكُمْ فَلَا تَبْغُوا۟ عَلَيْهِنَّ سَبِيلًا ۗ إِنَّ ٱللَّهَ كَانَ عَلِيًّۭا كَبِيرًۭا</w:t>
      </w:r>
    </w:p>
    <w:p>
      <w:pPr>
        <w:pStyle w:val="Heading2"/>
      </w:pPr>
      <w:r>
        <w:t>Qur’an 4:35</w:t>
      </w:r>
    </w:p>
    <w:p>
      <w:pPr>
        <w:pStyle w:val="BlockQuoteCustom"/>
        <w:spacing w:before="160" w:after="240" w:line="372" w:lineRule="auto"/>
        <w:ind w:left="259" w:right="259"/>
        <w:jc w:val="right"/>
        <w:bidi w:val="1"/>
      </w:pPr>
      <w:r>
        <w:rPr>
          <w:rFonts w:ascii="DejaVu Sans" w:hAnsi="DejaVu Sans" w:cs="DejaVu Sans"/>
          <w:color w:val="203748"/>
          <w:sz w:val="30"/>
        </w:rPr>
        <w:t>وَإِنْ خِفْتُمْ شِقَاقَ بَيْنِهِمَا فَٱبْعَثُوا۟ حَكَمًۭا مِّنْ أَهْلِهِۦ وَحَكَمًۭا مِّنْ أَهْلِهَآ إِن يُرِيدَآ إِصْلَـٰحًۭا يُوَفِّقِ ٱللَّهُ بَيْنَهُمَآ ۗ إِنَّ ٱللَّهَ كَانَ عَلِيمًا خَبِيرًۭا</w:t>
      </w:r>
    </w:p>
    <w:p>
      <w:pPr>
        <w:pStyle w:val="Heading1"/>
        <w:pageBreakBefore/>
      </w:pPr>
      <w:r>
        <w:t>Six English Translations</w:t>
      </w:r>
    </w:p>
    <w:p>
      <w:pPr>
        <w:widowControl/>
      </w:pPr>
      <w:r>
        <w:rPr>
          <w:rFonts w:ascii="Calibri" w:hAnsi="Calibri" w:cs="Calibri"/>
          <w:sz w:val="22"/>
        </w:rPr>
        <w:t xml:space="preserve">Translation is already interpretation. The contrast among the following renderings is especially instructive because it discloses different judgments about three contested expressions: </w:t>
      </w:r>
      <w:r>
        <w:rPr>
          <w:rFonts w:ascii="Calibri" w:hAnsi="Calibri" w:cs="Calibri"/>
          <w:i/>
          <w:sz w:val="22"/>
        </w:rPr>
        <w:t>qawwāmūn</w:t>
      </w:r>
      <w:r>
        <w:rPr>
          <w:rFonts w:ascii="Calibri" w:hAnsi="Calibri" w:cs="Calibri"/>
          <w:sz w:val="22"/>
        </w:rPr>
        <w:t xml:space="preserve">, </w:t>
      </w:r>
      <w:r>
        <w:rPr>
          <w:rFonts w:ascii="Calibri" w:hAnsi="Calibri" w:cs="Calibri"/>
          <w:i/>
          <w:sz w:val="22"/>
        </w:rPr>
        <w:t>nushūz</w:t>
      </w:r>
      <w:r>
        <w:rPr>
          <w:rFonts w:ascii="Calibri" w:hAnsi="Calibri" w:cs="Calibri"/>
          <w:sz w:val="22"/>
        </w:rPr>
        <w:t xml:space="preserve">, and </w:t>
      </w:r>
      <w:r>
        <w:rPr>
          <w:rFonts w:ascii="Calibri" w:hAnsi="Calibri" w:cs="Calibri"/>
          <w:i/>
          <w:sz w:val="22"/>
        </w:rPr>
        <w:t>wa-ḍribūhunna</w:t>
      </w:r>
      <w:r>
        <w:rPr>
          <w:rFonts w:ascii="Calibri" w:hAnsi="Calibri" w:cs="Calibri"/>
          <w:sz w:val="22"/>
        </w:rPr>
        <w:t>.</w:t>
      </w:r>
    </w:p>
    <w:p>
      <w:pPr>
        <w:pStyle w:val="Heading2"/>
      </w:pPr>
      <w:r>
        <w:t>1. Preferred translation supplied for this commentary</w:t>
      </w:r>
    </w:p>
    <w:p>
      <w:pPr>
        <w:pStyle w:val="BlockQuoteCustom"/>
        <w:shd w:fill="F4F6F9"/>
      </w:pPr>
      <w:r>
        <w:rPr>
          <w:rFonts w:ascii="Calibri" w:hAnsi="Calibri" w:cs="Calibri"/>
          <w:color w:val="203748"/>
          <w:sz w:val="21"/>
        </w:rPr>
        <w:t>“Husbands should take good care of their wives, with the bounties God has given to some more than others and with what they spend out of their own money. Righteous wives are devout and guard what God would have them guard in their husbands’ absence. If you fear high-handedness from your wives, remind them of the teachings of God, then ignore them when you go to bed, then separate houses. If they obey you, you have no right to act against them: God is most high and great.  If you [believers] fear that a couple may break up, appoint one arbiter from his family and one from hers. Then, if the couple want to put things right, God will bring about a reconciliation between them: He is all knowing, all aware.”</w:t>
      </w:r>
    </w:p>
    <w:p>
      <w:pPr>
        <w:pStyle w:val="Heading2"/>
      </w:pPr>
      <w:r>
        <w:t>2. Sahih International</w:t>
      </w:r>
    </w:p>
    <w:p>
      <w:pPr>
        <w:widowControl/>
      </w:pPr>
      <w:r>
        <w:rPr>
          <w:rFonts w:ascii="Calibri" w:hAnsi="Calibri" w:cs="Calibri"/>
          <w:b/>
          <w:sz w:val="22"/>
        </w:rPr>
        <w:t>4:34:</w:t>
      </w:r>
      <w:r>
        <w:rPr>
          <w:rFonts w:ascii="Calibri" w:hAnsi="Calibri" w:cs="Calibri"/>
          <w:sz w:val="22"/>
        </w:rPr>
        <w:t xml:space="preserve"> “Men are in charge of women by [right of] what Allah has given one over the other and what they spend [for maintenance] from their wealth. So righteous women are devoutly obedient, guarding in [the husband’s] absence what Allah would have them guard. But those [wives] from whom you fear arrogance—[first] advise them; [then if they persist], forsake them in bed; and [finally], strike them. But if they obey you [once more], seek no means against them. Indeed, Allah is ever Exalted and Grand.”</w:t>
      </w:r>
    </w:p>
    <w:p>
      <w:pPr>
        <w:widowControl/>
      </w:pPr>
      <w:r>
        <w:rPr>
          <w:rFonts w:ascii="Calibri" w:hAnsi="Calibri" w:cs="Calibri"/>
          <w:b/>
          <w:sz w:val="22"/>
        </w:rPr>
        <w:t>4:35:</w:t>
      </w:r>
      <w:r>
        <w:rPr>
          <w:rFonts w:ascii="Calibri" w:hAnsi="Calibri" w:cs="Calibri"/>
          <w:sz w:val="22"/>
        </w:rPr>
        <w:t xml:space="preserve"> “And if you fear dissension between the two, send an arbitrator from his people and an arbitrator from her people. If they both desire reconciliation, Allah will cause it between them. Indeed, Allah is ever Knowing and Acquainted [with all things].”</w:t>
      </w:r>
    </w:p>
    <w:p>
      <w:pPr>
        <w:pStyle w:val="Heading2"/>
      </w:pPr>
      <w:r>
        <w:t>3. Marmaduke Pickthall</w:t>
      </w:r>
    </w:p>
    <w:p>
      <w:pPr>
        <w:widowControl/>
      </w:pPr>
      <w:r>
        <w:rPr>
          <w:rFonts w:ascii="Calibri" w:hAnsi="Calibri" w:cs="Calibri"/>
          <w:b/>
          <w:sz w:val="22"/>
        </w:rPr>
        <w:t>4:34:</w:t>
      </w:r>
      <w:r>
        <w:rPr>
          <w:rFonts w:ascii="Calibri" w:hAnsi="Calibri" w:cs="Calibri"/>
          <w:sz w:val="22"/>
        </w:rPr>
        <w:t xml:space="preserve"> “Men are in charge of women, because Allah hath made the one of them to excel the other, and because they spend of their property (for the support of women). So good women are the obedient, guarding in secret that which Allah hath guarded. As for those from whom ye fear rebellion, admonish them and banish them to beds apart, and scourge them. Then if they obey you, seek not a way against them. Lo! Allah is ever High, Exalted, Great.”</w:t>
      </w:r>
    </w:p>
    <w:p>
      <w:pPr>
        <w:widowControl/>
      </w:pPr>
      <w:r>
        <w:rPr>
          <w:rFonts w:ascii="Calibri" w:hAnsi="Calibri" w:cs="Calibri"/>
          <w:b/>
          <w:sz w:val="22"/>
        </w:rPr>
        <w:t>4:35:</w:t>
      </w:r>
      <w:r>
        <w:rPr>
          <w:rFonts w:ascii="Calibri" w:hAnsi="Calibri" w:cs="Calibri"/>
          <w:sz w:val="22"/>
        </w:rPr>
        <w:t xml:space="preserve"> “And if ye fear a breach between them twain (the man and wife), appoint an arbiter from his folk and an arbiter from her folk. If they desire amendment Allah will make them of one mind. Lo! Allah is ever Knower, Aware.”</w:t>
      </w:r>
    </w:p>
    <w:p>
      <w:pPr>
        <w:pStyle w:val="Heading2"/>
      </w:pPr>
      <w:r>
        <w:t>4. Abdullah Yusuf Ali</w:t>
      </w:r>
    </w:p>
    <w:p>
      <w:pPr>
        <w:widowControl/>
      </w:pPr>
      <w:r>
        <w:rPr>
          <w:rFonts w:ascii="Calibri" w:hAnsi="Calibri" w:cs="Calibri"/>
          <w:b/>
          <w:sz w:val="22"/>
        </w:rPr>
        <w:t>4:34:</w:t>
      </w:r>
      <w:r>
        <w:rPr>
          <w:rFonts w:ascii="Calibri" w:hAnsi="Calibri" w:cs="Calibri"/>
          <w:sz w:val="22"/>
        </w:rPr>
        <w:t xml:space="preserve"> “Men are the protectors and maintainers of women, because Allah has given the one more [strength] than the other, and because they support them from their means. Therefore the righteous women are devoutly obedient, and guard in [the husband’s] absence what Allah would have them guard. As to those women on whose part ye fear disloyalty and ill-conduct, admonish them [first], [next], refuse to share their beds, [and last] beat them [lightly]; but if they return to obedience, seek not against them means [of annoyance]: for Allah is Most High, Great [above you all].”</w:t>
      </w:r>
    </w:p>
    <w:p>
      <w:pPr>
        <w:widowControl/>
      </w:pPr>
      <w:r>
        <w:rPr>
          <w:rFonts w:ascii="Calibri" w:hAnsi="Calibri" w:cs="Calibri"/>
          <w:b/>
          <w:sz w:val="22"/>
        </w:rPr>
        <w:t>4:35:</w:t>
      </w:r>
      <w:r>
        <w:rPr>
          <w:rFonts w:ascii="Calibri" w:hAnsi="Calibri" w:cs="Calibri"/>
          <w:sz w:val="22"/>
        </w:rPr>
        <w:t xml:space="preserve"> “If ye fear a breach between them twain, appoint [two] arbiters, one from his family, and the other from hers; if they wish for peace, Allah will cause their reconciliation: for Allah hath full knowledge, and is acquainted with all things.”</w:t>
      </w:r>
    </w:p>
    <w:p>
      <w:pPr>
        <w:pStyle w:val="Heading2"/>
      </w:pPr>
      <w:r>
        <w:t>5. M. H. Shakir</w:t>
      </w:r>
    </w:p>
    <w:p>
      <w:pPr>
        <w:widowControl/>
      </w:pPr>
      <w:r>
        <w:rPr>
          <w:rFonts w:ascii="Calibri" w:hAnsi="Calibri" w:cs="Calibri"/>
          <w:b/>
          <w:sz w:val="22"/>
        </w:rPr>
        <w:t>4:34:</w:t>
      </w:r>
      <w:r>
        <w:rPr>
          <w:rFonts w:ascii="Calibri" w:hAnsi="Calibri" w:cs="Calibri"/>
          <w:sz w:val="22"/>
        </w:rPr>
        <w:t xml:space="preserve"> “Men are the maintainers of women because Allah has made some of them to excel others and because they spend out of their property; the good women are therefore obedient, guarding the unseen as Allah has guarded; and [as to] those on whose part you fear desertion, admonish them, and leave them alone in the sleeping-places and beat them; then if they obey you, do not seek a way against them; surely Allah is High, Great.” </w:t>
      </w:r>
      <w:r>
        <w:rPr>
          <w:rFonts w:ascii="Calibri" w:hAnsi="Calibri" w:cs="Calibri"/>
          <w:b/>
          <w:sz w:val="22"/>
        </w:rPr>
        <w:t>4:35:</w:t>
      </w:r>
      <w:r>
        <w:rPr>
          <w:rFonts w:ascii="Calibri" w:hAnsi="Calibri" w:cs="Calibri"/>
          <w:sz w:val="22"/>
        </w:rPr>
        <w:t xml:space="preserve"> “And if you fear a breach between the two, then appoint a judge from his people and a judge from her people; if they both desire agreement, Allah will effect harmony between them, surely Allah is Knowing, Aware.”</w:t>
      </w:r>
    </w:p>
    <w:p>
      <w:pPr>
        <w:pStyle w:val="Heading2"/>
      </w:pPr>
      <w:r>
        <w:t>6. A. J. Arberry</w:t>
      </w:r>
    </w:p>
    <w:p>
      <w:pPr>
        <w:widowControl/>
      </w:pPr>
      <w:r>
        <w:rPr>
          <w:rFonts w:ascii="Calibri" w:hAnsi="Calibri" w:cs="Calibri"/>
          <w:b/>
          <w:sz w:val="22"/>
        </w:rPr>
        <w:t>4:34:</w:t>
      </w:r>
      <w:r>
        <w:rPr>
          <w:rFonts w:ascii="Calibri" w:hAnsi="Calibri" w:cs="Calibri"/>
          <w:sz w:val="22"/>
        </w:rPr>
        <w:t xml:space="preserve"> “Men are the managers of the affairs of women for that God has preferred in bounty one of them over another, and for that they have expended of their property. Righteous women are therefore obedient, guarding the secret for God’s guarding. And those you fear may be rebellious admonish; banish them to their couches, and beat them. If they then obey you, look not for any way against them; God is All-high, All-great.” </w:t>
      </w:r>
      <w:r>
        <w:rPr>
          <w:rFonts w:ascii="Calibri" w:hAnsi="Calibri" w:cs="Calibri"/>
          <w:b/>
          <w:sz w:val="22"/>
        </w:rPr>
        <w:t>4:35:</w:t>
      </w:r>
      <w:r>
        <w:rPr>
          <w:rFonts w:ascii="Calibri" w:hAnsi="Calibri" w:cs="Calibri"/>
          <w:sz w:val="22"/>
        </w:rPr>
        <w:t xml:space="preserve"> “And if you fear a breach between the two, bring forth an arbiter from his people and from her people an arbiter; if they desire to set things right, God will compose their differences; surely God is All-knowing, All-aware.”</w:t>
      </w:r>
    </w:p>
    <w:p>
      <w:pPr>
        <w:pStyle w:val="Heading1"/>
      </w:pPr>
      <w:r>
        <w:t>The Hermeneutical Method</w:t>
      </w:r>
    </w:p>
    <w:p>
      <w:pPr>
        <w:widowControl/>
      </w:pPr>
      <w:r>
        <w:rPr>
          <w:rFonts w:ascii="Calibri" w:hAnsi="Calibri" w:cs="Calibri"/>
          <w:sz w:val="22"/>
        </w:rPr>
        <w:t>The passage should be read through four concentric contexts: its Arabic grammar, its immediate sequence, the Qur’an’s wider theology of marriage, and the Prophet’s lived interpretation. None may be discarded. Lexicography without moral context becomes mechanical; moral aspiration without linguistic candor becomes wishful; history without revelation freezes the past; and revelation without history can mistake a restraint for an eternal social ceiling.</w:t>
      </w:r>
    </w:p>
    <w:p>
      <w:pPr>
        <w:widowControl/>
      </w:pPr>
      <w:r>
        <w:rPr>
          <w:rFonts w:ascii="Calibri" w:hAnsi="Calibri" w:cs="Calibri"/>
          <w:sz w:val="22"/>
        </w:rPr>
        <w:t>A second distinction is indispensable. The Qur’an is divine, while every translation, tafsīr, legal school, and contemporary essay is a human attempt to understand it. Respect for the classical tradition therefore requires accurate reporting, not the canonization of every historical assumption.</w:t>
      </w:r>
    </w:p>
    <w:p>
      <w:pPr>
        <w:pStyle w:val="Heading1"/>
      </w:pPr>
      <w:r>
        <w:t>The Qur’anic Horizon of Marriage</w:t>
      </w:r>
    </w:p>
    <w:p>
      <w:pPr>
        <w:widowControl/>
      </w:pPr>
      <w:r>
        <w:rPr>
          <w:rFonts w:ascii="Calibri" w:hAnsi="Calibri" w:cs="Calibri"/>
          <w:sz w:val="22"/>
        </w:rPr>
        <w:t>Qur’an 4:34 cannot be interpreted as an isolated constitution of male power. The same surah begins by locating women and men in a single human origin (4:1), commands believers to live with wives according to maʿrūf even amid dislike (4:19), and later recognizes a husband’s nushūz as well as a wife’s (4:128).</w:t>
      </w:r>
    </w:p>
    <w:p>
      <w:pPr>
        <w:widowControl/>
      </w:pPr>
      <w:r>
        <w:rPr>
          <w:rFonts w:ascii="Calibri" w:hAnsi="Calibri" w:cs="Calibri"/>
          <w:sz w:val="22"/>
        </w:rPr>
        <w:t>The wider Qur’an calls spouses garments for one another (2:187), affirms that women possess rights corresponding equitably to their obligations (2:228), and describes marriage as a divine sign ordered toward sakīnah, mawaddah, and raḥmah—tranquillity, affectionate love, and mercy (30:21). Believing men and women are protecting allies of one another (9:71). Even divorce must avoid injury: retain with honor or release with grace (2:229–231; 65:1–6).</w:t>
      </w:r>
    </w:p>
    <w:p>
      <w:pPr>
        <w:widowControl/>
      </w:pPr>
      <w:r>
        <w:rPr>
          <w:rFonts w:ascii="Calibri" w:hAnsi="Calibri" w:cs="Calibri"/>
          <w:sz w:val="22"/>
        </w:rPr>
        <w:t>These texts are not decorative ideals placed beside a harsh household code. They are controlling principles. Any interpretation of 4:34 that makes fear, humiliation, or injury a normal instrument of marriage contradicts the very goods for which marriage exists.</w:t>
      </w:r>
    </w:p>
    <w:p>
      <w:pPr>
        <w:widowControl/>
      </w:pPr>
      <w:r>
        <w:rPr>
          <w:rFonts w:ascii="Calibri" w:hAnsi="Calibri" w:cs="Calibri"/>
          <w:sz w:val="22"/>
        </w:rPr>
        <w:t>The gender-equality essay supplied for this study rightly emphasizes that the Qur’an does not derive woman from an inferior spiritual substance. Each person meets death, resurrection, judgment, and recompense as a moral self. Functional responsibilities in one social arrangement cannot be converted into an ontology in which one sex is closer to God.</w:t>
      </w:r>
    </w:p>
    <w:p>
      <w:pPr>
        <w:pStyle w:val="Heading1"/>
      </w:pPr>
      <w:r>
        <w:t>Verse 4:34: Qiwāmah as Accountable Care</w:t>
      </w:r>
    </w:p>
    <w:p>
      <w:pPr>
        <w:pStyle w:val="Heading2"/>
      </w:pPr>
      <w:r>
        <w:t>“Husbands should take good care of their wives”</w:t>
      </w:r>
    </w:p>
    <w:p>
      <w:pPr>
        <w:widowControl/>
      </w:pPr>
      <w:r>
        <w:rPr>
          <w:rFonts w:ascii="Calibri" w:hAnsi="Calibri" w:cs="Calibri"/>
          <w:sz w:val="22"/>
        </w:rPr>
        <w:t>The expression al-rijālu qawwāmūna ʿalā al-nisāʾ is often flattened into “men are in charge of women.” Yet the marital setting and the explicit reference to maintenance show that husbands and wives are primarily in view. Qawwāmūn comes from q-w-m: to stand, sustain, maintain, or undertake a responsibility. Its intensive form conveys continuous attention.</w:t>
      </w:r>
    </w:p>
    <w:p>
      <w:pPr>
        <w:widowControl/>
      </w:pPr>
      <w:r>
        <w:rPr>
          <w:rFonts w:ascii="Calibri" w:hAnsi="Calibri" w:cs="Calibri"/>
          <w:sz w:val="22"/>
        </w:rPr>
        <w:t>A qawwām is therefore one who stands up for an entrusted person or good. The same root appears when believers are ordered to stand firmly for justice, even against themselves (4:135). Qiwāmah is not a throne awarded to the male ego; it is a burden of service for which the husband will answer before God.</w:t>
      </w:r>
    </w:p>
    <w:p>
      <w:pPr>
        <w:widowControl/>
      </w:pPr>
      <w:r>
        <w:rPr>
          <w:rFonts w:ascii="Calibri" w:hAnsi="Calibri" w:cs="Calibri"/>
          <w:sz w:val="22"/>
        </w:rPr>
        <w:t>The preferred rendering, “take good care,” captures this fiduciary character. A husband who provides, protects, consults, comforts, and defends his wife fulfills qiwāmah. One who invokes it to control, isolate, impoverish, or frighten her has inverted its meaning.</w:t>
      </w:r>
    </w:p>
    <w:p>
      <w:pPr>
        <w:widowControl/>
      </w:pPr>
      <w:r>
        <w:rPr>
          <w:rFonts w:ascii="Calibri" w:hAnsi="Calibri" w:cs="Calibri"/>
          <w:sz w:val="22"/>
        </w:rPr>
        <w:t>Qiwāmah also cannot mean that every man governs every woman. A son possesses no such authority over his mother, a male employee over a female employer, or a male student over a female professor. The passage concerns a defined marital responsibility, not a universal caste system.</w:t>
      </w:r>
    </w:p>
    <w:p>
      <w:pPr>
        <w:pStyle w:val="Heading2"/>
      </w:pPr>
      <w:r>
        <w:t>“With the bounties God has given to some more than others”</w:t>
      </w:r>
    </w:p>
    <w:p>
      <w:pPr>
        <w:widowControl/>
      </w:pPr>
      <w:r>
        <w:rPr>
          <w:rFonts w:ascii="Calibri" w:hAnsi="Calibri" w:cs="Calibri"/>
          <w:sz w:val="22"/>
        </w:rPr>
        <w:t>The Arabic does not say that God made all men superior to all women in every respect. It says bi-mā faḍḍala Allāhu baʿḍahum ʿalā baʿḍ—because of what God has given some over others. The reciprocal expression “some over others” leaves room for differentiated gifts, aptitudes, circumstances, and duties.</w:t>
      </w:r>
    </w:p>
    <w:p>
      <w:pPr>
        <w:widowControl/>
      </w:pPr>
      <w:r>
        <w:rPr>
          <w:rFonts w:ascii="Calibri" w:hAnsi="Calibri" w:cs="Calibri"/>
          <w:sz w:val="22"/>
        </w:rPr>
        <w:t>Read after 4:32, which tells both sexes not to covet the distinctive bounties given to others and promises each a share of what each earns, the phrase discourages rivalry. Difference is directed toward cooperation. It does not establish a single ladder on which every man stands above every woman.</w:t>
      </w:r>
    </w:p>
    <w:p>
      <w:pPr>
        <w:pStyle w:val="Heading2"/>
      </w:pPr>
      <w:r>
        <w:t>“And with what they spend out of their own money”</w:t>
      </w:r>
    </w:p>
    <w:p>
      <w:pPr>
        <w:widowControl/>
      </w:pPr>
      <w:r>
        <w:rPr>
          <w:rFonts w:ascii="Calibri" w:hAnsi="Calibri" w:cs="Calibri"/>
          <w:sz w:val="22"/>
        </w:rPr>
        <w:t>The second stated ground is economic: husbands spend from their wealth. Maintenance is a legal duty; the wife’s wealth remains her own. Qiwāmah is therefore explicitly attached to obligation. Classical al-Qurṭubī connected it to provision and discussed the wife’s remedies when maintenance failed.</w:t>
      </w:r>
    </w:p>
    <w:p>
      <w:pPr>
        <w:widowControl/>
      </w:pPr>
      <w:r>
        <w:rPr>
          <w:rFonts w:ascii="Calibri" w:hAnsi="Calibri" w:cs="Calibri"/>
          <w:sz w:val="22"/>
        </w:rPr>
        <w:t>Contemporary households vary. Wives may be physicians, scholars, executives, laborers, principal earners, or full-time caregivers whose unpaid work makes the family’s economic life possible. The verse’s moral logic favors consultation and a fair allocation of responsibility according to real capacity. It does not permit a husband who neglects his duties to demand ceremonial obedience merely because he is male.</w:t>
      </w:r>
    </w:p>
    <w:p>
      <w:pPr>
        <w:pStyle w:val="Heading1"/>
      </w:pPr>
      <w:r>
        <w:t>Righteous Wives: Devotion, Trust, and Moral Agency</w:t>
      </w:r>
    </w:p>
    <w:p>
      <w:pPr>
        <w:pStyle w:val="Heading2"/>
      </w:pPr>
      <w:r>
        <w:t>“Righteous wives are devout”</w:t>
      </w:r>
    </w:p>
    <w:p>
      <w:pPr>
        <w:widowControl/>
      </w:pPr>
      <w:r>
        <w:rPr>
          <w:rFonts w:ascii="Calibri" w:hAnsi="Calibri" w:cs="Calibri"/>
          <w:sz w:val="22"/>
        </w:rPr>
        <w:t>Qānitāt is often translated “obedient,” sometimes with “to their husbands” inserted. Yet Qur’anic qunūt commonly means devoted obedience to God. Mary is among the devout (66:12), and believing men and women are both called qānitīn and qānitāt (33:35). The preferred word “devout” preserves this God-centered meaning.</w:t>
      </w:r>
    </w:p>
    <w:p>
      <w:pPr>
        <w:widowControl/>
      </w:pPr>
      <w:r>
        <w:rPr>
          <w:rFonts w:ascii="Calibri" w:hAnsi="Calibri" w:cs="Calibri"/>
          <w:sz w:val="22"/>
        </w:rPr>
        <w:t>Classical commentators often included obedience to lawful marital obligations, but no creature is owed obedience in sin, injustice, degradation, or danger. A wife remains a responsible conscience before God. Marriage does not transfer her moral agency to her husband.</w:t>
      </w:r>
    </w:p>
    <w:p>
      <w:pPr>
        <w:pStyle w:val="Heading2"/>
      </w:pPr>
      <w:r>
        <w:t>“And guard what God would have them guard”</w:t>
      </w:r>
    </w:p>
    <w:p>
      <w:pPr>
        <w:widowControl/>
      </w:pPr>
      <w:r>
        <w:rPr>
          <w:rFonts w:ascii="Calibri" w:hAnsi="Calibri" w:cs="Calibri"/>
          <w:sz w:val="22"/>
        </w:rPr>
        <w:t>Ḥāfiẓāt lil-ghayb praises integrity in the spouse’s absence. Classical explanations include fidelity, privacy, property, children, reputation, and household confidences. The moral beauty lies precisely in freely maintained trust when the other spouse is not watching.</w:t>
      </w:r>
    </w:p>
    <w:p>
      <w:pPr>
        <w:widowControl/>
      </w:pPr>
      <w:r>
        <w:rPr>
          <w:rFonts w:ascii="Calibri" w:hAnsi="Calibri" w:cs="Calibri"/>
          <w:sz w:val="22"/>
        </w:rPr>
        <w:t>The husband is bound by the same ethic. He may not spy, betray confidences, squander shared resources, expose intimacy, or presume guilt. The verse praises trustworthiness; it does not authorize surveillance.</w:t>
      </w:r>
    </w:p>
    <w:p>
      <w:pPr>
        <w:pStyle w:val="Heading1"/>
      </w:pPr>
      <w:r>
        <w:t>Nushūz: Serious Rupture, Not Ordinary Disagreement</w:t>
      </w:r>
    </w:p>
    <w:p>
      <w:pPr>
        <w:widowControl/>
      </w:pPr>
      <w:r>
        <w:rPr>
          <w:rFonts w:ascii="Calibri" w:hAnsi="Calibri" w:cs="Calibri"/>
          <w:sz w:val="22"/>
        </w:rPr>
        <w:t>Nushūz derives from a root signifying rising, elevation, or standing apart. In marital discourse it denotes high-handedness, contemptuous withdrawal, grave disloyalty, or persistent repudiation of foundational obligations. It cannot reasonably include having a different opinion, rejecting an unreasonable demand, seeking education or lawful work, maintaining family relationships, criticizing injustice, or demanding safety.</w:t>
      </w:r>
    </w:p>
    <w:p>
      <w:pPr>
        <w:widowControl/>
      </w:pPr>
      <w:r>
        <w:rPr>
          <w:rFonts w:ascii="Calibri" w:hAnsi="Calibri" w:cs="Calibri"/>
          <w:sz w:val="22"/>
        </w:rPr>
        <w:t>Al-Ṭabarī associated it with serious withdrawal from the marriage, hatred, and refusal of recognized obligations. The term’s use in 4:128 is decisive: a woman may fear nushūz or aversion from her husband. Nushūz is therefore not a female essence. It is a human capacity to become high-handed, neglectful, or alienated.</w:t>
      </w:r>
    </w:p>
    <w:p>
      <w:pPr>
        <w:widowControl/>
      </w:pPr>
      <w:r>
        <w:rPr>
          <w:rFonts w:ascii="Calibri" w:hAnsi="Calibri" w:cs="Calibri"/>
          <w:sz w:val="22"/>
        </w:rPr>
        <w:t>The two passages prescribe different immediate procedures because they address different social configurations, but their moral destination is the same: ṣulḥ and iṣlāḥ. This symmetry blocks any misogynistic claim that women are naturally suspect or that husbands are immune from marital accountability.</w:t>
      </w:r>
    </w:p>
    <w:p>
      <w:pPr>
        <w:widowControl/>
      </w:pPr>
      <w:r>
        <w:rPr>
          <w:rFonts w:ascii="Calibri" w:hAnsi="Calibri" w:cs="Calibri"/>
          <w:sz w:val="22"/>
        </w:rPr>
        <w:t>The phrase takhāfūna nushūzahunna also counsels caution. Fear of rupture is not proof of every allegation. Suspicion must not become punishment. A responsible husband distinguishes a serious pattern from a momentary mood and listens before judging.</w:t>
      </w:r>
    </w:p>
    <w:p>
      <w:pPr>
        <w:pStyle w:val="Heading1"/>
      </w:pPr>
      <w:r>
        <w:t>The First Measure: Honest Admonition</w:t>
      </w:r>
    </w:p>
    <w:p>
      <w:pPr>
        <w:widowControl/>
      </w:pPr>
      <w:r>
        <w:rPr>
          <w:rFonts w:ascii="Calibri" w:hAnsi="Calibri" w:cs="Calibri"/>
          <w:sz w:val="22"/>
        </w:rPr>
        <w:t>Faʿiẓūhunna means to offer moral counsel that awakens conscience. Al-Ṭabarī explained it as reminding the wife of God and the teachings of God’s Book. It does not mean shouting, threatening, humiliating, exposing private faults, or converting religion into a weapon.</w:t>
      </w:r>
    </w:p>
    <w:p>
      <w:pPr>
        <w:widowControl/>
      </w:pPr>
      <w:r>
        <w:rPr>
          <w:rFonts w:ascii="Calibri" w:hAnsi="Calibri" w:cs="Calibri"/>
          <w:sz w:val="22"/>
        </w:rPr>
        <w:t>Sound admonition requires the husband to identify the actual grievance, hear his wife’s account, and examine his own contribution. Has he neglected affection, maintenance, fidelity, sexual ethics, consultation, or respect? Is the alleged disobedience actually resistance to injustice? The one who counsels must also be counseled by the verse.</w:t>
      </w:r>
    </w:p>
    <w:p>
      <w:pPr>
        <w:widowControl/>
      </w:pPr>
      <w:r>
        <w:rPr>
          <w:rFonts w:ascii="Calibri" w:hAnsi="Calibri" w:cs="Calibri"/>
          <w:sz w:val="22"/>
        </w:rPr>
        <w:t>Waʿẓ differs from coercion because it addresses the other person as a moral subject capable of truth. Its instruments are reason, empathy, remembrance of God, and the covenant of marriage. The moment it becomes intimidation, it has ceased to be Qur’anic admonition.</w:t>
      </w:r>
    </w:p>
    <w:p>
      <w:pPr>
        <w:widowControl/>
      </w:pPr>
      <w:r>
        <w:rPr>
          <w:rFonts w:ascii="Calibri" w:hAnsi="Calibri" w:cs="Calibri"/>
          <w:sz w:val="22"/>
        </w:rPr>
        <w:t>Nor must the sequence always be initiated by the husband alone in modern practice. Mutual conversation, pastoral care, individual counseling, or skilled marital therapy may fulfill its purpose more faithfully, provided that abuse is absent and both spouses can speak safely.</w:t>
      </w:r>
    </w:p>
    <w:p>
      <w:pPr>
        <w:pStyle w:val="Heading1"/>
      </w:pPr>
      <w:r>
        <w:t>The Second Measure: Separation in Bed</w:t>
      </w:r>
    </w:p>
    <w:p>
      <w:pPr>
        <w:widowControl/>
      </w:pPr>
      <w:r>
        <w:rPr>
          <w:rFonts w:ascii="Calibri" w:hAnsi="Calibri" w:cs="Calibri"/>
          <w:sz w:val="22"/>
        </w:rPr>
        <w:t>Wa-hjurūhunna fī al-maḍājiʿ locates the distancing “in the sleeping places.” Classical reports varied over details, but the dominant idea was suspension of normal intimacy rather than expulsion, public disgrace, or abandonment without support.</w:t>
      </w:r>
    </w:p>
    <w:p>
      <w:pPr>
        <w:widowControl/>
      </w:pPr>
      <w:r>
        <w:rPr>
          <w:rFonts w:ascii="Calibri" w:hAnsi="Calibri" w:cs="Calibri"/>
          <w:sz w:val="22"/>
        </w:rPr>
        <w:t>This creates a private cooling-off period and communicates that the rupture is serious. It may interrupt a cycle in which every conversation becomes reactive. Because it remains “in the beds,” it also protects the family’s privacy and limits escalation.</w:t>
      </w:r>
    </w:p>
    <w:p>
      <w:pPr>
        <w:widowControl/>
      </w:pPr>
      <w:r>
        <w:rPr>
          <w:rFonts w:ascii="Calibri" w:hAnsi="Calibri" w:cs="Calibri"/>
          <w:sz w:val="22"/>
        </w:rPr>
        <w:t>Yet a permitted pause can be corrupted. It must not become prolonged silent treatment, sexual coercion, public humiliation, manipulation of children, or economic deprivation. Its purpose is reflection and boundary-setting, not psychological torture.</w:t>
      </w:r>
    </w:p>
    <w:p>
      <w:pPr>
        <w:widowControl/>
      </w:pPr>
      <w:r>
        <w:rPr>
          <w:rFonts w:ascii="Calibri" w:hAnsi="Calibri" w:cs="Calibri"/>
          <w:sz w:val="22"/>
        </w:rPr>
        <w:t>A report in Sunan Abī Dāwūd instructs the husband to provide food and clothing, not insult his wife, not strike her face, and not separate from her except within the home. Whatever one concludes about the next disputed expression, this report demonstrates that the first separation was limited and private.</w:t>
      </w:r>
    </w:p>
    <w:p>
      <w:pPr>
        <w:pStyle w:val="Heading1"/>
      </w:pPr>
      <w:r>
        <w:t>The Disputed Expression: Wa-Ḍribūhunna</w:t>
      </w:r>
    </w:p>
    <w:p>
      <w:pPr>
        <w:widowControl/>
      </w:pPr>
      <w:r>
        <w:rPr>
          <w:rFonts w:ascii="Calibri" w:hAnsi="Calibri" w:cs="Calibri"/>
          <w:sz w:val="22"/>
        </w:rPr>
        <w:t>Most premodern exegetes read the unprepositioned verb with a direct object in the physical sense: “strike them.” Honesty forbids pretending otherwise. They usually described it as a third and last measure, noninjurious, avoiding the face, leaving no mark, and ending immediately when the rupture ended.</w:t>
      </w:r>
    </w:p>
    <w:p>
      <w:pPr>
        <w:widowControl/>
      </w:pPr>
      <w:r>
        <w:rPr>
          <w:rFonts w:ascii="Calibri" w:hAnsi="Calibri" w:cs="Calibri"/>
          <w:sz w:val="22"/>
        </w:rPr>
        <w:t>At the same time, ḍaraba has a broad semantic range in Qur’anic Arabic. Depending on construction and context it can mean to strike, set forth an example, travel, turn away, cover, establish, or separate. Contemporary interpreters therefore ask whether the sequence and the Prophet’s conduct select a nonviolent sense here.</w:t>
      </w:r>
    </w:p>
    <w:p>
      <w:pPr>
        <w:widowControl/>
      </w:pPr>
      <w:r>
        <w:rPr>
          <w:rFonts w:ascii="Calibri" w:hAnsi="Calibri" w:cs="Calibri"/>
          <w:sz w:val="22"/>
        </w:rPr>
        <w:t>The preferred rendering—“then separate houses”—produces a coherent escalation: counsel; separation in bed while remaining in the home; temporary residential separation; family arbitration; and reconciliation or dignified dissolution. The third stage becomes greater spatial distance, not greater violence.</w:t>
      </w:r>
    </w:p>
    <w:p>
      <w:pPr>
        <w:widowControl/>
      </w:pPr>
      <w:r>
        <w:rPr>
          <w:rFonts w:ascii="Calibri" w:hAnsi="Calibri" w:cs="Calibri"/>
          <w:sz w:val="22"/>
        </w:rPr>
        <w:t>Philologically, “separate from them” is an interpretive translation rather than an uncontested dictionary equivalent of the bare construction. That caveat strengthens rather than weakens the argument. Interpretation always includes syntax, usage, sequence, Prophetic implementation, moral purpose, and consequences. Lexicography alone cannot decide responsible application.</w:t>
      </w:r>
    </w:p>
    <w:p>
      <w:pPr>
        <w:pStyle w:val="Heading2"/>
      </w:pPr>
      <w:r>
        <w:t>Two nonviolent routes to the same practical conclusion</w:t>
      </w:r>
    </w:p>
    <w:p>
      <w:pPr>
        <w:widowControl/>
      </w:pPr>
      <w:r>
        <w:rPr>
          <w:rFonts w:ascii="Calibri" w:hAnsi="Calibri" w:cs="Calibri"/>
          <w:sz w:val="22"/>
        </w:rPr>
        <w:t>The semantic route understands wa-ḍribūhunna as leaving, going away, or establishing physical separation. Laleh Bakhtiar’s “go away from them” belongs to this approach, as does the supplied “separate houses.” It draws support from the Prophet’s withdrawal during a marital crisis rather than any instance of his hitting a wife.</w:t>
      </w:r>
    </w:p>
    <w:p>
      <w:pPr>
        <w:widowControl/>
      </w:pPr>
      <w:r>
        <w:rPr>
          <w:rFonts w:ascii="Calibri" w:hAnsi="Calibri" w:cs="Calibri"/>
          <w:sz w:val="22"/>
        </w:rPr>
        <w:t>The moral-juristic route may concede that the dominant historical lexical reading was physical but holds that its implementation is unavailable wherever it causes fear, pain, degradation, retaliation, or wider harm. Islamic norms such as “no harming and no reciprocating harm,” the protection of dignity and bodily integrity, and the authority of public law to prevent abuse make physical discipline impermissible.</w:t>
      </w:r>
    </w:p>
    <w:p>
      <w:pPr>
        <w:widowControl/>
      </w:pPr>
      <w:r>
        <w:rPr>
          <w:rFonts w:ascii="Calibri" w:hAnsi="Calibri" w:cs="Calibri"/>
          <w:sz w:val="22"/>
        </w:rPr>
        <w:t>These approaches differ over historical semantics but converge ethically. Neither leaves a husband with a religious entitlement to hit his wife. One translates the verb nonviolently; the other treats the older concession as blocked by its conditions, consequences, the Prophetic ideal, and the higher purposes of revelation.</w:t>
      </w:r>
    </w:p>
    <w:p>
      <w:pPr>
        <w:widowControl/>
      </w:pPr>
      <w:r>
        <w:rPr>
          <w:rFonts w:ascii="Calibri" w:hAnsi="Calibri" w:cs="Calibri"/>
          <w:sz w:val="22"/>
        </w:rPr>
        <w:t>This convergence is important. Muslim communities need not settle every philological dispute before protecting women. No husband may claim scriptural immunity from criminal or civil law, and no counselor should send a victim back into danger in the name of preserving marriage.</w:t>
      </w:r>
    </w:p>
    <w:p>
      <w:pPr>
        <w:pStyle w:val="Heading1"/>
      </w:pPr>
      <w:r>
        <w:t>The Moral Brake: “You Have No Right to Act Against Them”</w:t>
      </w:r>
    </w:p>
    <w:p>
      <w:pPr>
        <w:widowControl/>
      </w:pPr>
      <w:r>
        <w:rPr>
          <w:rFonts w:ascii="Calibri" w:hAnsi="Calibri" w:cs="Calibri"/>
          <w:sz w:val="22"/>
        </w:rPr>
        <w:t>Fa-in aṭaʿnakum is commonly translated “if they obey you.” In context, it means that if the destructive pattern ends and recognized marital cooperation is restored, escalation must cease. It cannot establish unlimited obedience to personal whim.</w:t>
      </w:r>
    </w:p>
    <w:p>
      <w:pPr>
        <w:widowControl/>
      </w:pPr>
      <w:r>
        <w:rPr>
          <w:rFonts w:ascii="Calibri" w:hAnsi="Calibri" w:cs="Calibri"/>
          <w:sz w:val="22"/>
        </w:rPr>
        <w:t>The next command is emphatic: fa-lā tabghū ʿalayhinna sabīlā—do not seek any way against them. Al-Ṭabarī understood this to prohibit invented grievances, continued pressure, and demands concerning what the husband cannot command, such as involuntary affection.</w:t>
      </w:r>
    </w:p>
    <w:p>
      <w:pPr>
        <w:widowControl/>
      </w:pPr>
      <w:r>
        <w:rPr>
          <w:rFonts w:ascii="Calibri" w:hAnsi="Calibri" w:cs="Calibri"/>
          <w:sz w:val="22"/>
        </w:rPr>
        <w:t>This clause is a firewall against vindictiveness. The husband may not keep an archive of forgiven faults, use religious language to extract concessions, or continue punishing after the practical problem has ended. The verse closes every “way against” the wife.</w:t>
      </w:r>
    </w:p>
    <w:p>
      <w:pPr>
        <w:widowControl/>
      </w:pPr>
      <w:r>
        <w:rPr>
          <w:rFonts w:ascii="Calibri" w:hAnsi="Calibri" w:cs="Calibri"/>
          <w:sz w:val="22"/>
        </w:rPr>
        <w:t>It also condemns modern lists that propose discipline for speaking loudly, choosing clothing, interacting lawfully with others, spending her own money, or refusing an unjust demand. Such lists turn a tightly bounded response to grave rupture into continuous policing. They perform the very act the Qur’an prohibits: searching for avenues of domination.</w:t>
      </w:r>
    </w:p>
    <w:p>
      <w:pPr>
        <w:pStyle w:val="Heading1"/>
      </w:pPr>
      <w:r>
        <w:t>“God Is Most High and Great”: Power Placed Under Judgment</w:t>
      </w:r>
    </w:p>
    <w:p>
      <w:pPr>
        <w:widowControl/>
      </w:pPr>
      <w:r>
        <w:rPr>
          <w:rFonts w:ascii="Calibri" w:hAnsi="Calibri" w:cs="Calibri"/>
          <w:sz w:val="22"/>
        </w:rPr>
        <w:t>The verse does not end by celebrating the husband’s elevation. It ends by relativizing it: inna Allāha kāna ʿAliyyan Kabīrā. Al-Qurṭubī saw in these names a warning that the one who possesses household power remains under the power of God.</w:t>
      </w:r>
    </w:p>
    <w:p>
      <w:pPr>
        <w:widowControl/>
      </w:pPr>
      <w:r>
        <w:rPr>
          <w:rFonts w:ascii="Calibri" w:hAnsi="Calibri" w:cs="Calibri"/>
          <w:sz w:val="22"/>
        </w:rPr>
        <w:t>If a man imagines himself high, God is al-ʿAliyy. If he imagines himself great, God is al-Kabīr. No social role authorizes arrogance before the One whose greatness is absolute. The closing names reverse the gaze: the wife is not the only person being examined; the husband is being watched and judged.</w:t>
      </w:r>
    </w:p>
    <w:p>
      <w:pPr>
        <w:widowControl/>
      </w:pPr>
      <w:r>
        <w:rPr>
          <w:rFonts w:ascii="Calibri" w:hAnsi="Calibri" w:cs="Calibri"/>
          <w:sz w:val="22"/>
        </w:rPr>
        <w:t>This theological ending is therefore part of the law of the passage. Hidden conduct is not hidden from God. The greater one’s physical, financial, legal, or social advantage, the greater one’s responsibility for restraint.</w:t>
      </w:r>
    </w:p>
    <w:p>
      <w:pPr>
        <w:widowControl/>
      </w:pPr>
      <w:r>
        <w:rPr>
          <w:rFonts w:ascii="Calibri" w:hAnsi="Calibri" w:cs="Calibri"/>
          <w:sz w:val="22"/>
        </w:rPr>
        <w:t>Qiwāmah that produces humility resembles worship. Qiwāmah that produces self-exaltation becomes its own form of nushūz—a rising of the human ego against the limits established by God.</w:t>
      </w:r>
    </w:p>
    <w:p>
      <w:pPr>
        <w:pStyle w:val="Heading1"/>
      </w:pPr>
      <w:r>
        <w:t>Verse 4:35: From Private Conflict to Communal Justice</w:t>
      </w:r>
    </w:p>
    <w:p>
      <w:pPr>
        <w:pStyle w:val="Heading2"/>
      </w:pPr>
      <w:r>
        <w:t>“If you fear that a couple may break up”</w:t>
      </w:r>
    </w:p>
    <w:p>
      <w:pPr>
        <w:widowControl/>
      </w:pPr>
      <w:r>
        <w:rPr>
          <w:rFonts w:ascii="Calibri" w:hAnsi="Calibri" w:cs="Calibri"/>
          <w:sz w:val="22"/>
        </w:rPr>
        <w:t>The address now shifts to the plural community: wa-in khiftum. The unresolved crisis no longer remains a private domain in which the physically or economically stronger spouse acts as investigator, prosecutor, judge, and executor.</w:t>
      </w:r>
    </w:p>
    <w:p>
      <w:pPr>
        <w:widowControl/>
      </w:pPr>
      <w:r>
        <w:rPr>
          <w:rFonts w:ascii="Calibri" w:hAnsi="Calibri" w:cs="Calibri"/>
          <w:sz w:val="22"/>
        </w:rPr>
        <w:t>Shiqāq evokes a split in which each party occupies a different side. It is more than a passing quarrel. The marriage approaches structural rupture. At this point the Qur’an externalizes the process and places it under accountable observation.</w:t>
      </w:r>
    </w:p>
    <w:p>
      <w:pPr>
        <w:widowControl/>
      </w:pPr>
      <w:r>
        <w:rPr>
          <w:rFonts w:ascii="Calibri" w:hAnsi="Calibri" w:cs="Calibri"/>
          <w:sz w:val="22"/>
        </w:rPr>
        <w:t>This transition is one of the strongest contextual reasons not to read 4:34 as a freestanding license for violence. The movement is away from unilateral power and toward due process. If private measures fail, the answer is not increased force but balanced mediation.</w:t>
      </w:r>
    </w:p>
    <w:p>
      <w:pPr>
        <w:widowControl/>
      </w:pPr>
      <w:r>
        <w:rPr>
          <w:rFonts w:ascii="Calibri" w:hAnsi="Calibri" w:cs="Calibri"/>
          <w:sz w:val="22"/>
        </w:rPr>
        <w:t>Contemporary communities can fulfill this duty through trained family mediators, ethical clergy, therapists, physicians, advocates, or courts. The essential requirements are competence, fairness, confidentiality, and the ability to recognize danger.</w:t>
      </w:r>
    </w:p>
    <w:p>
      <w:pPr>
        <w:pStyle w:val="Heading2"/>
      </w:pPr>
      <w:r>
        <w:t>“One arbiter from his family and one from hers”</w:t>
      </w:r>
    </w:p>
    <w:p>
      <w:pPr>
        <w:widowControl/>
      </w:pPr>
      <w:r>
        <w:rPr>
          <w:rFonts w:ascii="Calibri" w:hAnsi="Calibri" w:cs="Calibri"/>
          <w:sz w:val="22"/>
        </w:rPr>
        <w:t>The parallel structure embodies procedural equality. His relatives do not monopolize the narrative; her family receives an equal voice. A ḥakam is not merely a partisan messenger but a person of judgment who can investigate, advise, restrain, and seek a just resolution.</w:t>
      </w:r>
    </w:p>
    <w:p>
      <w:pPr>
        <w:widowControl/>
      </w:pPr>
      <w:r>
        <w:rPr>
          <w:rFonts w:ascii="Calibri" w:hAnsi="Calibri" w:cs="Calibri"/>
          <w:sz w:val="22"/>
        </w:rPr>
        <w:t>Family members may know the history and personalities, but kinship is useful only when joined to integrity. Relatives who conceal violence to protect reputation, shame the wife, excuse the husband, or inflame old rivalries are unfit. Where families are unsafe or biased, independent professionals may better realize the verse’s purpose.</w:t>
      </w:r>
    </w:p>
    <w:p>
      <w:pPr>
        <w:widowControl/>
      </w:pPr>
      <w:r>
        <w:rPr>
          <w:rFonts w:ascii="Calibri" w:hAnsi="Calibri" w:cs="Calibri"/>
          <w:sz w:val="22"/>
        </w:rPr>
        <w:t>Classical jurists differed over the arbiters’ powers. Some Ḥanafī and Shāfiʿī authorities treated their decision as advisory unless the spouses delegated binding authority. Other early jurists allowed them to reconcile or separate the couple. Reports concerning ʿUthmān and ʿAlī indicate that arbiters could be authorized to determine whether reconciliation or dissolution served justice.</w:t>
      </w:r>
    </w:p>
    <w:p>
      <w:pPr>
        <w:widowControl/>
      </w:pPr>
      <w:r>
        <w:rPr>
          <w:rFonts w:ascii="Calibri" w:hAnsi="Calibri" w:cs="Calibri"/>
          <w:sz w:val="22"/>
        </w:rPr>
        <w:t>The disagreement shows that 4:35 is institution-building rather than a rigid script. Its constants are bilateral representation, informed judgment, genuine reform, and protection from oppression.</w:t>
      </w:r>
    </w:p>
    <w:p>
      <w:pPr>
        <w:pStyle w:val="Heading2"/>
      </w:pPr>
      <w:r>
        <w:t>“If they want to put things right”</w:t>
      </w:r>
    </w:p>
    <w:p>
      <w:pPr>
        <w:widowControl/>
      </w:pPr>
      <w:r>
        <w:rPr>
          <w:rFonts w:ascii="Calibri" w:hAnsi="Calibri" w:cs="Calibri"/>
          <w:sz w:val="22"/>
        </w:rPr>
        <w:t>The dual pronoun in in yurīdā iṣlāḥan may refer to the arbiters, the spouses, or both. The ambiguity is morally productive: reconciliation requires sincere intention at every level.</w:t>
      </w:r>
    </w:p>
    <w:p>
      <w:pPr>
        <w:widowControl/>
      </w:pPr>
      <w:r>
        <w:rPr>
          <w:rFonts w:ascii="Calibri" w:hAnsi="Calibri" w:cs="Calibri"/>
          <w:sz w:val="22"/>
        </w:rPr>
        <w:t>An abusive spouse seeking to restore control does not seek iṣlāḥ. Relatives who demand silence without safety do not seek iṣlāḥ. A mediator who values family appearance more than the vulnerable person’s dignity does not seek iṣlāḥ. Reform is not the preservation of a legal shell; it is the restoration of right relationship.</w:t>
      </w:r>
    </w:p>
    <w:p>
      <w:pPr>
        <w:widowControl/>
      </w:pPr>
      <w:r>
        <w:rPr>
          <w:rFonts w:ascii="Calibri" w:hAnsi="Calibri" w:cs="Calibri"/>
          <w:sz w:val="22"/>
        </w:rPr>
        <w:t>Real reform may require confession, cessation of abuse, restitution, treatment for addiction or mental illness, financial transparency, enforceable boundaries, individual therapy, protection of children, or legal accountability. Sometimes it culminates in renewed marriage; sometimes the just repair is an honorable divorce.</w:t>
      </w:r>
    </w:p>
    <w:p>
      <w:pPr>
        <w:pStyle w:val="Heading2"/>
      </w:pPr>
      <w:r>
        <w:t>“God will bring about reconciliation”</w:t>
      </w:r>
    </w:p>
    <w:p>
      <w:pPr>
        <w:widowControl/>
      </w:pPr>
      <w:r>
        <w:rPr>
          <w:rFonts w:ascii="Calibri" w:hAnsi="Calibri" w:cs="Calibri"/>
          <w:sz w:val="22"/>
        </w:rPr>
        <w:t>Yuwaffiq conveys tawfīq: God’s enabling grace that brings intentions, circumstances, and hearts into a workable harmony. Human beings must appoint arbiters and perform the labor of truth, but no technique can manufacture love where sincerity is absent.</w:t>
      </w:r>
    </w:p>
    <w:p>
      <w:pPr>
        <w:widowControl/>
      </w:pPr>
      <w:r>
        <w:rPr>
          <w:rFonts w:ascii="Calibri" w:hAnsi="Calibri" w:cs="Calibri"/>
          <w:sz w:val="22"/>
        </w:rPr>
        <w:t>The verse promises divine aid to honest reform, not divine endorsement of coerced reunion.</w:t>
      </w:r>
    </w:p>
    <w:p>
      <w:pPr>
        <w:pStyle w:val="Heading2"/>
      </w:pPr>
      <w:r>
        <w:t>“He Is All-Knowing, All-Aware”</w:t>
      </w:r>
    </w:p>
    <w:p>
      <w:pPr>
        <w:widowControl/>
      </w:pPr>
      <w:r>
        <w:rPr>
          <w:rFonts w:ascii="Calibri" w:hAnsi="Calibri" w:cs="Calibri"/>
          <w:sz w:val="22"/>
        </w:rPr>
        <w:t>God is ʿAlīm, knowing every fact, and Khabīr, intimately aware of hidden motives and interior realities. Human mediators see fragments. God knows who violated the covenant, who fears for safety, who manipulates the public story, whether an apology is sincere, and whether continued cohabitation is wise.</w:t>
      </w:r>
    </w:p>
    <w:p>
      <w:pPr>
        <w:widowControl/>
      </w:pPr>
      <w:r>
        <w:rPr>
          <w:rFonts w:ascii="Calibri" w:hAnsi="Calibri" w:cs="Calibri"/>
          <w:sz w:val="22"/>
        </w:rPr>
        <w:t>These names impose humility on spouses, families, clergy, therapists, and judges. A quiet wife may be peaceful or terrified; a persuasive husband may be truthful or manipulative. The divine attributes warn human decision-makers not to confuse confidence with credibility or family status with innocence.</w:t>
      </w:r>
    </w:p>
    <w:p>
      <w:pPr>
        <w:widowControl/>
      </w:pPr>
      <w:r>
        <w:rPr>
          <w:rFonts w:ascii="Calibri" w:hAnsi="Calibri" w:cs="Calibri"/>
          <w:sz w:val="22"/>
        </w:rPr>
        <w:t>The ending also consoles the person whose suffering is unseen. Even when institutions fail, no injury or intention escapes the knowledge of God. Yet divine knowledge is not an excuse for communal passivity. The plural command to appoint arbiters makes human beings responsible for building procedures that approximate justice.</w:t>
      </w:r>
    </w:p>
    <w:p>
      <w:pPr>
        <w:pStyle w:val="Heading1"/>
        <w:pageBreakBefore/>
      </w:pPr>
      <w:r>
        <w:t>Classical Commentary: Achievement and Limitation</w:t>
      </w:r>
    </w:p>
    <w:p>
      <w:pPr>
        <w:pStyle w:val="Heading2"/>
      </w:pPr>
      <w:r>
        <w:t>Al-Ṭabarī</w:t>
      </w:r>
    </w:p>
    <w:p>
      <w:pPr>
        <w:widowControl/>
      </w:pPr>
      <w:r>
        <w:rPr>
          <w:rFonts w:ascii="Calibri" w:hAnsi="Calibri" w:cs="Calibri"/>
          <w:sz w:val="22"/>
        </w:rPr>
        <w:t>Al-Ṭabarī tied qiwāmah to dowry, maintenance, and the husband’s undertaking of family responsibility. He interpreted nushūz as serious marital withdrawal, hatred, or repudiation of obligations and understood admonition as reminding the wife of God and Scripture.</w:t>
      </w:r>
    </w:p>
    <w:p>
      <w:pPr>
        <w:widowControl/>
      </w:pPr>
      <w:r>
        <w:rPr>
          <w:rFonts w:ascii="Calibri" w:hAnsi="Calibri" w:cs="Calibri"/>
          <w:sz w:val="22"/>
        </w:rPr>
        <w:t>He recorded several meanings of bed separation and accepted a physical reading of wa-ḍribūhunna, qualified in transmitted reports as ghayr mubarriḥ—nonsevere or noninjurious. He also preserved prohibitions against the face and humiliation.</w:t>
      </w:r>
    </w:p>
    <w:p>
      <w:pPr>
        <w:widowControl/>
      </w:pPr>
      <w:r>
        <w:rPr>
          <w:rFonts w:ascii="Calibri" w:hAnsi="Calibri" w:cs="Calibri"/>
          <w:sz w:val="22"/>
        </w:rPr>
        <w:t>Of equal importance, al-Ṭabarī gave strong force to “do not seek a way against them.” Once recognized marital conduct returned, the husband could not invent pretexts, perpetuate punishment, or demand control of involuntary feelings. His tafsīr thus combines a patriarchal social model with genuine restraints upon male retaliation.</w:t>
      </w:r>
    </w:p>
    <w:p>
      <w:pPr>
        <w:widowControl/>
      </w:pPr>
      <w:r>
        <w:rPr>
          <w:rFonts w:ascii="Calibri" w:hAnsi="Calibri" w:cs="Calibri"/>
          <w:sz w:val="22"/>
        </w:rPr>
        <w:t>On 4:35, he reports early disagreement about the arbiters’ authority and recognizes the movement from private discord to a socially supervised effort at repair.</w:t>
      </w:r>
    </w:p>
    <w:p>
      <w:pPr>
        <w:pStyle w:val="Heading2"/>
      </w:pPr>
      <w:r>
        <w:t>Al-Qurṭubī</w:t>
      </w:r>
    </w:p>
    <w:p>
      <w:pPr>
        <w:widowControl/>
      </w:pPr>
      <w:r>
        <w:rPr>
          <w:rFonts w:ascii="Calibri" w:hAnsi="Calibri" w:cs="Calibri"/>
          <w:sz w:val="22"/>
        </w:rPr>
        <w:t>Al-Qurṭubī’s legal commentary connects the husband’s qiwāmah to financial maintenance, making provision a condition with legal consequences rather than a decorative justification. He inherited the physical reading of the disputed verb but required that it neither break bones nor disfigure, wound, or target the face.</w:t>
      </w:r>
    </w:p>
    <w:p>
      <w:pPr>
        <w:widowControl/>
      </w:pPr>
      <w:r>
        <w:rPr>
          <w:rFonts w:ascii="Calibri" w:hAnsi="Calibri" w:cs="Calibri"/>
          <w:sz w:val="22"/>
        </w:rPr>
        <w:t>He transmitted the famous gloss attributed to Ibn ʿAbbās involving a siwāk or something similar. This demonstrates the intensity with which jurists attempted to empty the act of injury. It also reveals the conceptual difficulty: if an action is so slight that it neither harms nor meaningfully coerces, its supposed disciplinary function becomes almost entirely symbolic.</w:t>
      </w:r>
    </w:p>
    <w:p>
      <w:pPr>
        <w:widowControl/>
      </w:pPr>
      <w:r>
        <w:rPr>
          <w:rFonts w:ascii="Calibri" w:hAnsi="Calibri" w:cs="Calibri"/>
          <w:sz w:val="22"/>
        </w:rPr>
        <w:t>Al-Qurṭubī’s reading of the divine names is especially enduring. “Most High, Great” warns husbands that apparent domestic power is subordinate to God’s power. The stronger party must fear becoming a tyrant.</w:t>
      </w:r>
    </w:p>
    <w:p>
      <w:pPr>
        <w:pStyle w:val="Heading2"/>
      </w:pPr>
      <w:r>
        <w:t>Al-Rāzī and ethical purpose</w:t>
      </w:r>
    </w:p>
    <w:p>
      <w:pPr>
        <w:widowControl/>
      </w:pPr>
      <w:r>
        <w:rPr>
          <w:rFonts w:ascii="Calibri" w:hAnsi="Calibri" w:cs="Calibri"/>
          <w:sz w:val="22"/>
        </w:rPr>
        <w:t>Al-Rāzī treats the measures as graduated and directed toward reform, not revenge. The sequence implies that a later step is unnecessary when an earlier one succeeds. This purposive logic allows consequences to matter: an intervention that increases hatred and destroys the marriage cannot be defended as a means of reconciliation.</w:t>
      </w:r>
    </w:p>
    <w:p>
      <w:pPr>
        <w:pStyle w:val="Heading2"/>
      </w:pPr>
      <w:r>
        <w:t>Ibn Kathīr</w:t>
      </w:r>
    </w:p>
    <w:p>
      <w:pPr>
        <w:widowControl/>
      </w:pPr>
      <w:r>
        <w:rPr>
          <w:rFonts w:ascii="Calibri" w:hAnsi="Calibri" w:cs="Calibri"/>
          <w:sz w:val="22"/>
        </w:rPr>
        <w:t>Ibn Kathīr likewise presents a staged response and cites reports limiting any physical measure. He includes the Prophetic command not to strike the face or revile one’s wife. His framework remains hierarchical, but it cannot honestly be cited for impulsive assault, injury, or ordinary household control.</w:t>
      </w:r>
    </w:p>
    <w:p>
      <w:pPr>
        <w:pStyle w:val="Heading2"/>
      </w:pPr>
      <w:r>
        <w:t>ʿAṭāʾ ibn Abī Rabāḥ and restrictive voices</w:t>
      </w:r>
    </w:p>
    <w:p>
      <w:pPr>
        <w:widowControl/>
      </w:pPr>
      <w:r>
        <w:rPr>
          <w:rFonts w:ascii="Calibri" w:hAnsi="Calibri" w:cs="Calibri"/>
          <w:sz w:val="22"/>
        </w:rPr>
        <w:t>The early Meccan jurist ʿAṭāʾ is reported to have said that a husband should not hit his wife but should express displeasure. Ibn al-Jawzī later observed the practical weakness of physical correction: if admonition cannot reach a person’s moral awareness, hitting is unlikely to produce genuine reform and may increase aversion.</w:t>
      </w:r>
    </w:p>
    <w:p>
      <w:pPr>
        <w:widowControl/>
      </w:pPr>
      <w:r>
        <w:rPr>
          <w:rFonts w:ascii="Calibri" w:hAnsi="Calibri" w:cs="Calibri"/>
          <w:sz w:val="22"/>
        </w:rPr>
        <w:t>These voices matter because they show that the inherited tradition was never as morally uniform as polemical summaries imply. The resources for restraint and nonviolence are not purely external imports.</w:t>
      </w:r>
    </w:p>
    <w:p>
      <w:pPr>
        <w:pStyle w:val="Heading2"/>
      </w:pPr>
      <w:r>
        <w:t>The legal schools</w:t>
      </w:r>
    </w:p>
    <w:p>
      <w:pPr>
        <w:widowControl/>
      </w:pPr>
      <w:r>
        <w:rPr>
          <w:rFonts w:ascii="Calibri" w:hAnsi="Calibri" w:cs="Calibri"/>
          <w:sz w:val="22"/>
        </w:rPr>
        <w:t>Premodern Sunni schools generally recognized some narrowly bounded physical discipline for nushūz while disagreeing over grounds, sequence, judicial oversight, and liability. Their limits were real, but enforcement was often uncertain because the husband exercised power in private. The gap between an abstract “noninjurious” act and actual violence remained perilous.</w:t>
      </w:r>
    </w:p>
    <w:p>
      <w:pPr>
        <w:pStyle w:val="Heading2"/>
      </w:pPr>
      <w:r>
        <w:t>How to evaluate the classical legacy</w:t>
      </w:r>
    </w:p>
    <w:p>
      <w:pPr>
        <w:widowControl/>
      </w:pPr>
      <w:r>
        <w:rPr>
          <w:rFonts w:ascii="Calibri" w:hAnsi="Calibri" w:cs="Calibri"/>
          <w:sz w:val="22"/>
        </w:rPr>
        <w:t>The classical commentators lived in societies where corporal discipline was widespread in homes, schools, armies, workplaces, and courts. Against that background, sequence, proportionality, noninjury, avoidance of the face, and cessation after reform functioned as restrictions.</w:t>
      </w:r>
    </w:p>
    <w:p>
      <w:pPr>
        <w:widowControl/>
      </w:pPr>
      <w:r>
        <w:rPr>
          <w:rFonts w:ascii="Calibri" w:hAnsi="Calibri" w:cs="Calibri"/>
          <w:sz w:val="22"/>
        </w:rPr>
        <w:t>But restriction is not abolition. Their historical achievement should not be mistaken for the final ethical limit of the Qur’an. Tafsīr is a human science. Its masters deserve study and respect, not the attribution of infallibility.</w:t>
      </w:r>
    </w:p>
    <w:p>
      <w:pPr>
        <w:widowControl/>
      </w:pPr>
      <w:r>
        <w:rPr>
          <w:rFonts w:ascii="Calibri" w:hAnsi="Calibri" w:cs="Calibri"/>
          <w:sz w:val="22"/>
        </w:rPr>
        <w:t>A responsible contemporary commentary therefore performs two acts of fidelity: it reports the majority classical reading without concealment, and it evaluates that reading through the whole Qur’an, the Prophetic example, the objectives of law, reliable knowledge of harm, and the conditions of the present.</w:t>
      </w:r>
    </w:p>
    <w:p>
      <w:pPr>
        <w:widowControl/>
      </w:pPr>
      <w:r>
        <w:rPr>
          <w:rFonts w:ascii="Calibri" w:hAnsi="Calibri" w:cs="Calibri"/>
          <w:sz w:val="22"/>
        </w:rPr>
        <w:t>The claim that “the Qur’an is perfect, therefore every inherited commentary must be perfect” confuses revelation with reception. Indeed, the Qur’an repeatedly calls readers to reflection because faithful understanding is a continuing moral responsibility.</w:t>
      </w:r>
    </w:p>
    <w:p>
      <w:pPr>
        <w:pStyle w:val="Heading1"/>
      </w:pPr>
      <w:r>
        <w:t>Modern and Contemporary Commentary</w:t>
      </w:r>
    </w:p>
    <w:p>
      <w:pPr>
        <w:pStyle w:val="Heading2"/>
      </w:pPr>
      <w:r>
        <w:t>Muḥammad ʿAbduh and Rashīd Riḍā</w:t>
      </w:r>
    </w:p>
    <w:p>
      <w:pPr>
        <w:widowControl/>
      </w:pPr>
      <w:r>
        <w:rPr>
          <w:rFonts w:ascii="Calibri" w:hAnsi="Calibri" w:cs="Calibri"/>
          <w:sz w:val="22"/>
        </w:rPr>
        <w:t>Tafsīr al-Manār attempted to narrow the physical reading by stressing exceptional circumstances, noninjury, effectiveness, and changing social custom. It opened exegetical space for reason and consequences but retained hierarchical assumptions that later interpreters would challenge.</w:t>
      </w:r>
    </w:p>
    <w:p>
      <w:pPr>
        <w:pStyle w:val="Heading2"/>
      </w:pPr>
      <w:r>
        <w:t>Maududi</w:t>
      </w:r>
    </w:p>
    <w:p>
      <w:pPr>
        <w:widowControl/>
      </w:pPr>
      <w:r>
        <w:rPr>
          <w:rFonts w:ascii="Calibri" w:hAnsi="Calibri" w:cs="Calibri"/>
          <w:sz w:val="22"/>
        </w:rPr>
        <w:t>Maududi insists that the measures are successive rather than simultaneous and emphasizes the Prophet’s dislike of physical discipline. His reading remains within the classical framework, yet his discussion of 4:35 is valuable: family-level mediation should precede the destruction of marriage, and jurists legitimately disagreed over whether arbiters advise or decide.</w:t>
      </w:r>
    </w:p>
    <w:p>
      <w:pPr>
        <w:pStyle w:val="Heading2"/>
      </w:pPr>
      <w:r>
        <w:t>Muhammad Asad</w:t>
      </w:r>
    </w:p>
    <w:p>
      <w:pPr>
        <w:widowControl/>
      </w:pPr>
      <w:r>
        <w:rPr>
          <w:rFonts w:ascii="Calibri" w:hAnsi="Calibri" w:cs="Calibri"/>
          <w:sz w:val="22"/>
        </w:rPr>
        <w:t>Asad treats qiwāmah as economic and social responsibility rather than inherent spiritual superiority. Although he retains a highly restricted physical sense, his contextual method makes the provision-and-protection rationale central and refuses to turn the verse into generalized male domination.</w:t>
      </w:r>
    </w:p>
    <w:p>
      <w:pPr>
        <w:pStyle w:val="Heading2"/>
      </w:pPr>
      <w:r>
        <w:t>Maʿārif al-Qur’an</w:t>
      </w:r>
    </w:p>
    <w:p>
      <w:pPr>
        <w:widowControl/>
      </w:pPr>
      <w:r>
        <w:rPr>
          <w:rFonts w:ascii="Calibri" w:hAnsi="Calibri" w:cs="Calibri"/>
          <w:sz w:val="22"/>
        </w:rPr>
        <w:t>Maʿārif presents qiwāmah as functional caretaking and household responsibility, not dictatorship. While acknowledging the inherited concession, it foregrounds the reports that the best men do not resort to it. This distinction is ethically important: even where a legal allowance was historically discussed, moral excellence was located in nonviolence.</w:t>
      </w:r>
    </w:p>
    <w:p>
      <w:pPr>
        <w:pStyle w:val="Heading2"/>
      </w:pPr>
      <w:r>
        <w:t>Ibn ʿĀshūr</w:t>
      </w:r>
    </w:p>
    <w:p>
      <w:pPr>
        <w:widowControl/>
      </w:pPr>
      <w:r>
        <w:rPr>
          <w:rFonts w:ascii="Calibri" w:hAnsi="Calibri" w:cs="Calibri"/>
          <w:sz w:val="22"/>
        </w:rPr>
        <w:t>Muhammad al-Ṭāhir ibn ʿĀshūr offers one of the most consequential modern developments from within traditional method. He interprets qiwāmah as protection, defense, and provision rather than male ontological superiority and applies nushūz more consistently to both sexes.</w:t>
      </w:r>
    </w:p>
    <w:p>
      <w:pPr>
        <w:widowControl/>
      </w:pPr>
      <w:r>
        <w:rPr>
          <w:rFonts w:ascii="Calibri" w:hAnsi="Calibri" w:cs="Calibri"/>
          <w:sz w:val="22"/>
        </w:rPr>
        <w:t>He also recognizes the legal danger of allowing an angry person to adjudicate his own case. Hadia Mubarak’s study shows that Ibn ʿĀshūr introduces public authority to restrict husbands and argues that, where transgression occurs, authorities may announce that anyone who hits his wife will be punished.</w:t>
      </w:r>
    </w:p>
    <w:p>
      <w:pPr>
        <w:widowControl/>
      </w:pPr>
      <w:r>
        <w:rPr>
          <w:rFonts w:ascii="Calibri" w:hAnsi="Calibri" w:cs="Calibri"/>
          <w:sz w:val="22"/>
        </w:rPr>
        <w:t>This is “change through continuity”: classical philology and jurisprudence are used to reach stronger protection in changed circumstances. It refutes the claim that fidelity requires social immobility.</w:t>
      </w:r>
    </w:p>
    <w:p>
      <w:pPr>
        <w:pStyle w:val="Heading2"/>
      </w:pPr>
      <w:r>
        <w:t>Wahiduddin Khan and Tazkirul Quran</w:t>
      </w:r>
    </w:p>
    <w:p>
      <w:pPr>
        <w:widowControl/>
      </w:pPr>
      <w:r>
        <w:rPr>
          <w:rFonts w:ascii="Calibri" w:hAnsi="Calibri" w:cs="Calibri"/>
          <w:sz w:val="22"/>
        </w:rPr>
        <w:t>Wahiduddin Khan emphasizes that worldly role distinctions do not alter equal spiritual worth before God. The steps seek reform, and unresolved conflict properly moves to arbitration. The next verse, rather than physical force, provides the passage’s interpretive destination.</w:t>
      </w:r>
    </w:p>
    <w:p>
      <w:pPr>
        <w:pStyle w:val="Heading2"/>
      </w:pPr>
      <w:r>
        <w:t>Laleh Bakhtiar, Amina Wadud, and Asma Barlas</w:t>
      </w:r>
    </w:p>
    <w:p>
      <w:pPr>
        <w:widowControl/>
      </w:pPr>
      <w:r>
        <w:rPr>
          <w:rFonts w:ascii="Calibri" w:hAnsi="Calibri" w:cs="Calibri"/>
          <w:sz w:val="22"/>
        </w:rPr>
        <w:t>These interpreters read the verse within Qur’anic equality, justice, and the Prophet’s nonviolent conduct. Bakhtiar renders the disputed verb “go away from them.” Wadud and Barlas challenge the conversion of contextual responsibility into a metaphysics of male rule and insist that the Qur’an must interpret the Qur’an.</w:t>
      </w:r>
    </w:p>
    <w:p>
      <w:pPr>
        <w:pStyle w:val="Heading2"/>
      </w:pPr>
      <w:r>
        <w:t>Contemporary Ahmadi Muslim perspectives</w:t>
      </w:r>
    </w:p>
    <w:p>
      <w:pPr>
        <w:widowControl/>
      </w:pPr>
      <w:r>
        <w:rPr>
          <w:rFonts w:ascii="Calibri" w:hAnsi="Calibri" w:cs="Calibri"/>
          <w:sz w:val="22"/>
        </w:rPr>
        <w:t>The supplied Review of Religions analysis stresses the protective sense of qiwāmah, the semantic breadth of ḍaraba, and the primacy of the Qur’an and authentic Prophetic example over reports deployed to excuse abuse. It also examines the weakness of the narration sometimes invoked to claim that a man will not be questioned for beating his wife.</w:t>
      </w:r>
    </w:p>
    <w:p>
      <w:pPr>
        <w:widowControl/>
      </w:pPr>
      <w:r>
        <w:rPr>
          <w:rFonts w:ascii="Calibri" w:hAnsi="Calibri" w:cs="Calibri"/>
          <w:sz w:val="22"/>
        </w:rPr>
        <w:t>The article recalls the Promised Messiah’s acute moral sensitivity: after merely raising his voice to his wife, he felt remorse, sought forgiveness, offered voluntary prayer, and gave charity. That conscience stands worlds apart from attempts to sacralize “light beating.”</w:t>
      </w:r>
    </w:p>
    <w:p>
      <w:pPr>
        <w:widowControl/>
      </w:pPr>
      <w:r>
        <w:rPr>
          <w:rFonts w:ascii="Calibri" w:hAnsi="Calibri" w:cs="Calibri"/>
          <w:sz w:val="22"/>
        </w:rPr>
        <w:t>The supplied Muslim Times essay exposes how a nominally limited permission can expand into institutional proposals to hit wives for dress, speech, social contact, or refusal of personal demands. Its sociological warning is compelling: when male dominance is treated as sacred, restrictions are easily forgotten and religious vocabulary becomes a shield for control.</w:t>
      </w:r>
    </w:p>
    <w:p>
      <w:pPr>
        <w:widowControl/>
      </w:pPr>
      <w:r>
        <w:rPr>
          <w:rFonts w:ascii="Calibri" w:hAnsi="Calibri" w:cs="Calibri"/>
          <w:sz w:val="22"/>
        </w:rPr>
        <w:t>The Glorious Quran and Science essay “Qur’an 4:34—Extremes in Marriage” provides a useful synthesis: qiwāmah is accountability, nushūz is grave rupture, the passage is a de-escalation ladder, and the Qur’an’s repeated commands of mercy and maʿrūf govern the contested phrase.</w:t>
      </w:r>
    </w:p>
    <w:p>
      <w:pPr>
        <w:pStyle w:val="Heading1"/>
        <w:pageBreakBefore/>
      </w:pPr>
      <w:r>
        <w:t>Wife-Beating Is Not a Legitimate Contemporary Interpretation</w:t>
      </w:r>
    </w:p>
    <w:p>
      <w:pPr>
        <w:widowControl/>
      </w:pPr>
      <w:r>
        <w:rPr>
          <w:rFonts w:ascii="Calibri" w:hAnsi="Calibri" w:cs="Calibri"/>
          <w:sz w:val="22"/>
        </w:rPr>
        <w:t>Historical accuracy and present moral judgment must be held together. Most classical commentators read wa-ḍribūhunna physically, but their reading was an interpretation, not an additional verse of the Qur’an. Physical violence cannot be accepted as a legitimate contemporary application.</w:t>
      </w:r>
    </w:p>
    <w:p>
      <w:pPr>
        <w:pStyle w:val="Heading2"/>
      </w:pPr>
      <w:r>
        <w:t>The Prophet’s embodied commentary</w:t>
      </w:r>
    </w:p>
    <w:p>
      <w:pPr>
        <w:widowControl/>
      </w:pPr>
      <w:r>
        <w:rPr>
          <w:rFonts w:ascii="Calibri" w:hAnsi="Calibri" w:cs="Calibri"/>
          <w:sz w:val="22"/>
        </w:rPr>
        <w:t>ʿĀʾishah reports in Ṣaḥīḥ Muslim that the Prophet never struck a woman or a servant. This is not a marginal anecdote but a sustained pattern across his marriages. When he experienced grave domestic tension, he withdrew temporarily; he did not hit.</w:t>
      </w:r>
    </w:p>
    <w:p>
      <w:pPr>
        <w:widowControl/>
      </w:pPr>
      <w:r>
        <w:rPr>
          <w:rFonts w:ascii="Calibri" w:hAnsi="Calibri" w:cs="Calibri"/>
          <w:sz w:val="22"/>
        </w:rPr>
        <w:t>Another report begins, “Do not beat God’s female servants.” When many women later complained that their husbands had struck them, the Prophet declared that those husbands were not the best among the believers. His positive standard was equally clear: the most complete believers are best in character, and the best are those best to their wives.</w:t>
      </w:r>
    </w:p>
    <w:p>
      <w:pPr>
        <w:widowControl/>
      </w:pPr>
      <w:r>
        <w:rPr>
          <w:rFonts w:ascii="Calibri" w:hAnsi="Calibri" w:cs="Calibri"/>
          <w:sz w:val="22"/>
        </w:rPr>
        <w:t>The Sunnah is not exhausted by the outer limit of what may have been temporarily tolerated while reforming a violent society. It is also the Prophet’s consistent choice of the most merciful and excellent path. His life interprets the text toward nonviolence.</w:t>
      </w:r>
    </w:p>
    <w:p>
      <w:pPr>
        <w:pStyle w:val="Heading2"/>
      </w:pPr>
      <w:r>
        <w:t>Violence contradicts the purposes of marriage</w:t>
      </w:r>
    </w:p>
    <w:p>
      <w:pPr>
        <w:widowControl/>
      </w:pPr>
      <w:r>
        <w:rPr>
          <w:rFonts w:ascii="Calibri" w:hAnsi="Calibri" w:cs="Calibri"/>
          <w:sz w:val="22"/>
        </w:rPr>
        <w:t>A blow need not break a bone to break trust. The possibility of bodily correction changes companionship into surveillance and moral persuasion into physical dominance. Fear may produce immediate compliance, but it cannot produce sakīnah, mawaddah, or raḥmah.</w:t>
      </w:r>
    </w:p>
    <w:p>
      <w:pPr>
        <w:widowControl/>
      </w:pPr>
      <w:r>
        <w:rPr>
          <w:rFonts w:ascii="Calibri" w:hAnsi="Calibri" w:cs="Calibri"/>
          <w:sz w:val="22"/>
        </w:rPr>
        <w:t>Modern medicine also dissolves romantic language about controlled intimate-partner violence. The World Health Organization associates such violence with injury, chronic pain, depression, post-traumatic stress, anxiety, reproductive harm, pregnancy complications, substance misuse, and suicide attempts. Children in violent homes suffer behavioral, emotional, developmental, and health consequences.</w:t>
      </w:r>
    </w:p>
    <w:p>
      <w:pPr>
        <w:widowControl/>
      </w:pPr>
      <w:r>
        <w:rPr>
          <w:rFonts w:ascii="Calibri" w:hAnsi="Calibri" w:cs="Calibri"/>
          <w:sz w:val="22"/>
        </w:rPr>
        <w:t>An intervention that predictably destroys the objective it supposedly serves cannot remain obligatory or recommended. The Qur’anic objective is reform; violence commonly produces concealment, resentment, escalation, or trauma. Under the legal principle that harm must be removed, its prohibition is the faithful course.</w:t>
      </w:r>
    </w:p>
    <w:p>
      <w:pPr>
        <w:pStyle w:val="Heading2"/>
      </w:pPr>
      <w:r>
        <w:t>“Light beating” is not a stable category</w:t>
      </w:r>
    </w:p>
    <w:p>
      <w:pPr>
        <w:widowControl/>
      </w:pPr>
      <w:r>
        <w:rPr>
          <w:rFonts w:ascii="Calibri" w:hAnsi="Calibri" w:cs="Calibri"/>
          <w:sz w:val="22"/>
        </w:rPr>
        <w:t>The angry husband would identify the offense, judge its gravity, determine whether earlier measures failed, select the force, and evaluate his own compliance—usually without witnesses. This makes the stronger party judge in his own cause. The category invites expansion precisely when self-control is weakest. A symbolic tap with a siwāk is not what modern law or medicine ordinarily calls domestic violence, but it also offers no meaningful method of moral reform. If it cannot hurt, it cannot accomplish a coercive purpose; if it can hurt, frighten, or humiliate, it violates the very limits invoked to defend it.</w:t>
      </w:r>
    </w:p>
    <w:p>
      <w:pPr>
        <w:widowControl/>
      </w:pPr>
      <w:r>
        <w:rPr>
          <w:rFonts w:ascii="Calibri" w:hAnsi="Calibri" w:cs="Calibri"/>
          <w:sz w:val="22"/>
        </w:rPr>
        <w:t>Once communities announce a sacred male right to strike, the qualifiers tend to disappear while the permission remains. The Muslim Times case study of Pakistan’s Council of Islamic Ideology illustrates this capture: a purported last resort metastasized into proposed control over dress, speech, movement, money, and sexual access.</w:t>
      </w:r>
    </w:p>
    <w:p>
      <w:pPr>
        <w:pStyle w:val="Heading2"/>
      </w:pPr>
      <w:r>
        <w:t>The Qur’an supplies a superior alternative</w:t>
      </w:r>
    </w:p>
    <w:p>
      <w:pPr>
        <w:widowControl/>
      </w:pPr>
      <w:r>
        <w:rPr>
          <w:rFonts w:ascii="Calibri" w:hAnsi="Calibri" w:cs="Calibri"/>
          <w:sz w:val="22"/>
        </w:rPr>
        <w:t>The nonviolent sequence is complete: truthful counsel, a private cooling-off period, temporary residential distance, balanced arbitration, and either safe reconciliation or honorable release. Nothing is lost by rejecting physical force; the moral intelligence of the passage becomes clearer.</w:t>
      </w:r>
    </w:p>
    <w:p>
      <w:pPr>
        <w:pStyle w:val="Heading2"/>
      </w:pPr>
      <w:r>
        <w:t>Law against domestic violence serves the Sharīʿah</w:t>
      </w:r>
    </w:p>
    <w:p>
      <w:pPr>
        <w:widowControl/>
      </w:pPr>
      <w:r>
        <w:rPr>
          <w:rFonts w:ascii="Calibri" w:hAnsi="Calibri" w:cs="Calibri"/>
          <w:sz w:val="22"/>
        </w:rPr>
        <w:t>Protective laws preserve life, bodily integrity, dignity, family welfare, and the vulnerable. No husband can claim scriptural immunity from investigation or accountability. Ibn ʿĀshūr’s reasoning already supplies a traditional juristic bridge for public authorities to prohibit hitting and punish transgression.</w:t>
      </w:r>
    </w:p>
    <w:p>
      <w:pPr>
        <w:widowControl/>
      </w:pPr>
      <w:r>
        <w:rPr>
          <w:rFonts w:ascii="Calibri" w:hAnsi="Calibri" w:cs="Calibri"/>
          <w:sz w:val="22"/>
        </w:rPr>
        <w:t>Religious leaders must never discourage a victim from contacting trusted relatives, physicians, advocates, shelters, police, or courts. Preserving a marriage is not a higher objective than preserving a person.</w:t>
      </w:r>
    </w:p>
    <w:p>
      <w:pPr>
        <w:pStyle w:val="Heading1"/>
      </w:pPr>
      <w:r>
        <w:t>Common Objections and Responses</w:t>
      </w:r>
    </w:p>
    <w:p>
      <w:pPr>
        <w:pStyle w:val="Heading2"/>
      </w:pPr>
      <w:r>
        <w:t>“Is the nonviolent reading merely imposed by modern values?”</w:t>
      </w:r>
    </w:p>
    <w:p>
      <w:pPr>
        <w:widowControl/>
      </w:pPr>
      <w:r>
        <w:rPr>
          <w:rFonts w:ascii="Calibri" w:hAnsi="Calibri" w:cs="Calibri"/>
          <w:sz w:val="22"/>
        </w:rPr>
        <w:t>Modern moral awareness influences the questions readers ask, just as premodern social structures influenced earlier assumptions. The decisive question is whether the answer can be grounded in the Qur’an and Sunnah. Here it can: the Qur’an commands kindness and noninjury, the Prophet never hit his wives, ḍaraba has semantic breadth, the passage escalates toward arbitration, and law recognizes the removal of harm.</w:t>
      </w:r>
    </w:p>
    <w:p>
      <w:pPr>
        <w:pStyle w:val="Heading2"/>
      </w:pPr>
      <w:r>
        <w:t>“Does rejecting a physical application accuse classical scholars of bad faith?”</w:t>
      </w:r>
    </w:p>
    <w:p>
      <w:pPr>
        <w:widowControl/>
      </w:pPr>
      <w:r>
        <w:rPr>
          <w:rFonts w:ascii="Calibri" w:hAnsi="Calibri" w:cs="Calibri"/>
          <w:sz w:val="22"/>
        </w:rPr>
        <w:t>No. A scholar can reason sincerely within the knowledge and conventions of an age and still reach a conclusion that later Muslims should revise. The classical restrictions were often humane relative to their environment. Respectful disagreement is part of the tradition they themselves practiced.</w:t>
      </w:r>
    </w:p>
    <w:p>
      <w:pPr>
        <w:pStyle w:val="Heading2"/>
      </w:pPr>
      <w:r>
        <w:t>“Does ‘separate houses’ make bed separation redundant?”</w:t>
      </w:r>
    </w:p>
    <w:p>
      <w:pPr>
        <w:widowControl/>
      </w:pPr>
      <w:r>
        <w:rPr>
          <w:rFonts w:ascii="Calibri" w:hAnsi="Calibri" w:cs="Calibri"/>
          <w:sz w:val="22"/>
        </w:rPr>
        <w:t>No. The stages differ in degree. Bed separation is an intimate pause within the household; residential separation creates broader physical distance and safety. The latter naturally prepares for outside mediation.</w:t>
      </w:r>
    </w:p>
    <w:p>
      <w:pPr>
        <w:pStyle w:val="Heading2"/>
      </w:pPr>
      <w:r>
        <w:t>“Does this eliminate the husband’s leadership?”</w:t>
      </w:r>
    </w:p>
    <w:p>
      <w:pPr>
        <w:widowControl/>
      </w:pPr>
      <w:r>
        <w:rPr>
          <w:rFonts w:ascii="Calibri" w:hAnsi="Calibri" w:cs="Calibri"/>
          <w:sz w:val="22"/>
        </w:rPr>
        <w:t>It purifies leadership. Qiwāmah remains provision, protection, initiative, reliability, and accountability. What disappears is coercive entitlement. Prophetic leadership persuaded and served; it did not need domestic violence.</w:t>
      </w:r>
    </w:p>
    <w:p>
      <w:pPr>
        <w:pStyle w:val="Heading2"/>
      </w:pPr>
      <w:r>
        <w:t>“Does ‘if they obey you’ make wives subordinate?”</w:t>
      </w:r>
    </w:p>
    <w:p>
      <w:pPr>
        <w:widowControl/>
      </w:pPr>
      <w:r>
        <w:rPr>
          <w:rFonts w:ascii="Calibri" w:hAnsi="Calibri" w:cs="Calibri"/>
          <w:sz w:val="22"/>
        </w:rPr>
        <w:t>The phrase concerns the cessation of the specified rupture, not universal servitude. Husbands also owe obedience to God’s marital commands, and 4:128 recognizes their nushūz. The immediate prohibition on seeking any way against wives prevents totalizing authority.</w:t>
      </w:r>
    </w:p>
    <w:p>
      <w:pPr>
        <w:pStyle w:val="Heading2"/>
      </w:pPr>
      <w:r>
        <w:t>“Must every marriage be reconciled?”</w:t>
      </w:r>
    </w:p>
    <w:p>
      <w:pPr>
        <w:widowControl/>
      </w:pPr>
      <w:r>
        <w:rPr>
          <w:rFonts w:ascii="Calibri" w:hAnsi="Calibri" w:cs="Calibri"/>
          <w:sz w:val="22"/>
        </w:rPr>
        <w:t>No. Iṣlāḥ means setting things right, not preserving every legal bond. Where abuse, coercion, betrayal, or danger persists, a dignified separation can be the just outcome. Qur’anic divorce law repeatedly joins separation to honor, provision, and nonharassment.</w:t>
      </w:r>
    </w:p>
    <w:p>
      <w:pPr>
        <w:pStyle w:val="Heading1"/>
        <w:pageBreakBefore/>
      </w:pPr>
      <w:r>
        <w:t>A Five-Step Qur’anic Framework for Marital Crisis</w:t>
      </w:r>
    </w:p>
    <w:p>
      <w:pPr>
        <w:pStyle w:val="ListNumber"/>
        <w:numPr>
          <w:ilvl w:val="0"/>
          <w:numId w:val="10"/>
        </w:numPr>
        <w:spacing w:after="80" w:line="290" w:lineRule="auto"/>
        <w:ind w:left="540" w:hanging="279"/>
      </w:pPr>
      <w:r>
        <w:rPr>
          <w:rFonts w:ascii="Calibri" w:hAnsi="Calibri" w:cs="Calibri"/>
          <w:b/>
          <w:sz w:val="22"/>
        </w:rPr>
        <w:t>Honest admonition:</w:t>
      </w:r>
      <w:r>
        <w:rPr>
          <w:rFonts w:ascii="Calibri" w:hAnsi="Calibri" w:cs="Calibri"/>
          <w:sz w:val="22"/>
        </w:rPr>
        <w:t xml:space="preserve"> Name the actual problem without contempt. Hear both accounts. Recall God, the covenant, and reciprocal obligations. Examine one’s own faults before diagnosing the other.</w:t>
      </w:r>
    </w:p>
    <w:p>
      <w:pPr>
        <w:pStyle w:val="ListNumber"/>
        <w:numPr>
          <w:ilvl w:val="0"/>
          <w:numId w:val="10"/>
        </w:numPr>
        <w:spacing w:after="80" w:line="290" w:lineRule="auto"/>
        <w:ind w:left="540" w:hanging="279"/>
      </w:pPr>
      <w:r>
        <w:rPr>
          <w:rFonts w:ascii="Calibri" w:hAnsi="Calibri" w:cs="Calibri"/>
          <w:b/>
          <w:sz w:val="22"/>
        </w:rPr>
        <w:t>Bed separation:</w:t>
      </w:r>
      <w:r>
        <w:rPr>
          <w:rFonts w:ascii="Calibri" w:hAnsi="Calibri" w:cs="Calibri"/>
          <w:sz w:val="22"/>
        </w:rPr>
        <w:t xml:space="preserve"> Use a brief, private cooling-off period. Maintain financial duties and basic respect. Do not turn distance into sexual, emotional, or economic punishment.</w:t>
      </w:r>
    </w:p>
    <w:p>
      <w:pPr>
        <w:pStyle w:val="ListNumber"/>
        <w:numPr>
          <w:ilvl w:val="0"/>
          <w:numId w:val="10"/>
        </w:numPr>
        <w:spacing w:after="80" w:line="290" w:lineRule="auto"/>
        <w:ind w:left="540" w:hanging="279"/>
      </w:pPr>
      <w:r>
        <w:rPr>
          <w:rFonts w:ascii="Calibri" w:hAnsi="Calibri" w:cs="Calibri"/>
          <w:b/>
          <w:sz w:val="22"/>
        </w:rPr>
        <w:t>Residential separation:</w:t>
      </w:r>
      <w:r>
        <w:rPr>
          <w:rFonts w:ascii="Calibri" w:hAnsi="Calibri" w:cs="Calibri"/>
          <w:sz w:val="22"/>
        </w:rPr>
        <w:t xml:space="preserve"> Where tension persists, create safe physical space. Set a defined period, communication boundaries, support for children, and necessary financial arrangements.</w:t>
      </w:r>
    </w:p>
    <w:p>
      <w:pPr>
        <w:pStyle w:val="ListNumber"/>
        <w:numPr>
          <w:ilvl w:val="0"/>
          <w:numId w:val="10"/>
        </w:numPr>
        <w:spacing w:after="80" w:line="290" w:lineRule="auto"/>
        <w:ind w:left="540" w:hanging="279"/>
      </w:pPr>
      <w:r>
        <w:rPr>
          <w:rFonts w:ascii="Calibri" w:hAnsi="Calibri" w:cs="Calibri"/>
          <w:b/>
          <w:sz w:val="22"/>
        </w:rPr>
        <w:t>Two-sided arbitration:</w:t>
      </w:r>
      <w:r>
        <w:rPr>
          <w:rFonts w:ascii="Calibri" w:hAnsi="Calibri" w:cs="Calibri"/>
          <w:sz w:val="22"/>
        </w:rPr>
        <w:t xml:space="preserve"> Select competent, trustworthy representatives from both sides, or independent professionals where relatives are biased. Investigate safety before pursuing reconciliation.</w:t>
      </w:r>
    </w:p>
    <w:p>
      <w:pPr>
        <w:pStyle w:val="ListNumber"/>
        <w:numPr>
          <w:ilvl w:val="0"/>
          <w:numId w:val="10"/>
        </w:numPr>
        <w:spacing w:after="80" w:line="290" w:lineRule="auto"/>
        <w:ind w:left="540" w:hanging="279"/>
      </w:pPr>
      <w:r>
        <w:rPr>
          <w:rFonts w:ascii="Calibri" w:hAnsi="Calibri" w:cs="Calibri"/>
          <w:b/>
          <w:sz w:val="22"/>
        </w:rPr>
        <w:t>Reconciliation or honorable release:</w:t>
      </w:r>
      <w:r>
        <w:rPr>
          <w:rFonts w:ascii="Calibri" w:hAnsi="Calibri" w:cs="Calibri"/>
          <w:sz w:val="22"/>
        </w:rPr>
        <w:t xml:space="preserve"> Reunite only when responsibility, safety, and sincere reform exist. Otherwise separate with justice, grace, and protection of rights.</w:t>
      </w:r>
    </w:p>
    <w:p>
      <w:pPr>
        <w:pStyle w:val="Heading1"/>
      </w:pPr>
      <w:r>
        <w:t>Contemporary Pastoral and Clinical Application</w:t>
      </w:r>
    </w:p>
    <w:p>
      <w:pPr>
        <w:widowControl/>
      </w:pPr>
      <w:r>
        <w:rPr>
          <w:rFonts w:ascii="Calibri" w:hAnsi="Calibri" w:cs="Calibri"/>
          <w:sz w:val="22"/>
        </w:rPr>
        <w:t>These verses are not a substitute for professional assessment. Ordinary marital conflict and coercive control are not the same. In ordinary conflict, joint counseling can improve communication. In abuse, joint sessions may increase danger by revealing information or giving the abuser new language for manipulation.</w:t>
      </w:r>
    </w:p>
    <w:p>
      <w:pPr>
        <w:widowControl/>
      </w:pPr>
      <w:r>
        <w:rPr>
          <w:rFonts w:ascii="Calibri" w:hAnsi="Calibri" w:cs="Calibri"/>
          <w:sz w:val="22"/>
        </w:rPr>
        <w:t>Warning signs include threats, strangulation, stalking, forced sex, confinement, weapon access, escalating injury, threats involving children, destruction of property, financial captivity, and retaliation when separation is discussed. In such circumstances safety planning and specialized support take priority over mediation.</w:t>
      </w:r>
    </w:p>
    <w:p>
      <w:pPr>
        <w:widowControl/>
      </w:pPr>
      <w:r>
        <w:rPr>
          <w:rFonts w:ascii="Calibri" w:hAnsi="Calibri" w:cs="Calibri"/>
          <w:sz w:val="22"/>
        </w:rPr>
        <w:t>Arbitrators should ask each spouse privately about fear, injury, coercion, finances, sexual consent, children, and access to communication. They should not assume that the more articulate party is truthful or that the quieter party consents. Reconciliation should never be purchased with secrecy.</w:t>
      </w:r>
    </w:p>
    <w:p>
      <w:pPr>
        <w:widowControl/>
      </w:pPr>
      <w:r>
        <w:rPr>
          <w:rFonts w:ascii="Calibri" w:hAnsi="Calibri" w:cs="Calibri"/>
          <w:sz w:val="22"/>
        </w:rPr>
        <w:t>Temporary separation must not become abandonment. The husband’s obligation of maintenance continues according to law and circumstance. Children should not be recruited as messengers or witnesses. Confidential information should be protected except where disclosure is necessary to prevent serious harm.</w:t>
      </w:r>
    </w:p>
    <w:p>
      <w:pPr>
        <w:widowControl/>
      </w:pPr>
      <w:r>
        <w:rPr>
          <w:rFonts w:ascii="Calibri" w:hAnsi="Calibri" w:cs="Calibri"/>
          <w:sz w:val="22"/>
        </w:rPr>
        <w:t>A perpetrator’s claim of repentance should be tested by conduct: complete cessation, acceptance of responsibility without blaming the victim, compliance with legal orders, restitution, treatment, patience with boundaries, and sustained change over time. Tears and religious language alone are not evidence of reform.</w:t>
      </w:r>
    </w:p>
    <w:p>
      <w:pPr>
        <w:pStyle w:val="Heading1"/>
      </w:pPr>
      <w:r>
        <w:t>The Passage as a Unified Moral Architecture</w:t>
      </w:r>
    </w:p>
    <w:p>
      <w:pPr>
        <w:widowControl/>
      </w:pPr>
      <w:r>
        <w:rPr>
          <w:rFonts w:ascii="Calibri" w:hAnsi="Calibri" w:cs="Calibri"/>
          <w:sz w:val="22"/>
        </w:rPr>
        <w:t>Qur’an 4:34 begins with human responsibility and ends with divine greatness. Verse 4:35 begins with communal concern and ends with divine knowledge. The pairing is deliberate.</w:t>
      </w:r>
    </w:p>
    <w:p>
      <w:pPr>
        <w:widowControl/>
      </w:pPr>
      <w:r>
        <w:rPr>
          <w:rFonts w:ascii="Calibri" w:hAnsi="Calibri" w:cs="Calibri"/>
          <w:sz w:val="22"/>
        </w:rPr>
        <w:t>The husband is not the Most High. The wife is not morally invisible. The family is not entitled to hide oppression. The commentator is not infallible. The mediator does not know every secret. All stand under the judgment of the One who is High, Great, Knowing, and Aware.</w:t>
      </w:r>
    </w:p>
    <w:p>
      <w:pPr>
        <w:widowControl/>
      </w:pPr>
      <w:r>
        <w:rPr>
          <w:rFonts w:ascii="Calibri" w:hAnsi="Calibri" w:cs="Calibri"/>
          <w:sz w:val="22"/>
        </w:rPr>
        <w:t>Qiwāmah is tested by service. Qunūt is devotion to God. Safeguarding the unseen is reciprocal trust. Nushūz is a grave human rupture, not a feminine defect. Admonition appeals to conscience. Bed separation cools conflict. Residential separation creates safety and clarity. Arbitration establishes bilateral representation. Iṣlāḥ names the purpose. Tawfīq is God’s gift to sincere human effort.</w:t>
      </w:r>
    </w:p>
    <w:p>
      <w:pPr>
        <w:widowControl/>
      </w:pPr>
      <w:r>
        <w:rPr>
          <w:rFonts w:ascii="Calibri" w:hAnsi="Calibri" w:cs="Calibri"/>
          <w:sz w:val="22"/>
        </w:rPr>
        <w:t>Read in this way, the passage is neither an embarrassment to be denied nor a weapon to be defended. It is a morally serious response to the disintegration of intimacy—one that moves steadily from private responsibility toward accountable justice.</w:t>
      </w:r>
    </w:p>
    <w:p>
      <w:pPr>
        <w:pStyle w:val="Heading1"/>
      </w:pPr>
      <w:r>
        <w:t>Conclusion</w:t>
      </w:r>
    </w:p>
    <w:p>
      <w:pPr>
        <w:widowControl/>
      </w:pPr>
      <w:r>
        <w:rPr>
          <w:rFonts w:ascii="Calibri" w:hAnsi="Calibri" w:cs="Calibri"/>
          <w:sz w:val="22"/>
        </w:rPr>
        <w:t>Qur’an 4:34–35 does not declare men spiritually superior, turn wives into property, or give husbands an unrestricted disciplinary jurisdiction. It assigns husbands an accountable duty of provision and care; praises wives whose devotion to God produces fidelity and trust; addresses serious covenantal rupture through graduated de-escalation; prohibits continued action once the rupture ends; and gives both families standing in a process directed toward reform.</w:t>
      </w:r>
    </w:p>
    <w:p>
      <w:pPr>
        <w:widowControl/>
      </w:pPr>
      <w:r>
        <w:rPr>
          <w:rFonts w:ascii="Calibri" w:hAnsi="Calibri" w:cs="Calibri"/>
          <w:sz w:val="22"/>
        </w:rPr>
        <w:t>The majority classical reading of wa-ḍribūhunna must be acknowledged, including its limitations. But the limitations also reveal the tradition’s own unease: no face, no wound, no mark, no severity, no humiliation, no excess, no action when ineffective, and moral preference for avoidance. The Prophet’s actual practice completes the trajectory—he never struck a woman.</w:t>
      </w:r>
    </w:p>
    <w:p>
      <w:pPr>
        <w:widowControl/>
      </w:pPr>
      <w:r>
        <w:rPr>
          <w:rFonts w:ascii="Calibri" w:hAnsi="Calibri" w:cs="Calibri"/>
          <w:sz w:val="22"/>
        </w:rPr>
        <w:t>In the contemporary world, where the medical, psychological, familial, and social harms of intimate-partner violence are established, physical discipline cannot satisfy its historical conditions or the Qur’an’s purposes. Whether one translates the verb as “separate from them” or reaches prohibition through the removal of harm, the practical result is the same: wife-beating is not an Islamic right.</w:t>
      </w:r>
    </w:p>
    <w:p>
      <w:pPr>
        <w:widowControl/>
      </w:pPr>
      <w:r>
        <w:rPr>
          <w:rFonts w:ascii="Calibri" w:hAnsi="Calibri" w:cs="Calibri"/>
          <w:sz w:val="22"/>
        </w:rPr>
        <w:t>The preferred translation therefore gives the passage a compelling internal progression: remind them of God’s teachings; create distance in bed; separate houses; appoint an arbiter from each family; seek sincere reconciliation; and, if justice cannot be restored, separate honorably. This is not a retreat from revelation but an attempt to hear its moral whole.</w:t>
      </w:r>
    </w:p>
    <w:p>
      <w:pPr>
        <w:pStyle w:val="Heading1"/>
      </w:pPr>
      <w:r>
        <w:t>Thematic Epilogue: When the Home Must Again Become a Place of Peace</w:t>
      </w:r>
    </w:p>
    <w:p>
      <w:pPr>
        <w:widowControl/>
      </w:pPr>
      <w:r>
        <w:rPr>
          <w:rFonts w:ascii="Calibri" w:hAnsi="Calibri" w:cs="Calibri"/>
          <w:sz w:val="22"/>
        </w:rPr>
        <w:t>A home is not made Islamic by the dominance of one spouse over another. It becomes Islamic when power is disciplined by conscience, provision is offered without humiliation, disagreement does not erase dignity, and both spouses can stand before God as free and responsible souls.</w:t>
      </w:r>
    </w:p>
    <w:p>
      <w:pPr>
        <w:widowControl/>
      </w:pPr>
      <w:r>
        <w:rPr>
          <w:rFonts w:ascii="Calibri" w:hAnsi="Calibri" w:cs="Calibri"/>
          <w:sz w:val="22"/>
        </w:rPr>
        <w:t>The Qur’an does not romanticize marriage. It knows that affection may be wounded, trust may recede, and two people who once rested in one another may find themselves standing on opposite sides of a painful divide. Yet its answer is not the intoxication of force. It slows anger down. Speak truthfully. Let the bed register the seriousness of the wound. Create physical space before rage becomes injury. Bring in two people who can hear what the spouses no longer hear in each other. Search for reform without sacrificing justice.</w:t>
      </w:r>
    </w:p>
    <w:p>
      <w:pPr>
        <w:widowControl/>
      </w:pPr>
      <w:r>
        <w:rPr>
          <w:rFonts w:ascii="Calibri" w:hAnsi="Calibri" w:cs="Calibri"/>
          <w:sz w:val="22"/>
        </w:rPr>
        <w:t>The classical commentators inherited worlds in which corporal authority was assumed almost everywhere. Many attempted to restrain it, and those restraints deserve acknowledgment. But the restraint appropriate to a former age need not become the ethical ceiling of every age. The Qur’an’s enduring ideals—justice, mercy, maʿrūf, noninjury, mutual dignity, and protection of the vulnerable—permit and require moral understanding to mature.</w:t>
      </w:r>
    </w:p>
    <w:p>
      <w:pPr>
        <w:widowControl/>
      </w:pPr>
      <w:r>
        <w:rPr>
          <w:rFonts w:ascii="Calibri" w:hAnsi="Calibri" w:cs="Calibri"/>
          <w:sz w:val="22"/>
        </w:rPr>
        <w:t>The decisive Prophetic commentary was a life. Muhammad did not beat his wives. He taught that the best believers are those best to their families. He showed that strength is not the capacity to overpower another body but the mastery of anger and the preservation of another person’s dignity. When sakīnah is lost, the believing response is therefore not the raised hand but the awakened conscience; not bodily domination but principled distance; not secrecy but fair arbitration; and not coerced submission but either genuine reconciliation or honorable release.</w:t>
      </w:r>
    </w:p>
    <w:p>
      <w:pPr>
        <w:widowControl/>
      </w:pPr>
      <w:r>
        <w:rPr>
          <w:rFonts w:ascii="Calibri" w:hAnsi="Calibri" w:cs="Calibri"/>
          <w:sz w:val="22"/>
        </w:rPr>
        <w:t>Qur’an 4:34 closes by telling the powerful that God alone is Most High and Great. Qur’an 4:35 closes by telling every hidden heart that God is All-Knowing and All-Aware. Between those two declarations lies the entire moral drama of marriage: human beings are entrusted with one another, tested by asymmetries of power, invited to repair what can be repaired, and forbidden to turn love’s vulnerability into an opportunity for oppression.</w:t>
      </w:r>
    </w:p>
    <w:p>
      <w:pPr>
        <w:widowControl/>
      </w:pPr>
      <w:r>
        <w:rPr>
          <w:rFonts w:ascii="Calibri" w:hAnsi="Calibri" w:cs="Calibri"/>
          <w:sz w:val="22"/>
        </w:rPr>
        <w:t>Where there has been injury, let truth replace concealment. Where there has been arrogance, let humility return. Where there has been distance, let sincere hearts seek tawfīq. And where reunion would perpetuate injustice, let separation itself be governed by grace. Only then can the home again become what the Qur’an intended it to be: not a private kingdom of fear, but a sign of God—a dwelling of tranquillity, affection, mercy, and peace.</w:t>
      </w:r>
    </w:p>
    <w:p>
      <w:pPr>
        <w:pStyle w:val="Heading1"/>
      </w:pPr>
      <w:r>
        <w:t>Selected References</w:t>
      </w:r>
    </w:p>
    <w:p>
      <w:pPr>
        <w:pStyle w:val="ListNumber"/>
        <w:numPr>
          <w:ilvl w:val="0"/>
          <w:numId w:val="11"/>
        </w:numPr>
        <w:spacing w:after="80" w:line="259" w:lineRule="auto"/>
        <w:ind w:left="540" w:hanging="279"/>
        <w:jc w:val="left"/>
      </w:pPr>
      <w:r>
        <w:rPr>
          <w:rFonts w:ascii="Calibri" w:hAnsi="Calibri" w:cs="Calibri"/>
          <w:sz w:val="22"/>
        </w:rPr>
        <w:t xml:space="preserve">The Qur’anic Arabic Corpus. Parallel translations and morphology for Qur’an 4:34–35. </w:t>
      </w:r>
      <w:hyperlink r:id="rId11">
        <w:r>
          <w:rPr>
            <w:color w:val="0563C1"/>
            <w:u w:val="single"/>
          </w:rPr>
          <w:t>https://corpus.quran.com/translation.jsp?chapter=4&amp;verse=34</w:t>
        </w:r>
      </w:hyperlink>
      <w:r>
        <w:rPr>
          <w:rFonts w:ascii="Calibri" w:hAnsi="Calibri" w:cs="Calibri"/>
          <w:sz w:val="22"/>
        </w:rPr>
        <w:t xml:space="preserve"> and </w:t>
      </w:r>
      <w:hyperlink r:id="rId12">
        <w:r>
          <w:rPr>
            <w:color w:val="0563C1"/>
            <w:u w:val="single"/>
          </w:rPr>
          <w:t>https://corpus.quran.com/translation.jsp?chapter=4&amp;verse=35</w:t>
        </w:r>
      </w:hyperlink>
    </w:p>
    <w:p>
      <w:pPr>
        <w:pStyle w:val="ListNumber"/>
        <w:numPr>
          <w:ilvl w:val="0"/>
          <w:numId w:val="11"/>
        </w:numPr>
        <w:spacing w:after="80" w:line="259" w:lineRule="auto"/>
        <w:ind w:left="540" w:hanging="279"/>
        <w:jc w:val="left"/>
      </w:pPr>
      <w:r>
        <w:rPr>
          <w:rFonts w:ascii="Calibri" w:hAnsi="Calibri" w:cs="Calibri"/>
          <w:sz w:val="22"/>
        </w:rPr>
        <w:t xml:space="preserve">Al-Ṭabarī. Jāmiʿ al-bayān, commentary on Qur’an 4:34–35. </w:t>
      </w:r>
      <w:hyperlink r:id="rId13">
        <w:r>
          <w:rPr>
            <w:color w:val="0563C1"/>
            <w:u w:val="single"/>
          </w:rPr>
          <w:t>https://quran.com/an-nisa/34/tafsirs/ar-tafsir-al-tabari</w:t>
        </w:r>
      </w:hyperlink>
    </w:p>
    <w:p>
      <w:pPr>
        <w:pStyle w:val="ListNumber"/>
        <w:numPr>
          <w:ilvl w:val="0"/>
          <w:numId w:val="11"/>
        </w:numPr>
        <w:spacing w:after="80" w:line="259" w:lineRule="auto"/>
        <w:ind w:left="540" w:hanging="279"/>
        <w:jc w:val="left"/>
      </w:pPr>
      <w:r>
        <w:rPr>
          <w:rFonts w:ascii="Calibri" w:hAnsi="Calibri" w:cs="Calibri"/>
          <w:sz w:val="22"/>
        </w:rPr>
        <w:t xml:space="preserve">Al-Qurṭubī. Al-Jāmiʿ li-aḥkām al-Qur’an, commentary on Qur’an 4:34–35. </w:t>
      </w:r>
      <w:hyperlink r:id="rId14">
        <w:r>
          <w:rPr>
            <w:color w:val="0563C1"/>
            <w:u w:val="single"/>
          </w:rPr>
          <w:t>https://quran.com/an-nisa/34/tafsirs/ar-tafseer-al-qurtubi</w:t>
        </w:r>
      </w:hyperlink>
    </w:p>
    <w:p>
      <w:pPr>
        <w:pStyle w:val="ListNumber"/>
        <w:numPr>
          <w:ilvl w:val="0"/>
          <w:numId w:val="11"/>
        </w:numPr>
        <w:spacing w:after="80" w:line="259" w:lineRule="auto"/>
        <w:ind w:left="540" w:hanging="279"/>
        <w:jc w:val="left"/>
      </w:pPr>
      <w:r>
        <w:rPr>
          <w:rFonts w:ascii="Calibri" w:hAnsi="Calibri" w:cs="Calibri"/>
          <w:sz w:val="22"/>
        </w:rPr>
        <w:t>Ibn Kathīr. Tafsīr al-Qur’an al-ʿAẓīm, commentary on Qur’an 4:34.</w:t>
      </w:r>
    </w:p>
    <w:p>
      <w:pPr>
        <w:pStyle w:val="ListNumber"/>
        <w:numPr>
          <w:ilvl w:val="0"/>
          <w:numId w:val="11"/>
        </w:numPr>
        <w:spacing w:after="80" w:line="259" w:lineRule="auto"/>
        <w:ind w:left="540" w:hanging="279"/>
        <w:jc w:val="left"/>
      </w:pPr>
      <w:r>
        <w:rPr>
          <w:rFonts w:ascii="Calibri" w:hAnsi="Calibri" w:cs="Calibri"/>
          <w:sz w:val="22"/>
        </w:rPr>
        <w:t xml:space="preserve">Maududi, Abul Aʿla. Tafhīm al-Qur’an, Qur’an 4:34–35. </w:t>
      </w:r>
      <w:hyperlink r:id="rId15">
        <w:r>
          <w:rPr>
            <w:color w:val="0563C1"/>
            <w:u w:val="single"/>
          </w:rPr>
          <w:t>https://www.islamicstudies.info/tafheem.php?sura=4&amp;to=35&amp;verse=34</w:t>
        </w:r>
      </w:hyperlink>
    </w:p>
    <w:p>
      <w:pPr>
        <w:pStyle w:val="ListNumber"/>
        <w:numPr>
          <w:ilvl w:val="0"/>
          <w:numId w:val="11"/>
        </w:numPr>
        <w:spacing w:after="80" w:line="259" w:lineRule="auto"/>
        <w:ind w:left="540" w:hanging="279"/>
        <w:jc w:val="left"/>
      </w:pPr>
      <w:r>
        <w:rPr>
          <w:rFonts w:ascii="Calibri" w:hAnsi="Calibri" w:cs="Calibri"/>
          <w:sz w:val="22"/>
        </w:rPr>
        <w:t xml:space="preserve">Mufti Muhammad Shafi. Maʿārif al-Qur’an, Qur’an 4:34. </w:t>
      </w:r>
      <w:hyperlink r:id="rId16">
        <w:r>
          <w:rPr>
            <w:color w:val="0563C1"/>
            <w:u w:val="single"/>
          </w:rPr>
          <w:t>https://quran.com/an-nisa/34/tafsirs/en-tafsir-maarif-ul-quran</w:t>
        </w:r>
      </w:hyperlink>
    </w:p>
    <w:p>
      <w:pPr>
        <w:pStyle w:val="ListNumber"/>
        <w:numPr>
          <w:ilvl w:val="0"/>
          <w:numId w:val="11"/>
        </w:numPr>
        <w:spacing w:after="80" w:line="259" w:lineRule="auto"/>
        <w:ind w:left="540" w:hanging="279"/>
        <w:jc w:val="left"/>
      </w:pPr>
      <w:r>
        <w:rPr>
          <w:rFonts w:ascii="Calibri" w:hAnsi="Calibri" w:cs="Calibri"/>
          <w:sz w:val="22"/>
        </w:rPr>
        <w:t xml:space="preserve">Wahiduddin Khan. Tazkirul Quran, Qur’an 4:34–35. </w:t>
      </w:r>
      <w:hyperlink r:id="rId17">
        <w:r>
          <w:rPr>
            <w:color w:val="0563C1"/>
            <w:u w:val="single"/>
          </w:rPr>
          <w:t>https://quran.com/en/4%3A34/tafsirs/tazkirul-quran-en</w:t>
        </w:r>
      </w:hyperlink>
    </w:p>
    <w:p>
      <w:pPr>
        <w:pStyle w:val="ListNumber"/>
        <w:numPr>
          <w:ilvl w:val="0"/>
          <w:numId w:val="11"/>
        </w:numPr>
        <w:spacing w:after="80" w:line="259" w:lineRule="auto"/>
        <w:ind w:left="540" w:hanging="279"/>
        <w:jc w:val="left"/>
      </w:pPr>
      <w:r>
        <w:rPr>
          <w:rFonts w:ascii="Calibri" w:hAnsi="Calibri" w:cs="Calibri"/>
          <w:sz w:val="22"/>
        </w:rPr>
        <w:t xml:space="preserve">Mubarak, Hadia. “Change Through Continuity: A Case Study of Q. 4:34 in Ibn ʿĀshūr’s al-Taḥrīr wa’l-tanwīr.” Journal of Qur’anic Studies. </w:t>
      </w:r>
      <w:hyperlink r:id="rId18">
        <w:r>
          <w:rPr>
            <w:color w:val="0563C1"/>
            <w:u w:val="single"/>
          </w:rPr>
          <w:t>https://www.researchgate.net/publication/323498564_Change_Through_Continuity_A_Case_Study_of_Q_434_in_Ibn_Ashur%27s_al-Tahrir_wa%27l-tanwir</w:t>
        </w:r>
      </w:hyperlink>
    </w:p>
    <w:p>
      <w:pPr>
        <w:pStyle w:val="ListNumber"/>
        <w:numPr>
          <w:ilvl w:val="0"/>
          <w:numId w:val="11"/>
        </w:numPr>
        <w:spacing w:after="80" w:line="259" w:lineRule="auto"/>
        <w:ind w:left="540" w:hanging="279"/>
        <w:jc w:val="left"/>
      </w:pPr>
      <w:r>
        <w:rPr>
          <w:rFonts w:ascii="Calibri" w:hAnsi="Calibri" w:cs="Calibri"/>
          <w:sz w:val="22"/>
        </w:rPr>
        <w:t xml:space="preserve">Ghafournia, Nafiseh. “Towards a New Interpretation of Quran 4:34.” Hawwa. </w:t>
      </w:r>
      <w:hyperlink r:id="rId19">
        <w:r>
          <w:rPr>
            <w:color w:val="0563C1"/>
            <w:u w:val="single"/>
          </w:rPr>
          <w:t>https://www.academia.edu/30939774/Towards_a_New_Interpretation_of_Quran_4_34</w:t>
        </w:r>
      </w:hyperlink>
    </w:p>
    <w:p>
      <w:pPr>
        <w:pStyle w:val="ListNumber"/>
        <w:numPr>
          <w:ilvl w:val="0"/>
          <w:numId w:val="11"/>
        </w:numPr>
        <w:spacing w:after="80" w:line="259" w:lineRule="auto"/>
        <w:ind w:left="540" w:hanging="279"/>
        <w:jc w:val="left"/>
      </w:pPr>
      <w:r>
        <w:rPr>
          <w:rFonts w:ascii="Calibri" w:hAnsi="Calibri" w:cs="Calibri"/>
          <w:sz w:val="22"/>
        </w:rPr>
        <w:t>Chaudhry, Ayesha S. Domestic Violence and the Islamic Tradition. Oxford University Press, 2013.</w:t>
      </w:r>
    </w:p>
    <w:p>
      <w:pPr>
        <w:pStyle w:val="ListNumber"/>
        <w:numPr>
          <w:ilvl w:val="0"/>
          <w:numId w:val="11"/>
        </w:numPr>
        <w:spacing w:after="80" w:line="259" w:lineRule="auto"/>
        <w:ind w:left="540" w:hanging="279"/>
        <w:jc w:val="left"/>
      </w:pPr>
      <w:r>
        <w:rPr>
          <w:rFonts w:ascii="Calibri" w:hAnsi="Calibri" w:cs="Calibri"/>
          <w:sz w:val="22"/>
        </w:rPr>
        <w:t>Bakhtiar, Laleh. The Sublime Quran; and “The Misinterpretation of Chapter 4 Verse 34.” European Journal of Women’s Studies 18 (2011).</w:t>
      </w:r>
    </w:p>
    <w:p>
      <w:pPr>
        <w:pStyle w:val="ListNumber"/>
        <w:numPr>
          <w:ilvl w:val="0"/>
          <w:numId w:val="11"/>
        </w:numPr>
        <w:spacing w:after="80" w:line="259" w:lineRule="auto"/>
        <w:ind w:left="540" w:hanging="279"/>
        <w:jc w:val="left"/>
      </w:pPr>
      <w:r>
        <w:rPr>
          <w:rFonts w:ascii="Calibri" w:hAnsi="Calibri" w:cs="Calibri"/>
          <w:sz w:val="22"/>
        </w:rPr>
        <w:t>Wadud, Amina. Qur’an and Woman. Oxford University Press.</w:t>
      </w:r>
    </w:p>
    <w:p>
      <w:pPr>
        <w:pStyle w:val="ListNumber"/>
        <w:numPr>
          <w:ilvl w:val="0"/>
          <w:numId w:val="11"/>
        </w:numPr>
        <w:spacing w:after="80" w:line="259" w:lineRule="auto"/>
        <w:ind w:left="540" w:hanging="279"/>
        <w:jc w:val="left"/>
      </w:pPr>
      <w:r>
        <w:rPr>
          <w:rFonts w:ascii="Calibri" w:hAnsi="Calibri" w:cs="Calibri"/>
          <w:sz w:val="22"/>
        </w:rPr>
        <w:t>Barlas, Asma. Believing Women in Islam. University of Texas Press.</w:t>
      </w:r>
    </w:p>
    <w:p>
      <w:pPr>
        <w:pStyle w:val="ListNumber"/>
        <w:numPr>
          <w:ilvl w:val="0"/>
          <w:numId w:val="11"/>
        </w:numPr>
        <w:spacing w:after="80" w:line="259" w:lineRule="auto"/>
        <w:ind w:left="540" w:hanging="279"/>
        <w:jc w:val="left"/>
      </w:pPr>
      <w:r>
        <w:rPr>
          <w:rFonts w:ascii="Calibri" w:hAnsi="Calibri" w:cs="Calibri"/>
          <w:sz w:val="22"/>
        </w:rPr>
        <w:t xml:space="preserve">Shah, Zia H. “When Sakīnah Is Lost: The Quran’s Five-Step Path Through Marital Conflict.” </w:t>
      </w:r>
      <w:hyperlink r:id="rId20">
        <w:r>
          <w:rPr>
            <w:color w:val="0563C1"/>
            <w:u w:val="single"/>
          </w:rPr>
          <w:t>https://thequran.love/2026/07/24/when-sakinah-is-lost-the-qurans-five-step-path-through-marital-conflict/</w:t>
        </w:r>
      </w:hyperlink>
    </w:p>
    <w:p>
      <w:pPr>
        <w:pStyle w:val="ListNumber"/>
        <w:numPr>
          <w:ilvl w:val="0"/>
          <w:numId w:val="11"/>
        </w:numPr>
        <w:spacing w:after="80" w:line="259" w:lineRule="auto"/>
        <w:ind w:left="540" w:hanging="279"/>
        <w:jc w:val="left"/>
      </w:pPr>
      <w:r>
        <w:rPr>
          <w:rFonts w:ascii="Calibri" w:hAnsi="Calibri" w:cs="Calibri"/>
          <w:sz w:val="22"/>
        </w:rPr>
        <w:t xml:space="preserve">Shah, Zia H. “Quran 4:34—Extremes in Marriage.” </w:t>
      </w:r>
      <w:hyperlink r:id="rId21">
        <w:r>
          <w:rPr>
            <w:color w:val="0563C1"/>
            <w:u w:val="single"/>
          </w:rPr>
          <w:t>https://thequran.love/2025/12/14/quran-434-extremes-in-marriage/</w:t>
        </w:r>
      </w:hyperlink>
    </w:p>
    <w:p>
      <w:pPr>
        <w:pStyle w:val="ListNumber"/>
        <w:numPr>
          <w:ilvl w:val="0"/>
          <w:numId w:val="11"/>
        </w:numPr>
        <w:spacing w:after="80" w:line="259" w:lineRule="auto"/>
        <w:ind w:left="540" w:hanging="279"/>
        <w:jc w:val="left"/>
      </w:pPr>
      <w:r>
        <w:rPr>
          <w:rFonts w:ascii="Calibri" w:hAnsi="Calibri" w:cs="Calibri"/>
          <w:sz w:val="22"/>
        </w:rPr>
        <w:t xml:space="preserve">Tasleem, Sulaiman. “Does Islam Support Domestic Violence? An Analytical Examination of the Qur’an and Hadith.” The Review of Religions, September 13, 2025. </w:t>
      </w:r>
      <w:hyperlink r:id="rId22">
        <w:r>
          <w:rPr>
            <w:color w:val="0563C1"/>
            <w:u w:val="single"/>
          </w:rPr>
          <w:t>https://www.reviewofreligions.org/46265/does-islam-support-domestic-violence-an-analytical-examination-of-the-quran-and-hadith/</w:t>
        </w:r>
      </w:hyperlink>
    </w:p>
    <w:p>
      <w:pPr>
        <w:pStyle w:val="ListNumber"/>
        <w:numPr>
          <w:ilvl w:val="0"/>
          <w:numId w:val="11"/>
        </w:numPr>
        <w:spacing w:after="80" w:line="259" w:lineRule="auto"/>
        <w:ind w:left="540" w:hanging="279"/>
        <w:jc w:val="left"/>
      </w:pPr>
      <w:r>
        <w:rPr>
          <w:rFonts w:ascii="Calibri" w:hAnsi="Calibri" w:cs="Calibri"/>
          <w:sz w:val="22"/>
        </w:rPr>
        <w:t xml:space="preserve">Rehman, Lutf ur. “Domestic Violence Permitted by the So-Called Islamic Scholars.” The Muslim Times, August 27, 2020. </w:t>
      </w:r>
      <w:hyperlink r:id="rId23">
        <w:r>
          <w:rPr>
            <w:color w:val="0563C1"/>
            <w:u w:val="single"/>
          </w:rPr>
          <w:t>https://themuslimtimes.info/2020/08/27/domestic-violence-permitted-by-the-so-called-islamic-scholars/</w:t>
        </w:r>
      </w:hyperlink>
    </w:p>
    <w:p>
      <w:pPr>
        <w:pStyle w:val="ListNumber"/>
        <w:numPr>
          <w:ilvl w:val="0"/>
          <w:numId w:val="11"/>
        </w:numPr>
        <w:spacing w:after="80" w:line="259" w:lineRule="auto"/>
        <w:ind w:left="540" w:hanging="279"/>
        <w:jc w:val="left"/>
      </w:pPr>
      <w:r>
        <w:rPr>
          <w:rFonts w:ascii="Calibri" w:hAnsi="Calibri" w:cs="Calibri"/>
          <w:sz w:val="22"/>
        </w:rPr>
        <w:t xml:space="preserve">Rehman, Lutf ur. “Gender Equality in the Holy Qur’an—In the Beginning Man and Woman Were Equal.” The Muslim Times, August 19, 2020. </w:t>
      </w:r>
      <w:hyperlink r:id="rId24">
        <w:r>
          <w:rPr>
            <w:color w:val="0563C1"/>
            <w:u w:val="single"/>
          </w:rPr>
          <w:t>https://themuslimtimes.info/2020/08/19/gender-equality-in-the-holy-quran-in-the-beginning-man-and-woman-were-equal-4/</w:t>
        </w:r>
      </w:hyperlink>
    </w:p>
    <w:p>
      <w:pPr>
        <w:pStyle w:val="ListNumber"/>
        <w:numPr>
          <w:ilvl w:val="0"/>
          <w:numId w:val="11"/>
        </w:numPr>
        <w:spacing w:after="80" w:line="259" w:lineRule="auto"/>
        <w:ind w:left="540" w:hanging="279"/>
        <w:jc w:val="left"/>
      </w:pPr>
      <w:r>
        <w:rPr>
          <w:rFonts w:ascii="Calibri" w:hAnsi="Calibri" w:cs="Calibri"/>
          <w:sz w:val="22"/>
        </w:rPr>
        <w:t xml:space="preserve">Ṣaḥīḥ Muslim 2328a: ʿĀʾishah’s report that the Prophet never struck a woman or servant. </w:t>
      </w:r>
      <w:hyperlink r:id="rId25">
        <w:r>
          <w:rPr>
            <w:color w:val="0563C1"/>
            <w:u w:val="single"/>
          </w:rPr>
          <w:t>https://sunnah.com/muslim:2328a</w:t>
        </w:r>
      </w:hyperlink>
    </w:p>
    <w:p>
      <w:pPr>
        <w:pStyle w:val="ListNumber"/>
        <w:numPr>
          <w:ilvl w:val="0"/>
          <w:numId w:val="11"/>
        </w:numPr>
        <w:spacing w:after="80" w:line="259" w:lineRule="auto"/>
        <w:ind w:left="540" w:hanging="279"/>
        <w:jc w:val="left"/>
      </w:pPr>
      <w:r>
        <w:rPr>
          <w:rFonts w:ascii="Calibri" w:hAnsi="Calibri" w:cs="Calibri"/>
          <w:sz w:val="22"/>
        </w:rPr>
        <w:t xml:space="preserve">Sunan Abī Dāwūd 2146: “Do not beat Allah’s female servants” and “those are not the best among you.” </w:t>
      </w:r>
      <w:hyperlink r:id="rId26">
        <w:r>
          <w:rPr>
            <w:color w:val="0563C1"/>
            <w:u w:val="single"/>
          </w:rPr>
          <w:t>https://sunnah.com/abudawud:2146</w:t>
        </w:r>
      </w:hyperlink>
    </w:p>
    <w:p>
      <w:pPr>
        <w:pStyle w:val="ListNumber"/>
        <w:numPr>
          <w:ilvl w:val="0"/>
          <w:numId w:val="11"/>
        </w:numPr>
        <w:spacing w:after="80" w:line="259" w:lineRule="auto"/>
        <w:ind w:left="540" w:hanging="279"/>
        <w:jc w:val="left"/>
      </w:pPr>
      <w:r>
        <w:rPr>
          <w:rFonts w:ascii="Calibri" w:hAnsi="Calibri" w:cs="Calibri"/>
          <w:sz w:val="22"/>
        </w:rPr>
        <w:t xml:space="preserve">Sunan Abī Dāwūd 2142: maintenance, avoidance of insult and the face, and in-home separation. </w:t>
      </w:r>
      <w:hyperlink r:id="rId27">
        <w:r>
          <w:rPr>
            <w:color w:val="0563C1"/>
            <w:u w:val="single"/>
          </w:rPr>
          <w:t>https://sunnah.com/abudawud:2142</w:t>
        </w:r>
      </w:hyperlink>
    </w:p>
    <w:p>
      <w:pPr>
        <w:pStyle w:val="ListNumber"/>
        <w:numPr>
          <w:ilvl w:val="0"/>
          <w:numId w:val="11"/>
        </w:numPr>
        <w:spacing w:after="80" w:line="259" w:lineRule="auto"/>
        <w:ind w:left="540" w:hanging="279"/>
        <w:jc w:val="left"/>
      </w:pPr>
      <w:r>
        <w:rPr>
          <w:rFonts w:ascii="Calibri" w:hAnsi="Calibri" w:cs="Calibri"/>
          <w:sz w:val="22"/>
        </w:rPr>
        <w:t xml:space="preserve">Riyāḍ al-Ṣāliḥīn 278: the best believers are best to their wives. </w:t>
      </w:r>
      <w:hyperlink r:id="rId28">
        <w:r>
          <w:rPr>
            <w:color w:val="0563C1"/>
            <w:u w:val="single"/>
          </w:rPr>
          <w:t>https://sunnah.com/riyadussalihin:278</w:t>
        </w:r>
      </w:hyperlink>
    </w:p>
    <w:p>
      <w:pPr>
        <w:pStyle w:val="ListNumber"/>
        <w:numPr>
          <w:ilvl w:val="0"/>
          <w:numId w:val="11"/>
        </w:numPr>
        <w:spacing w:after="80" w:line="259" w:lineRule="auto"/>
        <w:ind w:left="540" w:hanging="279"/>
        <w:jc w:val="left"/>
      </w:pPr>
      <w:r>
        <w:rPr>
          <w:rFonts w:ascii="Calibri" w:hAnsi="Calibri" w:cs="Calibri"/>
          <w:sz w:val="22"/>
        </w:rPr>
        <w:t xml:space="preserve">World Health Organization. “Violence Against Women.” </w:t>
      </w:r>
      <w:hyperlink r:id="rId29">
        <w:r>
          <w:rPr>
            <w:color w:val="0563C1"/>
            <w:u w:val="single"/>
          </w:rPr>
          <w:t>https://www.who.int/news-room/fact-sheets/detail/violence-against-women</w:t>
        </w:r>
      </w:hyperlink>
    </w:p>
    <w:p>
      <w:pPr>
        <w:pStyle w:val="Heading2"/>
      </w:pPr>
      <w:r>
        <w:t>Note on interpretation</w:t>
      </w:r>
    </w:p>
    <w:p>
      <w:pPr>
        <w:widowControl/>
      </w:pPr>
      <w:r>
        <w:rPr>
          <w:rFonts w:ascii="Calibri" w:hAnsi="Calibri" w:cs="Calibri"/>
          <w:sz w:val="22"/>
        </w:rPr>
        <w:t>This commentary distinguishes the divine text from its human reception. Its nonviolent conclusion is theological and ethical, not a claim that the majority of classical exegetes used the same translation. Readers facing an immediate risk of domestic violence should seek appropriate local emergency, medical, legal, and specialist support; mediation should never be used to compel an unsafe return.</w:t>
      </w:r>
    </w:p>
    <w:sectPr w:rsidR="00FC693F" w:rsidRPr="0006063C" w:rsidSect="00034616">
      <w:headerReference w:type="default" r:id="rId9"/>
      <w:footerReference w:type="default" r:id="rId10"/>
      <w:pgSz w:w="12240" w:h="15840"/>
      <w:pgMar w:top="1440" w:right="1440" w:bottom="1440" w:left="1440" w:header="708" w:footer="708"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spacing w:after="0"/>
      <w:jc w:val="right"/>
    </w:pPr>
    <w:r>
      <w:rPr>
        <w:rFonts w:ascii="Calibri" w:hAnsi="Calibri" w:cs="Calibri"/>
        <w:color w:val="5A646D"/>
        <w:sz w:val="18"/>
      </w:rPr>
      <w:t xml:space="preserve">Page </w:t>
    </w:r>
    <w:r>
      <w:fldChar w:fldCharType="begin"/>
      <w:instrText xml:space="preserve">PAGE</w:instrText>
      <w:fldChar w:fldCharType="separate"/>
      <w:t>1</w: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spacing w:after="0"/>
      <w:jc w:val="center"/>
    </w:pPr>
    <w:r>
      <w:rPr>
        <w:rFonts w:ascii="Calibri" w:hAnsi="Calibri" w:cs="Calibri"/>
        <w:b/>
        <w:color w:val="5A646D"/>
        <w:sz w:val="17"/>
      </w:rPr>
      <w:t>WHEN SAKINAH IS THREATENED  |  QUR’AN 4:34–35</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abstractNum w:abstractNumId="9">
    <w:multiLevelType w:val="singleLevel"/>
    <w:lvl w:ilvl="0">
      <w:start w:val="1"/>
      <w:numFmt w:val="decimal"/>
      <w:lvlText w:val="%1."/>
      <w:suff w:val="space"/>
      <w:pPr>
        <w:tabs>
          <w:tab w:val="num" w:pos="540"/>
        </w:tabs>
        <w:ind w:left="540" w:hanging="280"/>
      </w:pPr>
    </w:lvl>
  </w:abstractNum>
  <w:num w:numId="10">
    <w:abstractNumId w:val="9"/>
  </w:num>
  <w:abstractNum w:abstractNumId="10">
    <w:multiLevelType w:val="singleLevel"/>
    <w:lvl w:ilvl="0">
      <w:start w:val="1"/>
      <w:numFmt w:val="decimal"/>
      <w:lvlText w:val="%1."/>
      <w:suff w:val="space"/>
      <w:pPr>
        <w:tabs>
          <w:tab w:val="num" w:pos="540"/>
        </w:tabs>
        <w:ind w:left="540" w:hanging="280"/>
      </w:pPr>
    </w:lvl>
  </w:abstract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160" w:line="320" w:lineRule="auto"/>
      <w:jc w:val="both"/>
    </w:pPr>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360" w:after="200"/>
      <w:outlineLvl w:val="0"/>
    </w:pPr>
    <w:rPr>
      <w:rFonts w:asciiTheme="majorHAnsi" w:eastAsiaTheme="majorEastAsia" w:hAnsiTheme="majorHAnsi" w:cstheme="majorBidi" w:ascii="Calibri" w:hAnsi="Calibri"/>
      <w:b/>
      <w:bCs/>
      <w:color w:val="2E74B5"/>
      <w:sz w:val="3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Calibri" w:hAnsi="Calibri"/>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Calibri" w:hAnsi="Calibri"/>
      <w:b/>
      <w:bCs/>
      <w:color w:val="1F4D78"/>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spacing w:after="80" w:line="290" w:lineRule="auto"/>
      <w:ind w:left="540" w:hanging="279"/>
      <w:contextualSpacing/>
    </w:pPr>
    <w:rPr>
      <w:rFonts w:ascii="Calibri" w:hAnsi="Calibri"/>
      <w:sz w:val="22"/>
    </w:r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spacing w:after="80" w:line="290" w:lineRule="auto"/>
      <w:ind w:left="540" w:hanging="279"/>
      <w:contextualSpacing/>
    </w:pPr>
    <w:rPr>
      <w:rFonts w:ascii="Calibri" w:hAnsi="Calibri"/>
      <w:sz w:val="22"/>
    </w:r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lockQuoteCustom">
    <w:name w:val="Block Quote Custom"/>
    <w:pPr>
      <w:spacing w:before="80" w:after="160" w:line="288" w:lineRule="auto"/>
      <w:ind w:left="461" w:right="461"/>
    </w:pPr>
    <w:rPr>
      <w:rFonts w:ascii="Calibri" w:hAnsi="Calibri"/>
      <w:i w:val="0"/>
      <w:sz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hyperlink" Target="https://corpus.quran.com/translation.jsp?chapter=4&amp;verse=34" TargetMode="External"/><Relationship Id="rId12" Type="http://schemas.openxmlformats.org/officeDocument/2006/relationships/hyperlink" Target="https://corpus.quran.com/translation.jsp?chapter=4&amp;verse=35" TargetMode="External"/><Relationship Id="rId13" Type="http://schemas.openxmlformats.org/officeDocument/2006/relationships/hyperlink" Target="https://quran.com/an-nisa/34/tafsirs/ar-tafsir-al-tabari" TargetMode="External"/><Relationship Id="rId14" Type="http://schemas.openxmlformats.org/officeDocument/2006/relationships/hyperlink" Target="https://quran.com/an-nisa/34/tafsirs/ar-tafseer-al-qurtubi" TargetMode="External"/><Relationship Id="rId15" Type="http://schemas.openxmlformats.org/officeDocument/2006/relationships/hyperlink" Target="https://www.islamicstudies.info/tafheem.php?sura=4&amp;to=35&amp;verse=34" TargetMode="External"/><Relationship Id="rId16" Type="http://schemas.openxmlformats.org/officeDocument/2006/relationships/hyperlink" Target="https://quran.com/an-nisa/34/tafsirs/en-tafsir-maarif-ul-quran" TargetMode="External"/><Relationship Id="rId17" Type="http://schemas.openxmlformats.org/officeDocument/2006/relationships/hyperlink" Target="https://quran.com/en/4%3A34/tafsirs/tazkirul-quran-en" TargetMode="External"/><Relationship Id="rId18" Type="http://schemas.openxmlformats.org/officeDocument/2006/relationships/hyperlink" Target="https://www.researchgate.net/publication/323498564_Change_Through_Continuity_A_Case_Study_of_Q_434_in_Ibn_Ashur%27s_al-Tahrir_wa%27l-tanwir" TargetMode="External"/><Relationship Id="rId19" Type="http://schemas.openxmlformats.org/officeDocument/2006/relationships/hyperlink" Target="https://www.academia.edu/30939774/Towards_a_New_Interpretation_of_Quran_4_34" TargetMode="External"/><Relationship Id="rId20" Type="http://schemas.openxmlformats.org/officeDocument/2006/relationships/hyperlink" Target="https://thequran.love/2026/07/24/when-sakinah-is-lost-the-qurans-five-step-path-through-marital-conflict/" TargetMode="External"/><Relationship Id="rId21" Type="http://schemas.openxmlformats.org/officeDocument/2006/relationships/hyperlink" Target="https://thequran.love/2025/12/14/quran-434-extremes-in-marriage/" TargetMode="External"/><Relationship Id="rId22" Type="http://schemas.openxmlformats.org/officeDocument/2006/relationships/hyperlink" Target="https://www.reviewofreligions.org/46265/does-islam-support-domestic-violence-an-analytical-examination-of-the-quran-and-hadith/" TargetMode="External"/><Relationship Id="rId23" Type="http://schemas.openxmlformats.org/officeDocument/2006/relationships/hyperlink" Target="https://themuslimtimes.info/2020/08/27/domestic-violence-permitted-by-the-so-called-islamic-scholars/" TargetMode="External"/><Relationship Id="rId24" Type="http://schemas.openxmlformats.org/officeDocument/2006/relationships/hyperlink" Target="https://themuslimtimes.info/2020/08/19/gender-equality-in-the-holy-quran-in-the-beginning-man-and-woman-were-equal-4/" TargetMode="External"/><Relationship Id="rId25" Type="http://schemas.openxmlformats.org/officeDocument/2006/relationships/hyperlink" Target="https://sunnah.com/muslim:2328a" TargetMode="External"/><Relationship Id="rId26" Type="http://schemas.openxmlformats.org/officeDocument/2006/relationships/hyperlink" Target="https://sunnah.com/abudawud:2146" TargetMode="External"/><Relationship Id="rId27" Type="http://schemas.openxmlformats.org/officeDocument/2006/relationships/hyperlink" Target="https://sunnah.com/abudawud:2142" TargetMode="External"/><Relationship Id="rId28" Type="http://schemas.openxmlformats.org/officeDocument/2006/relationships/hyperlink" Target="https://sunnah.com/riyadussalihin:278" TargetMode="External"/><Relationship Id="rId29" Type="http://schemas.openxmlformats.org/officeDocument/2006/relationships/hyperlink" Target="https://www.who.int/news-room/fact-sheets/detail/violence-against-wo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When Sakīnah Is Threatened: Commentary on Qur’an 4:34–35</dc:title>
  <dc:subject>Classical and contemporary Qur’anic commentary</dc:subject>
  <dc:creator>Zia H Shah MD</dc:creator>
  <cp:keywords>Qur’an 4:34, Qur’an 4:35, qiwāmah, nushūz, marriage, arbitration, domestic violence</cp:keywords>
  <dc:description>generated by python-docx</dc:description>
  <cp:lastModifiedBy/>
  <cp:revision>1</cp:revision>
  <dcterms:created xsi:type="dcterms:W3CDTF">2013-12-23T23:15:00Z</dcterms:created>
  <dcterms:modified xsi:type="dcterms:W3CDTF">2013-12-23T23:15:00Z</dcterms:modified>
  <cp:category/>
</cp:coreProperties>
</file>