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0.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2" w:name="content"/>
    <w:bookmarkStart w:id="91" w:name="ʿismah-in-twelver-shiʿi-islam"/>
    <w:p>
      <w:pPr>
        <w:pStyle w:val="Heading1"/>
      </w:pPr>
      <w:r>
        <w:t xml:space="preserve">ʿIsmah in Twelver Shiʿi Islam</w:t>
      </w:r>
    </w:p>
    <w:bookmarkStart w:id="22" w:name="executive-summary-and-abstract"/>
    <w:p>
      <w:pPr>
        <w:pStyle w:val="Heading2"/>
      </w:pPr>
      <w:r>
        <w:t xml:space="preserve">Executive Summary and Abstract</w:t>
      </w:r>
    </w:p>
    <w:p>
      <w:pPr>
        <w:pStyle w:val="FirstParagraph"/>
      </w:pPr>
      <w:r>
        <w:rPr>
          <w:b/>
          <w:bCs/>
        </w:rPr>
        <w:t xml:space="preserve">Executive summary.</w:t>
      </w:r>
      <w:r>
        <w:t xml:space="preserve"> </w:t>
      </w:r>
      <w:r>
        <w:t xml:space="preserve">In Twelver Shiʿi theology,</w:t>
      </w:r>
      <w:r>
        <w:t xml:space="preserve"> </w:t>
      </w:r>
      <w:r>
        <w:rPr>
          <w:b/>
          <w:bCs/>
        </w:rPr>
        <w:t xml:space="preserve">ʿismah</w:t>
      </w:r>
      <w:r>
        <w:t xml:space="preserve"> </w:t>
      </w:r>
      <w:r>
        <w:t xml:space="preserve">denotes a divinely bestowed protection by which God’s proofs remain free from sin, doctrinal error, and misguidance in the transmission and embodiment of religion. By the classical period, Twelver scholars had made ʿismah a constitutive condition of</w:t>
      </w:r>
      <w:r>
        <w:t xml:space="preserve"> </w:t>
      </w:r>
      <w:r>
        <w:rPr>
          <w:b/>
          <w:bCs/>
        </w:rPr>
        <w:t xml:space="preserve">imāmah</w:t>
      </w:r>
      <w:r>
        <w:t xml:space="preserve">: an Imam must be divinely designated, morally impeccable, intellectually reliable, and fit to serve as God’s authoritative interpreter after the Prophet. This doctrine is argued from a cumulative case: Qurʾanic verses such as</w:t>
      </w:r>
      <w:r>
        <w:t xml:space="preserve"> </w:t>
      </w:r>
      <w:r>
        <w:rPr>
          <w:b/>
          <w:bCs/>
        </w:rPr>
        <w:t xml:space="preserve">the purification verse</w:t>
      </w:r>
      <w:r>
        <w:t xml:space="preserve"> </w:t>
      </w:r>
      <w:r>
        <w:t xml:space="preserve">(33:33),</w:t>
      </w:r>
      <w:r>
        <w:t xml:space="preserve"> </w:t>
      </w:r>
      <w:r>
        <w:rPr>
          <w:b/>
          <w:bCs/>
        </w:rPr>
        <w:t xml:space="preserve">the obedience verse</w:t>
      </w:r>
      <w:r>
        <w:t xml:space="preserve"> </w:t>
      </w:r>
      <w:r>
        <w:t xml:space="preserve">(4:59), and</w:t>
      </w:r>
      <w:r>
        <w:t xml:space="preserve"> </w:t>
      </w:r>
      <w:r>
        <w:rPr>
          <w:b/>
          <w:bCs/>
        </w:rPr>
        <w:t xml:space="preserve">the Abrahamic covenant verse</w:t>
      </w:r>
      <w:r>
        <w:t xml:space="preserve"> </w:t>
      </w:r>
      <w:r>
        <w:t xml:space="preserve">(2:124); hadiths such as</w:t>
      </w:r>
      <w:r>
        <w:t xml:space="preserve"> </w:t>
      </w:r>
      <w:r>
        <w:rPr>
          <w:b/>
          <w:bCs/>
        </w:rPr>
        <w:t xml:space="preserve">Ḥadīth al-Thaqalayn</w:t>
      </w:r>
      <w:r>
        <w:t xml:space="preserve">,</w:t>
      </w:r>
      <w:r>
        <w:t xml:space="preserve"> </w:t>
      </w:r>
      <w:r>
        <w:rPr>
          <w:b/>
          <w:bCs/>
        </w:rPr>
        <w:t xml:space="preserve">Ḥadīth al-Kisāʾ</w:t>
      </w:r>
      <w:r>
        <w:t xml:space="preserve">, and reports in</w:t>
      </w:r>
      <w:r>
        <w:t xml:space="preserve"> </w:t>
      </w:r>
      <w:r>
        <w:rPr>
          <w:b/>
          <w:bCs/>
        </w:rPr>
        <w:t xml:space="preserve">al-Kāfī</w:t>
      </w:r>
      <w:r>
        <w:t xml:space="preserve">; and rational arguments centered on divine grace, the need for unerring guidance, and the impossibility of unconditional obedience to a fallible guide. After the Occultation of the Twelfth Imam, the doctrine also shaped Twelver jurisprudence, eschatology, and theories of derivative clerical authority. At the same time, the doctrine was not developed in a single step: early Imamism, the Qumm-Baghdad transition, al-Mufīd’s correction of al-Ṣadūq on prophetic forgetfulness, al-Murtaḍā’s and al-Ṭūsī’s systematization, and later encyclopedic consolidation under al-Majlisī all mark significant stages. Modern scholarship has emphasized both the doctrine’s internal coherence in Twelver kalām and its historical growth through memory, occultation, institutionalization, and polemic.</w:t>
      </w:r>
      <w:r>
        <w:t xml:space="preserve"> </w:t>
      </w:r>
      <w:hyperlink r:id="rId21">
        <w:r>
          <w:rPr>
            <w:rStyle w:val="Hyperlink"/>
          </w:rPr>
          <w:t xml:space="preserve">[1]</w:t>
        </w:r>
      </w:hyperlink>
    </w:p>
    <w:p>
      <w:pPr>
        <w:pStyle w:val="BodyText"/>
      </w:pPr>
      <w:r>
        <w:rPr>
          <w:b/>
          <w:bCs/>
        </w:rPr>
        <w:t xml:space="preserve">Abstract.</w:t>
      </w:r>
      <w:r>
        <w:t xml:space="preserve"> </w:t>
      </w:r>
      <w:r>
        <w:t xml:space="preserve">This report analyzes the doctrine of ʿismah as held by Twelver Shiʿism in its textual, doctrinal, juridical, eschatological, and polemical dimensions. It first defines ʿismah in classical Twelver sources and traces its historical development from early Imamism to its systematic articulation in Buyid and post-Buyid kalām. It then examines the principal scriptural and hadith evidences Twelver scholars use, including Qurʾanic verses and narrations from the Four Books and other major works. The report next reconstructs the rational architecture of the doctrine, especially the arguments from divine guidance, interpretive authority, and the moral impossibility of commanding obedience to a fallible leader. It then treats jurisprudential and eschatological implications, internal Twelver debates about scope and degree, the special case of Fāṭimah al-Zahrāʾ, and major contemporary academic treatments. A dedicated section presents major Sunni objections—exegetical, hadith-based, and kalām-based—together with concise Twelver replies. The conclusion reflects on the doctrine’s modern relevance for sectarian discourse, authority, and religious ethics.</w:t>
      </w:r>
      <w:r>
        <w:t xml:space="preserve"> </w:t>
      </w:r>
      <w:hyperlink r:id="rId21">
        <w:r>
          <w:rPr>
            <w:rStyle w:val="Hyperlink"/>
          </w:rPr>
          <w:t xml:space="preserve">[2]</w:t>
        </w:r>
      </w:hyperlink>
    </w:p>
    <w:bookmarkEnd w:id="22"/>
    <w:bookmarkStart w:id="34" w:name="definitions-and-historical-development"/>
    <w:p>
      <w:pPr>
        <w:pStyle w:val="Heading2"/>
      </w:pPr>
      <w:r>
        <w:t xml:space="preserve">Definitions and Historical Development</w:t>
      </w:r>
    </w:p>
    <w:bookmarkStart w:id="24" w:name="defining-ʿismah-in-twelver-sources"/>
    <w:p>
      <w:pPr>
        <w:pStyle w:val="Heading3"/>
      </w:pPr>
      <w:r>
        <w:t xml:space="preserve">Defining ʿismah in Twelver sources</w:t>
      </w:r>
    </w:p>
    <w:p>
      <w:pPr>
        <w:pStyle w:val="FirstParagraph"/>
      </w:pPr>
      <w:r>
        <w:t xml:space="preserve">In Twelver usage, ʿismah is not merely “not sinning”; it is a</w:t>
      </w:r>
      <w:r>
        <w:t xml:space="preserve"> </w:t>
      </w:r>
      <w:r>
        <w:rPr>
          <w:b/>
          <w:bCs/>
        </w:rPr>
        <w:t xml:space="preserve">divinely aided condition of complete reliability in religion</w:t>
      </w:r>
      <w:r>
        <w:t xml:space="preserve">. Al-Ṣadūq’s</w:t>
      </w:r>
      <w:r>
        <w:t xml:space="preserve"> </w:t>
      </w:r>
      <w:r>
        <w:rPr>
          <w:i/>
          <w:iCs/>
        </w:rPr>
        <w:t xml:space="preserve">al-Iʿtiqādāt</w:t>
      </w:r>
      <w:r>
        <w:t xml:space="preserve"> </w:t>
      </w:r>
      <w:r>
        <w:t xml:space="preserve">states that prophets, messengers, Imams, and angels are maʿṣūm: free from major and minor sins and from disobedience to God. Al-Mufīd, while refining al-Ṣadūq’s formulations elsewhere, defines ʿismah as a</w:t>
      </w:r>
      <w:r>
        <w:t xml:space="preserve"> </w:t>
      </w:r>
      <w:r>
        <w:rPr>
          <w:b/>
          <w:bCs/>
        </w:rPr>
        <w:t xml:space="preserve">divine grace</w:t>
      </w:r>
      <w:r>
        <w:t xml:space="preserve"> </w:t>
      </w:r>
      <w:r>
        <w:t xml:space="preserve">by which God’s proofs keep themselves free from “sin and error in the religion of God,” stressing that it does not compel them mechanically but perfects their freely embraced obedience. In other words, the Twelver conception is neither robotic impeccability nor merely good reputation; it is a protected freedom ordered to truth and obedience.</w:t>
      </w:r>
      <w:r>
        <w:t xml:space="preserve"> </w:t>
      </w:r>
      <w:hyperlink r:id="rId21">
        <w:r>
          <w:rPr>
            <w:rStyle w:val="Hyperlink"/>
          </w:rPr>
          <w:t xml:space="preserve">[3]</w:t>
        </w:r>
      </w:hyperlink>
    </w:p>
    <w:p>
      <w:pPr>
        <w:pStyle w:val="BodyText"/>
      </w:pPr>
      <w:r>
        <w:t xml:space="preserve">Classical Twelver theology ties this directly to the definition of</w:t>
      </w:r>
      <w:r>
        <w:t xml:space="preserve"> </w:t>
      </w:r>
      <w:r>
        <w:rPr>
          <w:b/>
          <w:bCs/>
        </w:rPr>
        <w:t xml:space="preserve">imāmah</w:t>
      </w:r>
      <w:r>
        <w:t xml:space="preserve">. A formulation cited from al-Mufīd’s</w:t>
      </w:r>
      <w:r>
        <w:t xml:space="preserve"> </w:t>
      </w:r>
      <w:r>
        <w:rPr>
          <w:i/>
          <w:iCs/>
        </w:rPr>
        <w:t xml:space="preserve">Awāʾil al-Maqālāt</w:t>
      </w:r>
      <w:r>
        <w:t xml:space="preserve"> </w:t>
      </w:r>
      <w:r>
        <w:t xml:space="preserve">describes the Imamiyya as those who hold that every Imam must be</w:t>
      </w:r>
      <w:r>
        <w:t xml:space="preserve"> </w:t>
      </w:r>
      <w:r>
        <w:rPr>
          <w:b/>
          <w:bCs/>
        </w:rPr>
        <w:t xml:space="preserve">explicitly designated</w:t>
      </w:r>
      <w:r>
        <w:t xml:space="preserve"> </w:t>
      </w:r>
      <w:r>
        <w:t xml:space="preserve">and must be</w:t>
      </w:r>
      <w:r>
        <w:t xml:space="preserve"> </w:t>
      </w:r>
      <w:r>
        <w:rPr>
          <w:b/>
          <w:bCs/>
        </w:rPr>
        <w:t xml:space="preserve">infallible and perfect</w:t>
      </w:r>
      <w:r>
        <w:t xml:space="preserve">. This is why Twelver treatments do not treat ʿismah as an optional ornament of leadership; it is a condition of legitimate succession itself. The same pattern persists in contemporary Twelver usage: official legal materials from Ayatollah al-Sistani’s office routinely refer to the Prophet and the</w:t>
      </w:r>
      <w:r>
        <w:t xml:space="preserve"> </w:t>
      </w:r>
      <w:r>
        <w:rPr>
          <w:b/>
          <w:bCs/>
        </w:rPr>
        <w:t xml:space="preserve">“Infallible Imams”</w:t>
      </w:r>
      <w:r>
        <w:t xml:space="preserve">, showing that the term remains doctrinally operative, not merely devotional.</w:t>
      </w:r>
      <w:r>
        <w:t xml:space="preserve"> </w:t>
      </w:r>
      <w:hyperlink r:id="rId23">
        <w:r>
          <w:rPr>
            <w:rStyle w:val="Hyperlink"/>
          </w:rPr>
          <w:t xml:space="preserve">[4]</w:t>
        </w:r>
      </w:hyperlink>
    </w:p>
    <w:bookmarkEnd w:id="24"/>
    <w:bookmarkStart w:id="28" w:name="X07c17dae5b19baab532b3522a396e55484934bb"/>
    <w:p>
      <w:pPr>
        <w:pStyle w:val="Heading3"/>
      </w:pPr>
      <w:r>
        <w:t xml:space="preserve">From early Imamism to doctrinal crystallization</w:t>
      </w:r>
    </w:p>
    <w:p>
      <w:pPr>
        <w:pStyle w:val="FirstParagraph"/>
      </w:pPr>
      <w:r>
        <w:t xml:space="preserve">Modern scholarship broadly agrees that early Imami Shiʿism centered the Imam as a uniquely authoritative, divinely guided figure long before later scholastic formalization. Mohammad Ali Amir-Moezzi’s description of early Imamism presents the Imam as a</w:t>
      </w:r>
      <w:r>
        <w:t xml:space="preserve"> </w:t>
      </w:r>
      <w:r>
        <w:rPr>
          <w:b/>
          <w:bCs/>
        </w:rPr>
        <w:t xml:space="preserve">cosmic necessity</w:t>
      </w:r>
      <w:r>
        <w:t xml:space="preserve">, a mediator of sacred knowledge through whom revelation is understood and the universe itself is ordered. That early profile helps explain why later theologians could make ʿismah seem necessary rather than novel: scholastic doctrine gave technical structure to an already exalted sacred anthropology of the Imam.</w:t>
      </w:r>
      <w:r>
        <w:t xml:space="preserve"> </w:t>
      </w:r>
      <w:hyperlink r:id="rId25">
        <w:r>
          <w:rPr>
            <w:rStyle w:val="Hyperlink"/>
          </w:rPr>
          <w:t xml:space="preserve">[5]</w:t>
        </w:r>
      </w:hyperlink>
    </w:p>
    <w:p>
      <w:pPr>
        <w:pStyle w:val="BodyText"/>
      </w:pPr>
      <w:r>
        <w:t xml:space="preserve">The</w:t>
      </w:r>
      <w:r>
        <w:t xml:space="preserve"> </w:t>
      </w:r>
      <w:r>
        <w:rPr>
          <w:b/>
          <w:bCs/>
        </w:rPr>
        <w:t xml:space="preserve">Occultation</w:t>
      </w:r>
      <w:r>
        <w:t xml:space="preserve"> </w:t>
      </w:r>
      <w:r>
        <w:t xml:space="preserve">was decisive for doctrinal systematization. According to al-Ṭūsī’s</w:t>
      </w:r>
      <w:r>
        <w:t xml:space="preserve"> </w:t>
      </w:r>
      <w:r>
        <w:rPr>
          <w:i/>
          <w:iCs/>
        </w:rPr>
        <w:t xml:space="preserve">Kitāb al-Ghaybah</w:t>
      </w:r>
      <w:r>
        <w:t xml:space="preserve"> </w:t>
      </w:r>
      <w:r>
        <w:t xml:space="preserve">and modern histories of the Twelver seminary tradition, the period after the disappearance of the Twelfth Imam intensified the need to preserve the teachings of the Prophet and the Imams through stable collections and refined theological argument. The Four Books—</w:t>
      </w:r>
      <w:r>
        <w:rPr>
          <w:i/>
          <w:iCs/>
        </w:rPr>
        <w:t xml:space="preserve">al-Kāfī</w:t>
      </w:r>
      <w:r>
        <w:t xml:space="preserve">,</w:t>
      </w:r>
      <w:r>
        <w:t xml:space="preserve"> </w:t>
      </w:r>
      <w:r>
        <w:rPr>
          <w:i/>
          <w:iCs/>
        </w:rPr>
        <w:t xml:space="preserve">Man lā yaḥḍuruhu al-Faqīh</w:t>
      </w:r>
      <w:r>
        <w:t xml:space="preserve">,</w:t>
      </w:r>
      <w:r>
        <w:t xml:space="preserve"> </w:t>
      </w:r>
      <w:r>
        <w:rPr>
          <w:i/>
          <w:iCs/>
        </w:rPr>
        <w:t xml:space="preserve">Tahdhīb al-Aḥkām</w:t>
      </w:r>
      <w:r>
        <w:t xml:space="preserve">, and</w:t>
      </w:r>
      <w:r>
        <w:t xml:space="preserve"> </w:t>
      </w:r>
      <w:r>
        <w:rPr>
          <w:i/>
          <w:iCs/>
        </w:rPr>
        <w:t xml:space="preserve">al-Istibṣār</w:t>
      </w:r>
      <w:r>
        <w:t xml:space="preserve">—were compiled in precisely this environment and became the foundational hadith infrastructure through which the sayings of the maʿṣūmūn were preserved and argued over.</w:t>
      </w:r>
      <w:r>
        <w:t xml:space="preserve"> </w:t>
      </w:r>
      <w:hyperlink r:id="rId26">
        <w:r>
          <w:rPr>
            <w:rStyle w:val="Hyperlink"/>
          </w:rPr>
          <w:t xml:space="preserve">[6]</w:t>
        </w:r>
      </w:hyperlink>
    </w:p>
    <w:p>
      <w:pPr>
        <w:pStyle w:val="BodyText"/>
      </w:pPr>
      <w:r>
        <w:t xml:space="preserve">The shift from</w:t>
      </w:r>
      <w:r>
        <w:t xml:space="preserve"> </w:t>
      </w:r>
      <w:r>
        <w:rPr>
          <w:b/>
          <w:bCs/>
        </w:rPr>
        <w:t xml:space="preserve">Qummī traditionalism</w:t>
      </w:r>
      <w:r>
        <w:t xml:space="preserve"> </w:t>
      </w:r>
      <w:r>
        <w:t xml:space="preserve">to</w:t>
      </w:r>
      <w:r>
        <w:t xml:space="preserve"> </w:t>
      </w:r>
      <w:r>
        <w:rPr>
          <w:b/>
          <w:bCs/>
        </w:rPr>
        <w:t xml:space="preserve">Baghdad kalām</w:t>
      </w:r>
      <w:r>
        <w:t xml:space="preserve"> </w:t>
      </w:r>
      <w:r>
        <w:t xml:space="preserve">is especially important. Al-Ṣadūq codified creed in the late tenth century; al-Mufīd then sharpened the doctrine by criticizing beliefs he thought compromised full impeccability, especially on prophetic forgetfulness. Al-Murtaḍā went on to produce elaborate defenses of prophetic impeccability in</w:t>
      </w:r>
      <w:r>
        <w:t xml:space="preserve"> </w:t>
      </w:r>
      <w:r>
        <w:rPr>
          <w:i/>
          <w:iCs/>
        </w:rPr>
        <w:t xml:space="preserve">Tanzīh al-Anbiyāʾ</w:t>
      </w:r>
      <w:r>
        <w:t xml:space="preserve">, and al-Ṭūsī integrated the discussion into larger proofs for imāmah and occultation. A historical study of Twelver thought during the occultation notes that al-Mufīd’s treatment of the hidden Imam rested on two principles: the necessity of an Imam in every age and the infallibility of that Imam, and that this framework shaped later Imami scholarship.</w:t>
      </w:r>
      <w:r>
        <w:t xml:space="preserve"> </w:t>
      </w:r>
      <w:hyperlink r:id="rId21">
        <w:r>
          <w:rPr>
            <w:rStyle w:val="Hyperlink"/>
          </w:rPr>
          <w:t xml:space="preserve">[7]</w:t>
        </w:r>
      </w:hyperlink>
    </w:p>
    <w:p>
      <w:pPr>
        <w:pStyle w:val="BodyText"/>
      </w:pPr>
      <w:r>
        <w:t xml:space="preserve">By the Safavid and post-Safavid periods, the doctrine acquired encyclopedic consolidation. Al-Majlisī’s</w:t>
      </w:r>
      <w:r>
        <w:t xml:space="preserve"> </w:t>
      </w:r>
      <w:r>
        <w:rPr>
          <w:i/>
          <w:iCs/>
        </w:rPr>
        <w:t xml:space="preserve">Biḥār al-Anwār</w:t>
      </w:r>
      <w:r>
        <w:t xml:space="preserve"> </w:t>
      </w:r>
      <w:r>
        <w:t xml:space="preserve">includes distinct chapters on the necessity of the Imam’s ʿismah and on the</w:t>
      </w:r>
      <w:r>
        <w:t xml:space="preserve"> </w:t>
      </w:r>
      <w:r>
        <w:rPr>
          <w:b/>
          <w:bCs/>
        </w:rPr>
        <w:t xml:space="preserve">negation of forgetfulness</w:t>
      </w:r>
      <w:r>
        <w:t xml:space="preserve"> </w:t>
      </w:r>
      <w:r>
        <w:t xml:space="preserve">for the Imams, indicating that by his time the doctrinal architecture had become not only standard but thoroughly elaborated. Twelver devotional and ritual culture also normalized the language of the</w:t>
      </w:r>
      <w:r>
        <w:t xml:space="preserve"> </w:t>
      </w:r>
      <w:r>
        <w:rPr>
          <w:b/>
          <w:bCs/>
        </w:rPr>
        <w:t xml:space="preserve">Fourteen Infallibles</w:t>
      </w:r>
      <w:r>
        <w:t xml:space="preserve">, especially through the integration of Fāṭimah into the panjtan and wider sacred history.</w:t>
      </w:r>
      <w:r>
        <w:t xml:space="preserve"> </w:t>
      </w:r>
      <w:hyperlink r:id="rId27">
        <w:r>
          <w:rPr>
            <w:rStyle w:val="Hyperlink"/>
          </w:rPr>
          <w:t xml:space="preserve">[8]</w:t>
        </w:r>
      </w:hyperlink>
    </w:p>
    <w:bookmarkEnd w:id="28"/>
    <w:bookmarkStart w:id="33" w:name="timeline-of-doctrinal-development"/>
    <w:p>
      <w:pPr>
        <w:pStyle w:val="Heading3"/>
      </w:pPr>
      <w:r>
        <w:t xml:space="preserve">Timeline of doctrinal development</w:t>
      </w:r>
    </w:p>
    <w:p>
      <w:pPr>
        <w:pStyle w:val="FirstParagraph"/>
      </w:pPr>
      <w:r>
        <w:t xml:space="preserve">The following timeline synthesizes the doctrinal arc described above: scriptural and Prophetic matrix in the first/seventh century; transmission through the Imams and their circles; consolidation during the early and greater Occultation; and later elaboration in juristic and encyclopedic literature. The milestones and dates follow the primary and secondary sources cited in the surrounding discussion.</w:t>
      </w:r>
      <w:r>
        <w:t xml:space="preserve"> </w:t>
      </w:r>
      <w:hyperlink r:id="rId29">
        <w:r>
          <w:rPr>
            <w:rStyle w:val="Hyperlink"/>
          </w:rPr>
          <w:t xml:space="preserve">[9]</w:t>
        </w:r>
      </w:hyperlink>
    </w:p>
    <w:tbl>
      <w:tblPr>
        <w:tblStyle w:val="FigureTable"/>
        <w:tblW w:type="auto" w:w="0"/>
        <w:jc w:val="center"/>
        <w:tblLook w:firstRow="0" w:lastRow="0" w:firstColumn="0" w:lastColumn="0"/>
      </w:tblPr>
      <w:tblGrid>
        <w:gridCol w:w="7920"/>
      </w:tblGrid>
      <w:tr>
        <w:tc>
          <w:tcPr/>
          <w:p>
            <w:pPr>
              <w:pStyle w:val="Compact"/>
              <w:jc w:val="center"/>
            </w:pPr>
            <w:r>
              <w:drawing>
                <wp:inline>
                  <wp:extent cx="5334000" cy="1893240"/>
                  <wp:effectExtent b="0" l="0" r="0" t="0"/>
                  <wp:docPr descr="Rendered Mermaid diagram 1" title="" id="31" name="Picture"/>
                  <a:graphic>
                    <a:graphicData uri="http://schemas.openxmlformats.org/drawingml/2006/picture">
                      <pic:pic>
                        <pic:nvPicPr>
                          <pic:cNvPr descr="data:image/png;base64,iVBORw0KGgoAAAANSUhEUgAAAogAAADmCAIAAADZSuPuAAAQAElEQVR4nOy9eXRVVZb4fxQyQICEKQECmGARCJNSFQYF2gGrsLScUKvbGsVyVVFt1ypbey3Xj16r2qrV7a9d69vf1ipriatUcAKVEktkMEJAJWEMYwJIAgQyaV6A5AEPMqB+P3lbX8Uw5CX3Je489uePrJf77rt333P22fucvc89p/sXX3zhDMMwDMPQweXOMAzDMAw1mGM2DMMwDEWYYzYMwzAMRZhjNgzDMAxFmGM2DMMwDEWYYzYMwzAMRZhjNgzDMAxFmGM2DMMwDEWYYzYMwzAMRZhjNgzDMAxFmGM2DMMwDEWYYzYMwzAMRZhjNgzDMAxFmGM2DMMwDEWYYzYMwzAMRZhjNgzDMAxFmGM2DMMwDEWYYzYMwzAMRZhjNgzDMAxFmGM2DMMwDEWYYzYMwzAMRZhjNgzDMAxFmGM2DMMwDEWYYzYMwzAMRZhjNgzDMAxFmGM2DMMwDEWYYzYMwzAMRZhjNgzDMAxFmGM2DMMwDEWYYzYMwzAMRZhjNgzDMAxFmGM2DMMwDEWYYzYMwzAMRZhjNgzDMAxFmGM2DMMwDEWYYzYMwzAMRZhjNgzDMAxFmGM2DMMwDEV0e/zxx51hdD7+0oL8guIqf1z/lF7dXZvxb100/33fkMwRie34caTwF61Y8MzivJLPzpHDv3XpgvePpWQOv6h4/tKt+QUlpUJVXVz//q0XRV1V7ivP5wTSJw7v5dpFXWnOK4t2ds/ITIl3baWuaMUry8r6t7/Uv1ZiZ4sW/e5/CpKHu9J9xSU8f2Jq/7aL1FQgb76SWzd8fGo7C8QwtGEjZuObwV/w1E9uv/32WddlDkn7h4cWFfjb9GusceHi+fNzSutdh1FXunTevEVFdRc+oWjFvEefzCn1u7i4+K//BPEWPD1/ZSvi+fOfevD2EPfOy/HVuVapL81ZMH9xfjinXuCuxUufenppcWsFXpXz+0ee3drirPp6f3Gpv923Pk+JufjAtvlNpfCTf19Z1EYl+FKm0pz5Ty/Ma3+BGIY2bMRsfDPUl2Yvzkl4dOW7/zEzMX/B7171Tf3hzOEMg5/43ZMLluX7+w86veL/m/d2r2kzRwRyn/rt77P7T53of//JP/zXM0tzj3VPzxjh9i1ZnJ9y+0+nxRW8+T9PPPnM4tzKuPTMjATfit89Mr/o+KaFzyzJ/2z4xMz4gmcffSLPX/rmU09nV8Yl+HKeenLhpqYvUlzRimf+6w//55XcSjckMzORH85bWOrLfV5+OMS3ZN5vn3h15YebihOyZo7v3zRCrKva2uxeicXPP/HM2gP13ftn3XLHpNR4+hqvfPWTnqMG7l21wyUce/8VESMlvu5rtwuOVuNHzPr1Y3OzqlZ+2O/fc/JemtN96aPzlsVPnRhY8uiD/5WXODXLrZj328Vns8b5V3xVLCMzUwJ5i98uy/x+xo7Hv1Y+E4cULDjf47yyL3lqk3S42mDpLsqvrPy4OH7mT2en1zV/nIz+rjTnL7//3ZPPLFjmG5RWOf+RP7yanZNX4DK/5Xvm919eKiHlxJYN/vE3ZVYuCJbqsqfmr6jslTl+RGKgYOnfayfjq5HvxUuse//xs2ZmDv3WyPhNy0qmP/F/H+iHJsz7r2fmv5l3NnPC2aXzLlBxVTnP/Pa3//VKTmGA8hge7/vw7beLXfeSla+sKO7e9CDtGHYbhiZsxGx8k8THJY+/dc7Dtw6vys8vLc35w7/My3FZM4eXPvXQ/1/QM6ZgxYK8otL8xQvy60f2PfDUQ48s9Y+8dbx/4bxHFxU2yAWqV857cF5e3MxbR5YueOhfntp6os5XkLN4YW5i1vCqxY88uqCg7kRx7uInn85PHF6X8+8/fWixb2RK6eKHHl2QX7jg0YfmFw+/dZpbOe+hp3Kbfrh0/pPcYXjV0kceeqowPjkxvs+wmXMfnjt9uFj6qq/f60DP8cNT+gybNmfuzIzEpu/jEkM/uXZIDCPTnHz/yBTEeOiprbVFX7/d+caG3LEuf+WK/ILcFbnFhTkr8wvylub44rrvbFYs85aWy5P3HjY8vln5pH32znkeZ9784sSRGSlxTT/wb336Xx5dVJY43BUX++rqznmcvO0LHvrF08XDZ899eM60sQOSkxPjkrPm/HburcNj/n6pxJr8/PwCBqdflmrc+Pj8Jx/6/crirV+rnYIvR6+tldjXqS9a+eTvl/oy7vvtnNlZw/tcoOIK6uLjh2XNfvjhOVmlTz04b2kp96rzFeYWuJGJhU899OjSIhs6G10dc8yGFupPFJVWnagqXLogp8DnKy7td8vM+IKlK1cszY/Pum9m76pi3wmc7oKl+VVlpfllJ4O/OVVeUFafccuc++6b+6OsxKrisiajHD982pw5982ZPS6+6TdNDi9r7mMPz/nR+GEY9Lk/un/2yES/7+ihwtIT/uLcBYvzinylBaV+/F3iyFse/o+5c2aPjPf76hKHj0yOTxw+Lmv8l36ZpPjX7lU1YOTIxOAZX3qZ+OTQT4bFNl1tNlebixh+34mTZS1udz7vkcjQ3OUvXZpzImvu7OTinKUryhKzZgysaF4shWWNcnJy1uxm5XPt2Y/P8zj3PfHnJ349U+T3l5X6k2f+9neP/cdjFEC8O9nicUoOFfvix82eO/vWmTMnpQwPPkrK+KxJw/u4v19qSGxI2GCpPjbnvukpzldVefBrtVPqD6/Evk5cStYtWS5//pOkKOpCt2hZcf76qqK8xfN/P+8P83PL/D5f8FZ9xs1+7LG5c27J4J7tiocbhia+wYkzhtGEv2jF/BWlKbdmjezjS0zEFD//6pyM+Lq6uvj6/I2JDy6Y7+Kn/zkrJbEwOTF5/H3/s+ThSYmOb0sXv8iPY/skx7kq0p71daVl/vhxyQSUXZ2/tLTKH8e4MD5DUplkNBk1Ng0c44J/5ZeJfUZOf2LJE3iWpgFk6QLXNIL/u2DBj/V/zxIzIG55r9IWz9LiJ82uFtfidvHnC7fiiKYN8z+d4x839+GZZSsfweXO/PXYAf6vFUt9wZNydgqeOVQ+w/rkt/Y4iYlxJIh99VWlPAIF0OJxhgxIjKsrw6W74fHSa4gjV+7O8yyhK8aFHqJX4tdqx8WHW2JfI3HknFc/nl2w+NEHn3xy/IRfuPNWnCvPe/rJ3MQn3n0+ef7tP8n/Urr4xPMIaBhdFBsxG98Ydb68R6cOueqnC+PmPP/KY9MTh9/y2GMzfU9eNzotbfB18/L9iePvmpnsK0uceV9Wikuc9vDvZsfNv/2q0WmDr3popU8uEXvl7Mfmjsz9aWb6rD/4Z5KvbRreOX/+vKmZs572Zc29Tw6ch9iJc/9jTvKKe6dws7SfLD43/hnHcDG5eP7t6VPmSeA5PuN892pOfOgnv9t+psXVJrVyO7nA8OnTU/xl8eOzxo/MGlbPCHbmuJQWxXIidHbz8olv9fopWffPGV/079elX/dkQZOTi2vxONdOJaXgFt6e2a/f6IdWVCWPnzbcv/inmaN/seqYa5Xe13ytdqq+fJxWS8w1TQhbPO/3eb7ihfN+9/LCB6eMnnIvcftxM7OGxl7gXgNHThvpX/nQbQ8uqEpOMW9sRCOXffHFF84wooW6ogX33j5//PPvPzE90RmGYXRBbMRsGIZhGIqwEbNhGIZhKMJGzIZhGIahCHPMhmEYhqEIc8yGYRiGoQhzzIZhGIahCI0LjBw4cKC8vNzpIC0IHz755JOCgoLPPvvMKWDQoEETJ07kw8mTJ7dv397Y2OgU0KNHj2nTpvGBUtq6dWtdnYq1EWNiYiirnj178nnXrl01NTVOAd26dRs1alRycrJTrPDFxcWff/65U8DAgQPHjh3LB7/fTzM8e/asU0BCQsKkSZP40NDQsG3btvr6DtxSJXxiY2NReBojn3fs2EGJOQWg8NRgv379nBEG6kbMGAIsglNDZWWlTFwvLS1V4pXh008/FbeHeEq8Mpw5c+bYsabVKPirxCsD5XP06FE+nD59WolXdsG+C5XoFCs8H5R4Zaiurha3V1VVpcQrQyAQOH78OB9QMCVe2QV7CRQXH06dOqXEK7tmCm+EgzrHfPnll9Pjc2ro3r37ZZdd5poWB9S1yJCUkjapKC4XHKQ6TdBbd1+VmB6k7lB4VcVFKelUeJFHm1RSdzql0qbwYhyMcLAcs2EYhmEowhyzYRiGYSjCHLNhGIZhKCJqgv6Bks2bK5LGpTcWbi+JvXJ0wqcflydMmTUloWRt9p5A6ugr3fH6pLSMUUMTXCfQUH3kwJEj/m69Yy7v0avxVLcrMq8YmNCU7wkUb9x4oLbXsNTul8fGna7vc8W3+KLpeHV1Y+LApE5KCQUqtuTtrE4YMW7g51WVgeRJGQ17imLHTk6L8e1cveFwQvqovqdOdk9NG5mW3Kk5qpr9uVsON6ROnp7q21EUm57sK6xNnz4xOTZQkpu9oyY548qE2pMxqRkZ6X07Q6yGGl9tbHJyQlC1cosCyROnZwR27GhITztdWJE0ZUp60zflOzbv8SUMG+bKygLJ40bFlJTETJw+qqN07AIiBVKSfAUljenTZ43rKw2hNn1iUuG63EDqDdOTK7YU1iaPTwvsL2pIu/HGjpDt72J9WYO0wv0VMaPSG8t9PVO/bHN8tadx7Fi3ZXmRmzj9htQaqnjclNTAji2+1MnjOkDRzitVUVNlxZ6s75meMarpqwZf4ZaimLEZp3OzSxImT0mv3d9kQ2J95SW1SVRkX9ehfHn3iQm+osMVLnloQ/Xxzxt7DbsqY2hQwwM+X0NScscpe0P55tzq9ClpNTv2uIkTkwMugSKpKS8pqogdNzGpobEv/wUagqfG9uWfhkBNoOmkvi5Q0xjT9LfhdK2vITk9KRAIHvWVFBa5jA4vtkuCaHHMNSVFPpcQG+iZmpxQUtvnirF9TjUEYmIDvuqEyT+4cWigcOlHO3wJqelDEzrDqMcOHDywsvqybnWHj3ePi2msr9y27dgVQ7o1xMSdqT7wSczkQb6qz4amnD4dOLItv3FqZuOmnOLErGs6zTG7QO2Rw41XTRqc1lhTG3tZxeHTwYndDbWVgbTr7xzbs+KDRbm1jUlpneuYGxpPB1yMqyzc3dgLeRJSU/vWNpkFLKwbO+u2UW5/9ht7Anjm9E5o+DU7snMDGdOTktGXBsxRTKNvf0Fjr6ZpNUmpyRWBhprycl9jXB0WKqb2k6rLXcznPl/MxIExNYjcMY75giK5Rn/F4erk9NPl+32NfYc2lVvgdG3C2BtSa6sbU8dl+ArdwFFp9bWHEzpgjhnWPXuPGze96bWvL2uwbPees3FJyTWne8U2VFdXxDV+Ue/6pg9NjSk5XduYPH1yTOWh3Y1xVHGgvKiiwXUE55HKV3nMNVVWTWNK90Ctr7oiUH4qJjk9dWCM73SgIf2GyY379xac7tYvNpBEn9AXk9zxWhabnDqwBLM1dGhSxWmXUFNY3JgYG6guyq3NuDHd3BYjdQAAEABJREFUl722InVK8Ak6iMbGxoCvqKihoeb0ZZs2nx7at+FgXeCz3n0bztRsXJ57wqUM6fPF2aQ+Z+p692koSp0+0RXuqE5IqDlYHzhwtLHfwMTujSkjUvxHt1X4+iW7g4fOnLl8QGzHVOclSLSEsmMTkhJQs0/LKgONjdXFm7K31CQkxDYkJA1sLNqxY391XUL62PSBCZ3m+T450jhk+NDEpJ4xMTE9ByYlxvRIHDxkSGKP7gOvykz6IqY3NjKmZ2LSwJ4xTba+Z1KCO1F2pLqT1LrRJY25eqA7fZR+etrgxNiYQG11dW1DbNLAhOo9O/ccOXHZwJFpaUmdPFU4NiltbCoVNqxPTKDGV13zVWHE9k2Oqdixo7Cirmm4nNwpIQ/neiYkxDR+eri8xuFUMtL6JiUP6pfYUOvz1TZ+KdTQoalDMsel9U1IHjE2kxNSUzu4xC4kUvWxy9MnZiQ0xiQhUlKwfFCpxoqiCpfg35Fd2JjQeGTtuiLXs0O0PxapYv2VReWBr2pw0BXJtMVa/2k0jVFVz9QmseTesTFNPejYPlLFtZfFNA0LfQEXcYJSNdSWlPgavpQq+Vujg5U1MLEHXdDaL5rE+nI4GoPbLiqq6dOvf5MNqa0+XNKQOrTzhn0NvhJfQlpqUlLfhCZTMJAqbGxoeoJYF6gsKe+4F/xiEpKTAiW1DJR79HQ1FTWNPXoylPHVMixGmzNG9u+fnDa8X5+kYF+wqTJR/0BsTGJCcnLGyEH9k9LTB3Tv7no21WGge0xMY02FT8ubm10ejbtLbd68+cyZM04HPXv2nDx5Mh927typ6n3TWbNmXX755YcPHz5w4IBTw6RJkxITE2tqanbt2uXUMHLkyNTU1LNnz+bm5jo1DB48eNSoUXzYtGmTnte+e/XqlZWVxYfCwkJ5/1sJ119/PX+PHDlSUlLi1PCd73ynd+/ex44dKygocGpAr9CuhoaGDRs2uAjRUE7Ie+zEoe3v3g0ZMiQjI8MZYWAvlhmGYRitEDs0uNag0SnYrGzDMAzDUIQ5ZsMwDMNQhDlmwzAMw1CEOWbDMAzDUIQ5ZsMwDMNQhDlmwzAMw1CExtelNm/efPLkSeeNxsbGyy67zPtGY0lJSfIe8969ew8dOuS88VmQiGzH9t3vfvfyyy9HpE2bNjlvfPHFF/X19fHx8c4zI0aMSExM9Pl8eXl5zjN1dXVxcXGyC6EXKPDU1FSeMSJSNTQ0dAvivJGZmSnvMaPwp06dct6IlML3799f3mPeuXPnkSNHnDciqPDyHnNxcTHF5bzx+eefU1wR2avxyiuv7N2796effhophY9IM+TRBg8efPr06YhIRcOJiYnB2jhvjBs3zt5jDhONjpkW6H29BcwKmjRhwgTnjZ49e8qHqVOneteqsrKygwcPionxiLQTjDt2wXkjEAi8//77s2bNcp5JTm5aQ3DQoEH0G5xnlixZwnW8m6q0tDQXtFYRkWr16tWYGAyf88bAgQPlw3XXXYezd97YsWMHXnn8+PHOGwkJX66tNmXKFO8Kf/jwYXR+xowZLkKg8H369HHeOHHixLp16yKiDP369eMv3b6IXG3x4sU333yz9/2509PTXdB2RUSq7Ozsq6++OiUlxXnD+xUuHTSu/BURcO0MILRtYH727Fm6nyHbpwR0gBCFd3sXcTCgdDu8j5gjC/0Y9Erbru86Fb4xSKh3qwRGzFSi9x5txPH7/QScnDII5/To0cN7iMgIn6jNMdNPLy8vd8o4duzY/v37nTKw6Yy3nD62bt3a2Khu+V2SGhhQpwzCzhUVFU4ZR48eLSoqcso4c+YMETWnjy1bthD5d8ooLCyki+yMTiRql+SkU+z0wdhUYcNzwaG804fOskIqhXGmz4M4ZVBQOqWyZhg+OhU+uonaUDYRYyJ7EZl1EkFoeAwBiQs5TaADRPZ69erllEEMjbC/tlD26dOniRhri+yZwocPfQUGzdoySkBGSWGAXafCRzdRG8omKEQg1CmjpKRk1apVThmYg1dffdXp48UXX9Szz1iIZcuWkShxyti0adO2bducMoqLi1evXu2UUVtbu2jRIqePv/zlL96nAUact99+u7Ky0hmdSNSOmOnlMYDQ1lWn1TGy0dYpZgBBDikpKckpo6amBqm0jZgpK/TK+9TZyGIKHz7EZgnGKJxmhcL37dt5O0GHid/vJ7qgbbZjdBO1I2a6eKq2TxboqqvaPlnAdO7evdvpY+fOnQqzbkVFRQrnwpSXl3/66adOGcePH1e1fbJQV1dXWFjo9LF9+3aFye/9+/d7f8/eaBNR2wnCoHt/Iz7iyMoGThmywIjTB1IpjOgwClQ4oQmF1xZacMGxqcLYrGaFd/rAZOmcSxvFRG0oG3OAndIWb8ROoeURWdwngqADpHK1vWzqgm8MK5yhw3gLvdI2F0anwtNdQOe1vV1tCt8mKCtqUOE4J4qJ2rLevHnzli1bnDIOHTq0cuVKp4yTJ0++/PLLTh8vvPACqVOnjL/97W8KJ39t3LgxPz/fKaO4uDg7O9spg1Tua6+95vTx3HPPKQwwLF26VOEr8h1NTk7ON9jMo3bETN+TAYS2TjGtju6ntlknxKlIfsvigqo4duwYUmmL0Pr9fvRK29hUp8LXB9G2qByD+BMnTiicZmUKr4cf//jHq1atyszM/H6Qb3/7251ZL53qmBcuXPjII484wzAMw1AMnjHkifn8ve9974033nCdRdSOmPfu3UsWUHbv0cMnn3xy5MiRqVOnOk0QLs7NzUXznDII+990003aFs3Iy8vLyMgIbUGhhD179jCm0bZ7T3l5OTo/adIkpwlyN6S6UC2njOXLl998883aXkxav379mDFj+vfv7y4lGDGvWbPmhhtuuPvuuxkxd/L6S1HrmGWSqrYZOgSNCaMpDAoRb9Q2Q8dplaqxsRG90jYXxhQ+fDB6VKK2Dp/TqvAk4KhBhXP+o5ionfy1ceNG7xsVR5yDBw++++67Thnk2xYsWOD08dxzzymc/PXWW2+VlpY6ZTCOVzjbcf/+/QqXuqupqXnppZecPv785z8rnPy1ZMkShRsCRTdRO2I+deoUXTxt7x7QI66rq1M4+ev48eMDBgxwyqiurkYqbV312tranj17ahtv6VR4tB1Po3DyF5WoMDarU+HpxxDIvdQmf32zRO2I2efzoeVOGYxNyTE7ZWA6P/74Y6cPpFK48ldJSYnChZCqqqqOHj3qlOH3+xUqPP1jhZtRuuDMGIVLeRw6dEhh4Cq6idqVv9AkhduhkNlSaNNlrWynD4Y1Cu0UNaiwu4DCKxzT0OcLBAJOGfK6lNMHCq8whHny5EmF6xVGN1EbyqbtERHSNkNHNoJVuBw8DU+hWdcpFV6ZPp+2eKNOhadfhc7r7CKbwoeJToWPbqI2lL1hw4aNGzc6ZRw4cGDZsmVOGYweXnjhBaePZ599VmEM7a9//avC8Gxubu7mzZudMvbv379ixQqnjOPHjy9cuNDp409/+pPCyV9vvPGGTf7qZKJ2xEz4hS5eJ7981ip1QbRtsMhgC1Ol7cVcF5woMGDAAG2jwJqamoSEBG2Tv0zhwweFpxIVznasqqpKTk7WNjbFOKBXCt8ui2KidsR87Ngx9Mkpg3ybwr4nAbSDBw86fRQXFyvcBa+srExh3vTo0aM4G6cMgjGVlZVOGfX19YcOHXL6QOEVTqooLS2ld+WMTiRqJ38xgFCY2UK/a2trnTJwfvRjnD6QSqGdogZTUlKcMk6dOqVw7gIK7/f7nTJImupU+OrqaoUhTDp8CgPs0U3UhrIx6JcFcZr4IojCDdTwzQr7MTql0qlapvBtwhQ+fHRKFd1EbSg7Ly9vw4YNThkHDhz429/+5pRBvPEvf/mL08ef//xnhZO/3nzzTYWTv9avX69wqbuPP/54+fLlThkkuV588UWnj6efflrh2PT1119XuM9pdBO1I2YCaIwetC05dObMGTyNtiWH6BH7fL7Bgwc7ZZCeHDRokLbxFtnc3r17a1vTWF7M1abwaDvRbG07ihLKphJRLaeMioqKIUOGaAt7EGBHrxQu4h3FRO2ImUSgwuQWdurTTz91ysBO6ewRMzBVOPnrk08+oYPllMEoUKHCBwKBqqoqpwxGpTrf/zl8+LDCSRX0j23yVycTtY75RBCnDAy6wqmzOGZGzE4f2HSFdurYsWP19fVOGWj7yZMnnTIw6Kbw4UOvXWEIk+iCTf7qZKI2lN18m2tV6BTMpAofk6pNWHGFj0llCFE7Ys7Nzc3Ly3PKKC4ufvvtt50yGGw999xzTh9/+tOfFE7+euONNwg5OmV89NFHCpe627dvn8J9Tgn7P//8804f//u//6twbLpo0SKb/NXJ2OSvToVQ9qlTp7StsUUelxhaamqqUwaJwCFDhmib/EUUFL2Kj493mpAEs7YdRU8H0bbGloSyUS2nDPzf0KFDtQ1PySglJSXZ5K/OROMCI7RkHJjHHoPMVvDY/ZQNbsUEc0E62h5TnlgERPKeoUSqvn37ygXJ4XmcIcVDRWRWWkxMTGjCuXepXLD6yG95dMzdunXDXclFyMJyTY+qhXJSYh5X80Ce3r17y44FEVR4j7sANVd4Cori8ihVYxDv+1Eikqw2ilLRBfHYDLkIbdC7VFSf9IQopdraWu8KL2Xl0TE3V3iCYVzTu8JzBY8Kz0MhlcI1cHSisZgwB95VXPTSe1wIzyd2ioYXkYUYUVDvc3q5grQ9GZE4z8TGxnrvLnAFrCc9az5EZN4yJR+RDRYRqWfPnihVRKZHYY5xDN5VSwyoU6bwPJooPKGdiMxxwxZ7l4or0GOg7cj7V84zqEREpOrRowdthw+RUviIbLAYUviIbDLLA0ZE4bGf2iI6arH+SyuonfUggkVrJiKySCkp3APUGWEjCq+tPWpuhgqXgXNGeETt5C/DMAzD6IqYYzYMwzAMRZhjNgzDMJpQuKTdpUm3xx9/3CkjEAicNxuxadOmysrK0tLS+Pj406dP+3y+vn37VldXnzx5Mjc3t2fPnr169aqpqSGzsm7dOpl/dOLEidjYWFkalxP4CefICnNcrXfv3keOHKmqquI6nHDeTeZJTCYkJLjgXJhzpz9s2bIlPz9/0KBBfMv1P/nkE65ZUVHBLQ4dOtS/f/9du3Zx2ePHj3Ocv42NjXFxcbIq2ccff4xsMtl7/fr1GRkZ8vP9+/cjD/c9fPhwnz593nvvPX517htW/fr140l5zAvNhfnb3/5WWFg4ZswYhOGyx44d4zq7d++WUurevTuPzN8dO3bIkdA5FC9Fx+fPPvts4cKFEydOXL58+cGDB3sFkRK+0OxKTuArfnihFr569Wqeq1u3btQgJ9fW1nImUnF3rswR7osCIHnoiJzTo0ePzz//nN8mJiY+//zz6enpVLrf76cGBwwYwFcUo9TUufBEss17q3NhqAIukp2d/a1vfQsN4V8KJCYmBi2F5LEAABAASURBVB376KOPuCkqRIEjP2qDnIiHDgwdOhRRkQE5pa6Rc8OGDSNHjrzIvbisTLO6kMJfBOqU6kMYnv2ll166+uqrX3vttSuvvBJpKZNFixbRLpD2008/RbUuLkYLeDQpRp4lzJl38uxr166l0Hh8qhhlRoYhQ4agCVQ0J9AQpHy4OFLRQkeNGiWa6cJDzmz3Sw2hmqW1vvPOO2iC6Dm1cODAAdSbSnRth2tSYhRUW13aeWtwwoQJIidKRROgLYhiUHptEo9H47n4bQuF37ZtG4pBGW7fvj0pKUlqhNrZu3cvN+VfpCooKEhJSeEDlgpdorQ5TvORFfX5K60yVIkYKOq9uZHh1pxJ8+R487uHFN5ola40+Ys2j54NHz4cl4PHmj59OrYSPcZPoCi0DVQEb4fhRntwirhw/N/3v/99GgBm9P3338e4f/e738XNoDFYQ64zadIkrvzHP/7x5z//uWs7mZmZ3HfZsmUY69mzZyMARhDVR19pFVgB1P2DDz7gL+o+fvx4GsbMmTOxWXfccQf6vWfPnnHjxuFaUNmVK1ciLWJzwbS0NB6EK6xZswbJr7nmGtd2aGz4SLFBycnJqampRUVF9B5oTsiDX+dG+B4+yxH6E3zLOXfeeeeKFSuQgWLEatAyaYRiZHkiTqDw77//ftcupFK4NS0ZGbgvxUVHJC8vj6KgjnDD8iqRHOGOPAXn3HfffUj17W9/G7uPJOL8KC5KiQqVLWN/+ctfygtI7YNLYQFlWiwfqB30iodFVAw3B+lsUU1UMXdBfxAGgcV0lpSU0MXhiShD6o4PEZkQe154WB557NixlAz35cGRloZQXl5O0SH2Z0E4B/XuhMXG5dlRMJSc4qJe8CuUA385iOlHNtwzn5ETaWks/JWnoHkOGzbMdTDNa5aqRKtRrQ8//JDiwq0icyevG3qhGgzJKWqMn9u3b9/NN98cKfHkOjRAGrXUGhqOeeG4/PuLX/yCgQEmi/qiBhGM2pHjIeWn6DB08uahXBYDiAtn8MDJ2AdO4ExsoDPaSxcLZf/whz+cOnUq1Y+noZ9Ln46uGVaeBobDdsFx5He+8x28CCqOG5ZXdziO6acbiBZu3LiRg3ygQXIdvDgGlK/w+q69cJGrrroK9eXKSCKvHnFHGXmg35gkFBeBEZVuBF+JVMjJreV1CzzNFVdcwZlYfIShPytbONBT5rNrO4MHD6aUEImREw6MhieLh4s8CMBlm0uIDKFzsAtlZWWMLTjOt5yJ2NJnR3hK2LUXSn706NH0wbkmDRg/jdN1wcgENUitUZgyNgodCZ3DbylDfkinAQmllqlxjvOXMYcXrww7d+7Ei6AYXIcKHRyEYsE44ps5gSrGaKKB/EvfX8Rzwfdi6XJRRKgcpUSFInPHOWbRYQSjKNKD0D/AyvMvoqI8lI8MfOkidPROuqFn5zNdTwQjxEJJUhQuOETjL2Eb2hqySfFSMggpT9E5uyO0qFk5iBh4EcoKX+g6lwvVYEhOOU2aPz1sFzmoF5Q2VGs0N9S4eSVyd0wQXTr+MoIPHRflD1laqUS5Jg2WR8Ax0+mhYy1nOsMDGlf+YowYfjefvhs9Stdh0KXFvbng+vIXegtWAq0Xvw56LGFkdN1FAgb9NBj8PS2h1ZNxw7QZhjK33HKLl3NaBV8unSE6++Gczx3JBfzjP/6jx3MuDtYHL4WqMyhxnmEgiCUiWOK8IT0e10aF72hwXZI3weyq2lNIFuqiHananIayosQkIeUiBL06usjXXXeday/oFdpF9zecVYNa3I4SJihFZJG/d911lwsbWj39ZgbWt91223lPCCm80SpdKcd8XlqkMSLOxXPMAiFEcjbEx8jnERQKLfWHG8A/MaZnwCrBn+uvv56mgoJii9FjxhC4apyr3ILz6QfwEzqtfEucmbHXhZJwF8kxYyNI+BF0euONNySVy60ZGTDYpWDpRuDLOci35EF5QHoeEk5nFMjIhhPIDxH/x1twC5o3QT/a24gRI2jAODmuTx2dN6F7oRwzznXJkiXci2eniOhQXxZEetYEEkRObsrjIOSLL764detWZJZwCEUqCxhJrhcxaOGUG52Ad999lxJjYEGXAvklcd5i6Bx+jrkFzVPO24LIYJ2ikCwyRSo+FR2QIE34F/eSY+442pFj7hw85pg7iHbnmC8CTQw1cx64UI65BQR+pEliTMgcyYwN2hraTu8nIyMDQ0FmBDOFEcCI0bg4h0ZBLUgrw3mH5nlwKQ4SL7nQ7SzHHD62wEgEIARNVgZ7gfUPZYPQaZwxQTzaLUZcgooodGFhoRgXQJtpD0SBcI2h83FXqL6kyV27kKA0jg0/wWWJm3FZmhCNTebNXXvttS4Y1GIYSn6IUB6RKzK4d999N8E0iaTR2Bj+4o85QgsnD4fkkjintSPkPffcE75IRAtIS9PV4BmnTJny+uuvY31mzJhBLopnRyRux/PSX+GyBBiJghBGJr7Hg9DUKRCMBaZZcr2UJwcRG0kwFggs6WecNHE2irRNsl2IFilnjBdpeMqT7CA1Tg6Cu0saFRn4ls+kWpxhdAUkz00mGE9MsyJ1FZqxwV80nGQzbYrT+ApbQZ+YtkBr5V+6I9LKIj7PwxA0OuaCgoKILH4ZEXAGN95448XPwSLfe++9eB35F79CZxO/KEFd3Bv9X/7SoyT7ghPCOzLoRNFxzCixrEjV/Hw8KEafBsB1XLsg4YovlGyQpIXIVNFsJLkr2WI+ECJm8Cc5J1wLo1VKnjE998Uv0g4RmJ/jhBCb8wkM0Clux7p6pJPfeecdHhk3RpuXlLDkojiCZ+XiZCjp2TAG5S+dCR5/8uTJ9McRgJLBNNBzxwUOCYKSMEahsy9rhkv6WX4eTmw/HCThJ/MGSExSrUi7Zs0ajlBrkkXmvgyjCWsjbbuTytSUnk20qAiJahYXF3tfPj2C3HHHHfylb0Qf16mBsqLEaM60X6cGGhet7OLnSJ4bQs1KZmzQ4lB7efmFtDeKzVejR49etGjRb37zG9lXLdTKmv+Kzjq2y7xyRNCYY5Y5gc4b9AGxpwxGnTdwzAzs3EVzzC1g8NdqqwCGg9/73vfCP78FbcoxdxptzTF3DpHNMV8IRv9tSs+HUm5kCrz3RFF4+jceQ6Au6JgloEInzLtjJgSC0ce+O89I2dL9oofkvIF5oTM0depU55np06cTTOIxZZqbR9AELuh9vh59XHJSYeaYw4H+EAPoVocoF8dyzOETtds+0oeV+c8uQoTvmDsHc8zh0zmOua1E1k7J1ARtho8oAn0OIi5OE0Q+0ASJJ6mCzBFjiUitcR1BxxwRzDGHj8ZQNs0Gyx6RXfC87zJGBLXdF8FrElwlGXPTTTcRtqWR0OUkE0OexufzMSLBYBF04jMqa/uuXLJESuHlrVznjZDCy2ag3ncM5NG892jp7cn0vYhIdfbsWcrcu1QUVGi6H1J5n1qPYEjlfdtHpGr1IgR4pk2bRjlwUyySGCspGf5yBXoJ2CV5HbmyspJ65C9ZZ75lMIDtkp/w4HTHy8vLScxh3EiBqd34pwuh0TFT65F6Dc5728PenbvqVpgQoyZPSRpGlqqQg6HJX/xFrQloT5gwgXxP+176wk7pedPGfbWBjCStnRpC2/eqkiokDObM+/xnrKHMWnfeoOmRMnTBthORqR54L+9SIQnW3wXbY0Rel5LZTM4zMgWBthyRwBVWIiKvv8sr9a2etnbtWuQfOXIkgwSKV1bIkSMMJ7iCzD8NLYfC56VLl3LCmDFj3nvvPZ6aqMNVV121cOFCIlLE8Hbt2sVPbr/9dmd4Q6Nj9rgLemRpd98cs4tXls4jOk1uDD1G3UOTv2iBKDFaTnaw3XehJdC6nBoeeOAB0px0n1988UWnhttuu+2aa66h5J999lmnBgYfMntcVTop1F3Q2bVSZRxcsJRwzNqkalWjsEWlpaU0VRwqI4d9+/aRI5ehthwpLi7GPa9bt27KlCmh5VAktoczlpcU8OV0bviXAQYnhKZwOsMzXX6BkY4mnAVGvBOaCBY+kmN2kYAhyF//+ld8qlPGc88997Of/axNLwd3AgwaJk2aFMGFJG2BkXC4dBYY8U6bFhjpNCzHHD72HrMK2uqVIwue7/rrr3f6mDlzpmQWVYFXlmCvYRhGRxAljjmcRTGjEuJLjLe8R9IIQ5ERd94gupCamuqCkTTZiMZ5Q5ZIc94g0jhgwACZ0HTs2DHv60ZRVv4gzgNEOxg9XERpqdluQdylxCXbkA2jOV3PMS9atIhY1uTJk8ltyP6DNOZAIIARl70o8AqHDh0iNSJpkqNHj/bu3RszRyC6b9++NTU1/CW/IrvOER/bu3cvn1u1gIWFhWVlZU4NI0aMkP0A9OS3zp49S0yPDDp/9cRmKR/kkf3H9KzmKGujXsQJVVRUoLp0dGprawmbyxZh1dXVJPZkiixdlquvvprS5qutW7fK7FmaANl9zienTqNAvTl58ODBhDQ5R2bltEntz4XbrVq1aniQUIujhJGtsbGR9jVhwgSZmstnAh7r16+XiY2kS8ip81CcT0aTZCSn8S1tGVGRhJOR88orr3RtBzFyc3PJdN50001IcvjwYQqKIpI0quw+yREKMySS9K6IRcs+hsiAPCUlJVdcccXy5ctpX2PGjJE1Bl544YW7777bS5jk7bffRv0osVD5iCSyGC3/XqSsJIdNN46Sp5wpc/qXHGx1ZUBOXr16tVMD2bdp06Y5Iwy6nmPGAf/oRz965513aMNoJ7ZAmlB2djaf0XLZNHDlypU0Nhzzli1b+EATRU1l9UesIb5ZtipjLMWvsAWtWii0SlUAM7QVjNOESCVrmelBZ1ldvJTS09OxyzgG3AySY7ib71s6duxYfs4HzPeKFStQ44MHDx44cABVlz0f165dS0vh57IHpbwF4L6aYZuZmcmHcNT+XLgFt0MAHGGoxU2dOvXDDz/ksrgQnA2izpo1q/l2kHQgcJZFRUWylhyyUSm0YrzRBx980Hx7QdcuuALuiieS3Qlp6bhhvDUlwK3pvsumorhhEckFtwbnpgjJafycAt+3b58sa4+5mD59eottRp0H6NYjgzy1lI9IIrsuuq9vndmirPr06SMvqVPISEiZY/rCWXSWO2IYnRpkso4RDl3PMScmJm7atIlWR5OTxSOxEWiwrJ4Yehs49CbfxIkT6eDT6mJiYjhIS0DX161bh8/GYNEPpSWg96GdJy5EWhDnDZofTcvL9k3GpQMOA41lJCdhHoZKuL3QFFk0VsLp6DNtgQEoyswYev/+/S6o/0OHDmWMJdtr4jXlPRz5OT/hsuGo/YWQJVFDLY5/uYtMUZb1X2UnQXH8yLZmzZp/+7d/46+cz7cEtHDwiIFg3/nOd/jKY88JAcrLy7EJss6rTGuloGQvUaRCyJBILvg+GCdjSfBeCCxRNPw6j4DDlu1Em28z6jxAOWOOEIZ6aS5J813wUBvEAAAQAElEQVQXL1RWlJIL7rqIrZMyR7xwlk6i0yP7zXtk6dKl9AnarSpGO+iSs7J37txJ56tzFCU0K5t+LhbEY4RWdomnC+w8IC8pShTUVv4KB+Urf13Ks7Jlk8FwtheM+Kzs5jvGtju3rXlWtgtGs72vCYGR4WoeuyZ0dyhhbbE0tXTJyV8MC2hUkj9DXXbv3j1jxgxZhoYGhm/gsywPFMrl8FnycPwK68zggxweDjL89bZoeB7n+zS/lPMG+h1OKo5ON82SPrj0zRmd0NFmTEDXm6KTlehl4VJZCIleCH15Bgr8hIelIVGelBXnEFDlX0Zj/GTmzJmu7fDUH330EbFB2ZBO8mo0eHo8UjVcf9GiRQ888AC34LhUZSiBirMn28cPiToQGCRZhTNjpDh69GhJpkq1EiSMyP7czXN+RGi4NaMrRk4czMnJwd7deuutOHu5qeRZGWPhYuk1dkRERMqBmqIurrrqqj179lCMxFcxwTIZTbwp/SEqkf6frHqBbFSrpPwpcMSTZToiAuFWBprkdLk7n/nL0JO7IEPz0kCXpKGRPCKdLErFU1B6aBpeFq8sl2p3uaGcGAEeMysri0eWJLprbXErYsgMQ2VxK6wBYiM/uoeEdC4pcJ5F6peQm1zZtYtQW6OyEIChORUnRcRn2tR1110nOi83lc/SLvihbPDKuFnW20LDeVIyBai9DKYvBLeISHcBXaoL4ryBEnock1w6dOFZ2ZItI/WLgr700kuYIWJ3/IvpwW3TDmVLMg5KLkeUWPbyw8rzc2xu+I5Z1RoCCMODtPoec1lZmWz5ggPD7mCPcC20c8oNIyUbF8qWz7h5rA9/6dBgEciucSZZLjJteHeML7FQUl8U8oQJE1y7kNWR8KlYPewRYtBFkLGsVA3f4l1kU0XZcg7JJYFKolSSf3hH3BJ/8/LySEZQiZJMxTnJFo2R2tymec4PB0ME+F//9V+3b9/OQQofuy9VIDeVPKtEDjto7CvlgHHk2fEcxIGpNdl9L7Td3pYtW0jZbN68GTdz9913IxvHZYtMQrIUIH7RRQjKAdVCf6TpIRsVmp2dzV3wu6HSoHDox0hDo51KeBYhccOoE/3p5ntouvbi8/m4OPel54d2odsoj6xUFebiVtgNigj58c3UNTWLKiI8ckr9cuV7773XtR2Zy4I54sG5Ix0RSRXTyo4ePSobaUghUKc33HADnw8ePBhqF9Q4MvAryjCk4SCJedlx60Joi4ZqW4ZFM104sCDZMjwuRlm2EeRfaY2oNT6G/mlmZibJGyyI5OHcV3v58QGHjca7qAZLdP/990s5UES4NAwQnoZ+K8YRk8RxTBiGgAEHpYeHk1gTLR+njm0lARbK1WGe+ImXhTXwEDIZRxKfiERyMVQ1mCEcIQO+0JZz7qsEKk4IB4PPYwDBCfyl0uUESabKJINITe+SnJ/0exjwURp33nkn42Y5SAlICFp0SaIR4iZl123XAYRKiSoj5yfrK1EO6L8oP0IiDB0aLD4ScrLIxrf8VpZkCm0W7h1USDa+lLvjeNAouUvz0nDNGprEFZCTikOdEE+acGgPTdde8OuhWgAk4YgsboV6cISOFMUi1Rc6wgfcM94udB1+yL8yvkcVW9SvaxciD7otlSXRKenHyGcXzJchKrLROeBeLdqFjOARPqTh/KUjQmtyRpRiK3+1Ques/NUObHep8LlEcszoJ76EJ6Wzde63VAqukUjpxS9iK3+1ifblmN966y1GwNRU84PNc94Xp9XEvK381dWxlb8MoyVddHGP0N7h54UOU6te2egcSDScezD8uRGMvMOZLmd0Xbo9/vjjThlEacIcx1dXVzNKYLTBqFF2wmGAS8yTDy+++CIZNcKPhLBkCybOJBhLmodeG+dIiK/VW3COdGzppcqboCFI6THWwRrSWaYzyBiRpCwhKYJgZI8YznJ3olXcl98Sj6KnL8tKhI6Q92IcQEbQBVPmXISvOI1z6IPzUFyccBY3Oneql0wJYRgUzrCGgiL1SHvmZAbZPBEyU2KUjCxiIAMRBOA0pOJ8DvItt+AnhBwlFd3qjbgFVUBpS77gvBAk59achiQUmrzWOWLECAqTg8iDGGQNuVRlZSV3pxj5Sl5bl9ok4c2DcwuegtEwkvPhIuIRGJelPS8UL2UkTZmQYiQOweNTI9QjNyIyjHvmXoiEMBJR37BhA6FIEUOGJoRqqSx5/4cSk1XPeDQegWqVZXDOvSkjLQRz51N4IpwHgqAPfEZ4Co2TKRwuRTlQIByUUuIgpYQY8hTclwuSsEBgxKB8uAhnfh6EnCuKxzW5iLQImb4bgucVhad4W93zCm2hTEKjWBFP5hxxEQqE3If8RRi+paAYYlLChYWFyEmqFZH4Vir94veS+pWd2VwYcH2kkje4qE0+cAtuRE1RaFJKCCmPQDVRvO+++25aWhpFHf4+7lyBEqOgLqLwIWRJE7FUor3cmjKhLdPMqSk0EMFQKsyUTEDjL1JJ6wid3Krh4llkimWrCQIaF3WB4ZK5eOiJyBYyCKLABNLF0HGcI4jKX+qOc3gcbkfzXL9+PamBi9wrpPBGq3TtETNWRpJGoekk/CtrAtD+sU0YBT689NJLaBLfot8YVvQeE9a+1RWaQwvHgtOS0WwsHc6MrA/tinAiVoAsEfr9wQcfyH05SJiXv9w9dIQGxpmcM3PmTNkOEgtyxx13IL9My+Qvj+Z99z1kwwTTwmfPns2NyMhyTcqKEiBnuXXrVto/PonjsnwBzY/uxauvvkq+jRbb6hpD4cPz5uTk8Lw8tfQSGORxR2RDQpkj03wlDZnchy1GJIoLmWX6FSKRGicFTgBQHGcoBttWQnO4uIK8noturFu3jhLAElEjyPmDH/yg+TQlmRqGGCgbOoYHHTVqFNfhHBL5K1euxEKReQ1N5GnrBiEUDiXPXUjQkqnlwbOysiginld6llQcLlCmdGGy77nnnhYz0VAefovd5CASjhkzBh1AZn6LAnACTyG7CVHOrr3I5DuZS7Vq1arRo0cjHu1CFgzhXtxa5l023zcwtJkgLlC2X5S0q4so+fn5uIprrrlGqmnZsmXTp0+nNGRXN5mhdu+99yIGMo8bN45aQw9Rp0mTJn300Uf/8A//4CIKYmCIGCtzOyyAdBQoAaoPYahNbo1IyCMT/ajQ3bt3Iy2dCWkd4a+GFD5c+c4770Q3UBi6BSiMyCZ1imWQtDfjB5llSbdAZlZLE5BlITp02uOlSdd+q4z+HfrUfDqJrAkg04jGjx+PJXXBwSVWEkXHgsukD1ldwXkGK4zpoc3QrriyTG+mE4ohwKbLaw+IxFehXSBDR+QK8h4LrkguQlddhMQBIDzWrby83Ltj5mq0Hyw1/RKuxmcaGw2MW9D4EQnJZTkkmZklL9UgDN0LrADOyUUInhcxKDTEmDBhAp8ZK3AjmY8mc2SQliJqPrmPX1EOuG2Zv0P5UJv8RGaEyfyvcIYs5yU0x8cFp3rJmCC0QgVug3+bT1OiM9FcDDousgaILEkhnRvUsvlEHtdG6O3hQkQGfCpPytUwfzKBiHthFqWmEFiWm2gxU0l+i8CoKAWLVCIz0lJWXJ8rcB1xll4IzaVyQWNNKUlz46B0mvkbWhSFSmw+MuZX+PLc3NwIThcPQYMi3kt9iU3gSekTTJkypfkMNTlTFkVBQoqR8uFkPrtIQzlQMnTyxFKJ0spKL/hs0eSQPDQKRhqcRnGFWgcVHSnDFWLatGmHDh1CVWSaZ0g2qVMkCSmwCCxRw9DsyE6Y9nhp0rUnf4U/XaLdtHXyFyE7GnbEu9vn0qUnf4W/rERE8Dj5i7FUW1+xDUcz2z35i/ENgxtKr8XsoYjQ7slfeGWstizZHT7EnMgX3Hjjja2eads+ho9N/urqdO0cM87JdTAXyTG7YNIIUbEUtAEJFWJksU2SjJRFbolW4a3pUXJQUnpYYTrykr9haCX5LSKBmB4uxREuS2vnOE5OXqINP8dMzozrS3pY8p0yYqCHy10QAAvCLSQzJKlKvqVXLusqSwxNcoSyHiHHEaNF6pdn4WR+1SLdFU6O2QUXCySEHhJY0leSTqZXLhLK1gKMsRASh7pkyRIEo5PEtyJz+MHPVnPMzUF4wp5EOyXESkmKSJLh41IypYCi2LNnD+JRBUQ+OYdaCyXbvv/977d6o4vkmC8OhcOAmMKXjKC8ZkPMHGH4Cj8nL3OHspiuLbQpx9wc5GlHOFrGguGc2dYcM/LLBjahVDeFLHNByBRQd5K4Fa2j8Uqqm+oWxQtzs/M25Zibg0rLwsAYCooOK4H+EH5HDGqQx0T3UAyqUhpjmy7eao55zZo1tGv0h+gUyiM5Dpl9Itl38h2i0rJAkzRJmTYhcxpkBozkvNH5UNp+w4YNoXXHWmA55vCxWdmeQLkleYxPpT2jlzSnffv2iVdG+1FZEs94Mho8rhGjj8levHgxKZnXX38d/SY8RWCNUDZnvvnmm2JzccMMufiWK7c1eYNIeC9JD5NUw9/TfaHZ0ESlFfEZXygLftFU8KNIHjKO77zzDs5bVmthoFlUVEQslAQhkS5yw/FBZJ0pnpRfeY9fhRYJgdBaMdyO+8p2AsRy8ZGyC5B8i0ntuA1FZBEPWcAEHyBLUoTSgc33k6CE+cxfzn/ttdeoO+qLpGZHJ9uQTRLYspdXSBJovnODZDHbnXrv6sicAJQWXZJUN3+JfJA3RYWosuYrFKHMoVU+ZsyYIZtwuA4Da0DvDTFkn4xFixbRDMkvIAk6T9Oj+uiO0+uVhP0vf/nLSK2cI8iGe5SAzGaQVWiaz1GQbhA9TtoaeWhpksS0EVjcMNouOW/UTPoTkrZH4PO+rWe0CY2Omb5/u/OFEYcu5IU2RQmljV0wT4k6yjxPPCteEOOImkriGcuOuUR3ZcxNjxKFxu0xtsblyAQf/uV8fssREm/0mvmWC2Ip2uT85JUYnC62G6m4ESJJclH2EKRRyXpn+FcG6JzGSEsiz3yQ1Qyw7/yQX3Ey1UGXGZkpBx6Z68jmHzKxNiIrlkv6iqaOPFycu1MIGAIsBcfp0VMgmCoOyrdIwmiDfKHrAHhAWcCEm7744osyQwoxMFgt9pPgZIpUNitzwZU00NtOSLaFEtgyz5/YA6VBcZ27c4OX1DsKrCo821ZNk1U78DqhVDfKTEFRcegSVcZAWSYxSBHJ+bKoTkcvPSSLpskUS6oSEyEbOzJwl5lW1KA0UmwCCh9Zr+yCD0vMgBvRG5B5ji12JRFk+g4qjQw0dtE6Dsp8C9kBiN6hpO1l9xT6ggrTo10OjTlmWTDS6YAGLPlF7wuMMBj93ve+F6l94L3nmLECJHrvvPPOVt9UCR9bYCR82p1j7tCpFaERNqMlVRuQ//jHP3aWYw6Pjsgxe9c6yzGHj0bHHBEIWDFwiWBQxVb+CgdzzOGjfHepiEC4hTBp+3Y9OS/mmMPBJn91dZTmmM+dZtVW9DmmdQAAEABJREFUCOLJBqjOA7I0RJjTQFxwvgmeEjcgfxkckz0l+ip7PxCVwqaQmNm9ezfBK76lVePACMziMGTyReiI60i4BSE7maJFSEBe9cGySIaS9nzo0CE+y8tmlzIt9raiZ0Y0e8uWLaG9ra688krZ8CC0o5HRHNI33+xbNMSEJIVEyoYGSBPjXyouPT2dISCJVXpstESfz0c9UoNHjx6N+BvVXQIC+7I5NEpOV4N0iSw5QonJK6nUIykAwmyU3qRJk6QM+ZdSjeA6B4ag0TFHapFeWhrNzHkjlEEMB5o6mi1v/eJr77jjDtlGCUmys7NRcZ7rgQceQNF5Riy7LMN0ww038MMxY8bQA5AjHf0eEa5FkqayVhRjXFoXzhhRZUs+fHME9wfsujTf24rPJSUl5DWa722Vk5ND0bXY0cgIQeFEPD/aJmSLOVn7RbbhQvOzsrII1HNQ9kyT3cn4l5rtiKVOugToNgq8atUqghx0YuQVg9tvvx1Vp0uKocBk0Y9ZuXIl/VSZs0YZkle+5557nBFpNDpm7zt7R5A2CYMNKi8vR49p6hJwC63UIWFwdFpmQWMI6J4zMsYFysJbjMlkWlPnbI62bdu2zCB79uypqKiQJRfGjRtXVFTkgt0RLzkOLvjSSy85z2AdCC1431wdb9q+mWKy1AOFg32XBSKouNDeVqRgZaaMrKrR7v16X3vtNe+TKqRH5f11lMGDB8+dO9dFCKL0dPhk7ZpvBFkEhtqhhGULVHzzgQMHKCiCHzJLjqZH8ySB+te//vU3v/mNazsoyaJFi5xnSEuhUeGH6C7ED37wAwa1bfoJdUQUDT2XHaylZFywCaSlpeGVQ4vnuOBbkVKGsriNMyKN7S7VClG/u1Rkp4BJjpnqU9W76h5EbY5ZfKrTAZJ0xLpXkaIjcsyyYAtdN3pa4Sx10hzJMetU+A7KMb/66qs/+clPXNuxHHP42HvMlzpYlh/96EcuokRqayZGIbNnz476RQkiMlE/Pz+fEc+ECROcJhguM5okWeMUQxMQT3PxPRguQqQU/uWXX6YxnnfLkw5Cduyga0LCWPazIZRN97pPnz74UWIJsr4sg5Njx47R/+ADQ2q6koT9KDd+KJNUGFhTApfmG/MdgTlmQy+E1jvTSHVpCEErXKwYq60nGKAfmSLqOgsyxLt27aKCrr32WhLGxJNk+5PQxj9Un+xmsX37duKF8kY42eV3332XOMGMGTNkbxKfzycRKXLSzogEXcDqbdq0aerUqfJX5r6SCNm7d2///v0JaoWmXMpSR/Tgdu7cSbqouLiYMcSVV15JPIdvUSO+QuGIk8sAheHF+vXrv/vd73IcrSKXSYdRXuc/rynhgtzdqWHEiBEYYjq8Hb0YQptgbBTBXjN99giadfQkNzfXqYExSlsTgRcBfVbomBEpsoFxaftODTfddFMEF6GTtYBcZyGrCfFBEsYyYUJSWrITiUwOxeRi/fC+GFvJLsuSulu2bJG9ScaMGUNOzfurNEaILuCYjx8//txzzxFIGTVqVPOt93CiuKXQlMt77rmHuJlMGpTlZ9EznARZltBmfDgztG3Dhg0ML3bs2JGamio/oUuI5w4EAnQGL7Qanywi7byBcldUVEycONF5Rhow/Qnv71YRmNq6dWtENt6IrBXOycn52c9+FqklWSixiHQa6PDhU72/IiLb50UKRj8yB81pgtaHHY/gi2Q4Bu+VSEun+U+fPt15RtZgjxSrV69OS0vrtHnsw4Oc9ytZnB+zKf/ecsst5y4w0nzDkrfeequj9xO6pOgCk79kbx/+uuA0jWHDhskepbKXIgNc2mpJSQlq8eabb5aWlhL/FBXhJ3Tr6MfxLWNrvsIr04XnMw5S5kXL8QceeIDgDP6eH7bQv9DkL8MwjC6ELTDSdbkUZ2Wfu4sfMRmGnqH9jpoTWcdMJ4CgUAQXQooIdHRWrVp17733OmUsXrz4rrvu0jb5Kzs7e/z48dqWE9m2bRujNwRzmqBPjM5fd911ThN0x9esWTN79mynjFdfffWf/umfIjWvInzHLKuLSIiRwQ+xpcbGRsQgskhZEeQjpk0eura2Fs8q24FPmzZNEotkFhg6h5NGMcccPl1728f2ce7cS2LaaGR9fT0a2WLyRWjbx4jAc2E9tcUbhXa/httxSESkM6fDhAP2jhrU9k4RUhE6ausmjx0NCk9BaXvVVcyLQoU/e/YsvjBSaeaLbPvYgvXr1+OGGTNQJu+88w6xdJzxzp076VR9+OGHGECus2/fPgTD03/88cfIuS8IvpngJSnCcDoTtu1j+OgyeReBLhumByWgQ4e9RiEkuE1fj2A1KVLZdREFWrduHSpFDokMJXFpNKz5FTgiv+InhYWFaB49Pi7It2gbg3XXkaCaHbG5vUfwfM23lNED/WttXtl9tee0U0aPIE4ZdEMVKjzDO7UK/41MYpd9ycaMGROaz4UuIQxpQfqglBUlFtp9i9NkX8j09HQSi1hdVQvjRwdd410UlKb5XqEoR2iX4tWrVxPEI5ZCdAVnjNEcMGBAXV2dvHXHT/C+nM9BuQI/4cOePXs4c/Lkyfv37z9z5gw9Pvn2tttucx0J/U1ure2lAkqVYnzwwQedMuhF/fznP9fmbzZu3Ij6XWjWzDcF4xi6fai00wTd4oMHD7bIHH3j0H1fu3bt/fff75TBYONXv/pV5y9iGpr4KfO5aHdXX321rFoos8Ba0HzaF87bGZGma+SY8biHDx+WJZ1dMO/LB7yvTAojZcsouaysjG4d/biTJ0/Sp3PBrRo4Qp+Og3wOXeHmm2/mVzhm6RuWl5fjtmmr/HuuBbHJX4ZhdEVs8lfXxZbkbIWIT/5iAKFtISQ6JdnZ2XfffbdTxuuvv37XXXdpy+a+//77jBK0Tf7avn07kSFtwxd6w+h8RN7EiyAnTpxgxHznnXc6ZSxatOiHP/xh50/+6hzMMYdPNCyrhBen8ft8vtGjRxOVJVUs+TaG1CSSZQkRDERonblvcAICAgwdOtQpg9DZt771LaePjIwMhYtmEMRWmDcdOHCgwrJC4RXuhkkP5rwR2m8cFD6CkyowhsuXL3eekRna3pPfmZmZM2bMcEYYRINjfumll6ZOnVpTU0NqBO/LgBs3Q/iasakLrtZL4JpRb2iduQceeMB9Q+ACI7usRETAoOucKN6/f3+Fk79QocguKxERSM0oLCsKSqfC6xy6kVOL4OQvQk0RWUTl6NGjVKJ3nbd9qMInGhwz9S2zurCY6enptbW1DJf37dsni5DIVmWy8ZysM+e+OT755JM9e/bccccdThOBQGDVqlW//OUvnTJWrFgxZ84cbZO/cnNzp0yZom3yF3pFt699u1t2HOXl5fSPb731VqcJcjerV6/+BjvoF2LZsmW//vWvIzX5i+vIbBuPkFEaMWKEwlBfFGM55lawyV+GYRhGZ9Jl3mOODsrKyj744AOnDAYQS5cudfp488036+vrnTLWrFmjal9ngchQYWGhU8aRI0fWr1/vlOH3+xmbOn0sXrz47NmzThnZ2dk+n88ZnYjtqdepJCQkyNuBqiDkdcUVVzh9kJhQOKFp8ODBsgOPKnTm41F4hQtskS4dNmyY0wcRY4WVSELQVuzqZDQ65oqKCj3jJExwBEPZ6LfCaVY4P4XW0wUXTVRopwYMGKBw8lefPn0UllWPHj0UTvlRm5+K4HqcEWTgwIHaXlmMejQ65uLiYmJNzhtHjx5Fxb3vzYcfDe195p3KysqCgoK77rrLaSIQCKxYseJXv/qVUwbxxl/84hfaJn99+OGHU6ZM0RZjQK+IfEydOtVpgtwNzbmjF9RrKydPnnzvvfdQLacMMkoPPfRQ56/8dXHWrVs3Y8YMm/zVmWic/GUYhmEYlyxRO/lr9+7dCufClJeXK5wLw4hZ51wYBhAKJ38xgFC1oJIgK8A7ZZSWlubm5jplnDhxghCR08eSJUsUTv5as2ZNdXW1MzqRqJ38pXMBATLW3qPrEUc2XnX6SE1NVZg3JeWmcC6Mzp24UHhS8k4ZxIoVzsEEwsUKc8wpKSkKJ1VEN1HrmBMTExWqOOlSzLpTBo5Z4bqJLuiYFc7KTk5O1umYnT7UOmadPVEcs8LelU6Fj26iOZRdUFDglKE2lP3uu+86fRDKrqurc8pYu3atwlD2zp079+7d65Rx5MiRDRs2OGVoDmXLIoaqIJRt7zF3MlE7+YvnUjhidloFM6nCx6RqE1Zc4WNSGULUjpgLCwsVzoVhxJyXl+eUIa9LOX288847Cid/ffjhh1VVVU4ZxIcUjpjLyso2btzolMGIedWqVU4fhIgUTv4iRGSTvzqZqM0x23oL4aN2vQWdC4z0799f4XoLKLzCfDy5SVP48Bk0aJDCsanOFXWim6h1zJgDhSqekJCgcNYJdsqW5AyfIUOGaFvzxAVXwlGo8L169UK7nDJwM9o2BxN0LsmZmpqqUOGjm6gNZe/atWv37t1OGTo3sSCU/fbbbzt9vPnmmwonf61evdo2sQiTw4cPK5ztSCibLInTx+LFixVO/srOzlaYu4luonby1+eff35ZEKeJL4Io7BR/9tlnCsemOqXSqVqm8G3CFD58dEoV3UTtiHnPnj379u1zyqisrFT49ggj5vfee8/pY8WKFQonf+Xm5ip8ewSF//jjj50yCBFt3rzZKYMR8/vvv+/0sWzZMoWTvz766KOjR486oxOJ2hxz7969FfbT4+PjFS4EQXdY4XpkTutWhtSgwrkwOrO5KHxiYqJTBgWlU+EHDhyocKJA3759bfJXJ9Pt8ccfd9EIzqZnz57a9Ak3g1TaltHBFvTo0SMhIcEpg4LC32gzVSgVZaUtuIezoRK1KTylhFTaFJ5miFQKN9WOi4vTqfCUlUWzO5OoDWXv3Llz165dThlE9tauXeuUQSj7rbfecvp4/fXXFU7+ys7OJiXhlLF9+3aFS92VlJQQCHXK8Pv9Omc7vvbaawonf61atcomf3UyUeuYn3322RdeeMEpY/ny5f/93//tlLFly5Z58+Y5fRDOwd84ZfzzP//zypUrnTL++Mc/vvzyy04Zb7zxxn/+5386ZWzcuPGxxx5z+qCsFA4nfvOb3+hMyUcxUZtjnjx5ssL05KRJkxROScvKyrr66qudPqhEZHPKuO22266//nqnjClTpijcH2XatGkK5w1NnTr1hhtucPpAMIUtcdasWddee60zOpGofV3q1KlTLjgjximDoFBKSopThk6pjh07pnCSjk6pTpw4Qd40JibGKcMqMXx0SqXTOEQ3UeuYDcMwDKMrErU5ZsMwDMPoiphjNgzDMAxFmGM2DMMwDEWYYzYMwzAMRZhjNgzDMAxFmGM2DMMwDEWYYzYMwzAMRZhjNgzDMAxFmGM2DMMwDEWYYzYMwzAMRZhjNgzDMAxFmGM2DMMwDEWYYzYMwzAMRZhjNgzDMAxFmGM2DMMwDEWYYzYMwzCa6LsAAAD6SURBVDAMRZhjNgzDMAxFmGM2DMMwDEWYYzYMwzAMRZhjNgzDMAxFmGM2DMMwDEWYYzYMwzAMRZhjNgzDMAxFmGM2DMMwDEWYYzYMwzAMRZhjNgzDMAxFmGM2DMMwDEWYYzYMwzAMRZhjNgzDMAxFmGM2DMMwDEWYYzYMwzAMRZhjNgzDMAxFmGM2DMMwDEWYYzYMwzAMRZhjNgzDMAxFmGM2DMMwDEWYYzYMwzAMRZhjNgzDMAxFmGM2DMMwDEWYYzYMwzAMRZhjNgzDMAxFmGM2DMMwDEWYYzYMwzAMRZhjNgzDMAxFmGM2DMMwDEWYYzYMwzAMRfw/AAAA///bFtjGAAAABklEQVQDANwG7SbnsBmhAAAAAElFTkSuQmCC" id="32" name="Picture"/>
                          <pic:cNvPicPr>
                            <a:picLocks noChangeArrowheads="1" noChangeAspect="1"/>
                          </pic:cNvPicPr>
                        </pic:nvPicPr>
                        <pic:blipFill>
                          <a:blip r:embed="rId30"/>
                          <a:stretch>
                            <a:fillRect/>
                          </a:stretch>
                        </pic:blipFill>
                        <pic:spPr bwMode="auto">
                          <a:xfrm>
                            <a:off x="0" y="0"/>
                            <a:ext cx="5334000" cy="1893240"/>
                          </a:xfrm>
                          <a:prstGeom prst="rect">
                            <a:avLst/>
                          </a:prstGeom>
                          <a:noFill/>
                          <a:ln w="9525">
                            <a:noFill/>
                            <a:headEnd/>
                            <a:tailEnd/>
                          </a:ln>
                        </pic:spPr>
                      </pic:pic>
                    </a:graphicData>
                  </a:graphic>
                </wp:inline>
              </w:drawing>
            </w:r>
            <w:r>
              <w:br/>
            </w:r>
          </w:p>
        </w:tc>
      </w:tr>
    </w:tbl>
    <w:bookmarkEnd w:id="33"/>
    <w:bookmarkEnd w:id="34"/>
    <w:bookmarkStart w:id="54" w:name="scriptural-and-hadith-foundations"/>
    <w:p>
      <w:pPr>
        <w:pStyle w:val="Heading2"/>
      </w:pPr>
      <w:r>
        <w:t xml:space="preserve">Scriptural and Hadith Foundations</w:t>
      </w:r>
    </w:p>
    <w:bookmarkStart w:id="39" w:name="X66e5250cc0f7f87546ea0669d207ecd433be5bc"/>
    <w:p>
      <w:pPr>
        <w:pStyle w:val="Heading3"/>
      </w:pPr>
      <w:r>
        <w:t xml:space="preserve">Qurʾanic evidence and Twelver hermeneutics</w:t>
      </w:r>
    </w:p>
    <w:p>
      <w:pPr>
        <w:pStyle w:val="FirstParagraph"/>
      </w:pPr>
      <w:r>
        <w:t xml:space="preserve">Twelver scholars typically argue</w:t>
      </w:r>
      <w:r>
        <w:t xml:space="preserve"> </w:t>
      </w:r>
      <w:r>
        <w:rPr>
          <w:b/>
          <w:bCs/>
        </w:rPr>
        <w:t xml:space="preserve">cumulatively</w:t>
      </w:r>
      <w:r>
        <w:t xml:space="preserve">, not by claiming that a single verse, read in isolation, proves the entire doctrine. The most frequently cited verse is</w:t>
      </w:r>
      <w:r>
        <w:t xml:space="preserve"> </w:t>
      </w:r>
      <w:r>
        <w:rPr>
          <w:b/>
          <w:bCs/>
        </w:rPr>
        <w:t xml:space="preserve">Qurʾan 33:33</w:t>
      </w:r>
      <w:r>
        <w:t xml:space="preserve">, the so-called</w:t>
      </w:r>
      <w:r>
        <w:t xml:space="preserve"> </w:t>
      </w:r>
      <w:r>
        <w:rPr>
          <w:b/>
          <w:bCs/>
        </w:rPr>
        <w:t xml:space="preserve">Verse of Purification</w:t>
      </w:r>
      <w:r>
        <w:t xml:space="preserve">. Twelver readings hold that God’s will to remove</w:t>
      </w:r>
      <w:r>
        <w:t xml:space="preserve"> </w:t>
      </w:r>
      <w:r>
        <w:rPr>
          <w:i/>
          <w:iCs/>
        </w:rPr>
        <w:t xml:space="preserve">rijs</w:t>
      </w:r>
      <w:r>
        <w:t xml:space="preserve"> </w:t>
      </w:r>
      <w:r>
        <w:t xml:space="preserve">from the Prophet’s household and purify them “thoroughly” implies protection from religious and moral impurity. Twelver exegetical literature strongly emphasizes the grammatical shift in the surrounding passage—from feminine forms addressed to the wives of the Prophet to masculine plural forms—and couples the verse with the</w:t>
      </w:r>
      <w:r>
        <w:t xml:space="preserve"> </w:t>
      </w:r>
      <w:r>
        <w:rPr>
          <w:b/>
          <w:bCs/>
        </w:rPr>
        <w:t xml:space="preserve">cloak hadith</w:t>
      </w:r>
      <w:r>
        <w:t xml:space="preserve"> </w:t>
      </w:r>
      <w:r>
        <w:t xml:space="preserve">identifying ʿAlī, Fāṭimah, al-Ḥasan, and al-Ḥusayn as the core referents of</w:t>
      </w:r>
      <w:r>
        <w:t xml:space="preserve"> </w:t>
      </w:r>
      <w:r>
        <w:rPr>
          <w:i/>
          <w:iCs/>
        </w:rPr>
        <w:t xml:space="preserve">ahl al-bayt</w:t>
      </w:r>
      <w:r>
        <w:t xml:space="preserve">. Sunni hadith collections also preserve the cloak episode:</w:t>
      </w:r>
      <w:r>
        <w:t xml:space="preserve"> </w:t>
      </w:r>
      <w:r>
        <w:rPr>
          <w:i/>
          <w:iCs/>
        </w:rPr>
        <w:t xml:space="preserve">Ṣaḥīḥ Muslim</w:t>
      </w:r>
      <w:r>
        <w:t xml:space="preserve"> </w:t>
      </w:r>
      <w:r>
        <w:t xml:space="preserve">and</w:t>
      </w:r>
      <w:r>
        <w:t xml:space="preserve"> </w:t>
      </w:r>
      <w:r>
        <w:rPr>
          <w:i/>
          <w:iCs/>
        </w:rPr>
        <w:t xml:space="preserve">Jāmiʿ al-Tirmidhī</w:t>
      </w:r>
      <w:r>
        <w:t xml:space="preserve"> </w:t>
      </w:r>
      <w:r>
        <w:t xml:space="preserve">report that the Prophet gathered these figures under his cloak and invoked purification for them. Twelver writers take the verse-plus-hadith complex as a foundational proof of the purified family’s exceptional authority.</w:t>
      </w:r>
      <w:r>
        <w:t xml:space="preserve"> </w:t>
      </w:r>
      <w:hyperlink r:id="rId35">
        <w:r>
          <w:rPr>
            <w:rStyle w:val="Hyperlink"/>
          </w:rPr>
          <w:t xml:space="preserve">[10]</w:t>
        </w:r>
      </w:hyperlink>
    </w:p>
    <w:p>
      <w:pPr>
        <w:pStyle w:val="BodyText"/>
      </w:pPr>
      <w:r>
        <w:t xml:space="preserve">A second central text is</w:t>
      </w:r>
      <w:r>
        <w:t xml:space="preserve"> </w:t>
      </w:r>
      <w:r>
        <w:rPr>
          <w:b/>
          <w:bCs/>
        </w:rPr>
        <w:t xml:space="preserve">Qurʾan 4:59</w:t>
      </w:r>
      <w:r>
        <w:t xml:space="preserve">, the</w:t>
      </w:r>
      <w:r>
        <w:t xml:space="preserve"> </w:t>
      </w:r>
      <w:r>
        <w:rPr>
          <w:b/>
          <w:bCs/>
        </w:rPr>
        <w:t xml:space="preserve">Verse of Obedience</w:t>
      </w:r>
      <w:r>
        <w:t xml:space="preserve">: obey God, obey the Messenger, and those vested with authority among you. Twelver argumentation reasons that if obedience to</w:t>
      </w:r>
      <w:r>
        <w:t xml:space="preserve"> </w:t>
      </w:r>
      <w:r>
        <w:rPr>
          <w:i/>
          <w:iCs/>
        </w:rPr>
        <w:t xml:space="preserve">ulū al-amr</w:t>
      </w:r>
      <w:r>
        <w:t xml:space="preserve"> </w:t>
      </w:r>
      <w:r>
        <w:t xml:space="preserve">is commanded unconditionally alongside obedience to God and the Messenger, then those authorities cannot be liable to religious error or sinful command; otherwise the verse would authorize contradiction. Twelver expositions on the verse therefore identify</w:t>
      </w:r>
      <w:r>
        <w:t xml:space="preserve"> </w:t>
      </w:r>
      <w:r>
        <w:rPr>
          <w:i/>
          <w:iCs/>
        </w:rPr>
        <w:t xml:space="preserve">ulū al-amr</w:t>
      </w:r>
      <w:r>
        <w:t xml:space="preserve"> </w:t>
      </w:r>
      <w:r>
        <w:t xml:space="preserve">with the maʿṣūm Imams. Sunni tafsirs, by contrast, commonly interpret</w:t>
      </w:r>
      <w:r>
        <w:t xml:space="preserve"> </w:t>
      </w:r>
      <w:r>
        <w:rPr>
          <w:i/>
          <w:iCs/>
        </w:rPr>
        <w:t xml:space="preserve">ulū al-amr</w:t>
      </w:r>
      <w:r>
        <w:t xml:space="preserve"> </w:t>
      </w:r>
      <w:r>
        <w:t xml:space="preserve">as rulers, military commanders, or scholars rather than infallible descendants. The disagreement here is not simply over an office-holder; it is over whether the grammar of obedience implies impeccability.</w:t>
      </w:r>
      <w:r>
        <w:t xml:space="preserve"> </w:t>
      </w:r>
      <w:hyperlink r:id="rId36">
        <w:r>
          <w:rPr>
            <w:rStyle w:val="Hyperlink"/>
          </w:rPr>
          <w:t xml:space="preserve">[11]</w:t>
        </w:r>
      </w:hyperlink>
    </w:p>
    <w:p>
      <w:pPr>
        <w:pStyle w:val="BodyText"/>
      </w:pPr>
      <w:r>
        <w:t xml:space="preserve">A third proof-text is</w:t>
      </w:r>
      <w:r>
        <w:t xml:space="preserve"> </w:t>
      </w:r>
      <w:r>
        <w:rPr>
          <w:b/>
          <w:bCs/>
        </w:rPr>
        <w:t xml:space="preserve">Qurʾan 2:124</w:t>
      </w:r>
      <w:r>
        <w:t xml:space="preserve">, where Abraham is told, “My covenant does not reach the wrongdoers.” In a major narration in</w:t>
      </w:r>
      <w:r>
        <w:t xml:space="preserve"> </w:t>
      </w:r>
      <w:r>
        <w:rPr>
          <w:i/>
          <w:iCs/>
        </w:rPr>
        <w:t xml:space="preserve">al-Kāfī</w:t>
      </w:r>
      <w:r>
        <w:t xml:space="preserve">, Imam al-Riḍā links this verse directly to imāmah and argues that it invalidates the imamate of any wrongdoer. Twelver theologians infer that the divine covenant of imāmah can belong only to one who is never truly designated by</w:t>
      </w:r>
      <w:r>
        <w:t xml:space="preserve"> </w:t>
      </w:r>
      <w:r>
        <w:rPr>
          <w:i/>
          <w:iCs/>
        </w:rPr>
        <w:t xml:space="preserve">ẓulm</w:t>
      </w:r>
      <w:r>
        <w:t xml:space="preserve"> </w:t>
      </w:r>
      <w:r>
        <w:t xml:space="preserve">in the relevant moral-theological sense. Sunni exegetes typically read the exclusion more narrowly, often taking it to refer primarily to disbelievers or current wrongdoers rather than construing it as a technical proof of lifelong impeccability.</w:t>
      </w:r>
      <w:r>
        <w:t xml:space="preserve"> </w:t>
      </w:r>
      <w:hyperlink r:id="rId37">
        <w:r>
          <w:rPr>
            <w:rStyle w:val="Hyperlink"/>
          </w:rPr>
          <w:t xml:space="preserve">[12]</w:t>
        </w:r>
      </w:hyperlink>
    </w:p>
    <w:p>
      <w:pPr>
        <w:pStyle w:val="BodyText"/>
      </w:pPr>
      <w:r>
        <w:t xml:space="preserve">Twelver literature also invokes</w:t>
      </w:r>
      <w:r>
        <w:t xml:space="preserve"> </w:t>
      </w:r>
      <w:r>
        <w:rPr>
          <w:b/>
          <w:bCs/>
        </w:rPr>
        <w:t xml:space="preserve">Qurʾan 3:61</w:t>
      </w:r>
      <w:r>
        <w:t xml:space="preserve">, the</w:t>
      </w:r>
      <w:r>
        <w:t xml:space="preserve"> </w:t>
      </w:r>
      <w:r>
        <w:rPr>
          <w:b/>
          <w:bCs/>
        </w:rPr>
        <w:t xml:space="preserve">Mubāhalah verse</w:t>
      </w:r>
      <w:r>
        <w:t xml:space="preserve">, because the Prophet reportedly brought only ʿAlī, Fāṭimah, al-Ḥasan, and al-Ḥusayn to the mutual imprecation with the Najrān Christians. Twelver scholars do not usually argue that this verse alone proves ʿismah, but they use it to reinforce the idea that the Prophet publicly singled out this household as the most trustworthy and spiritually elevated human representatives of Islam. In combination with 33:33 and the cloak hadith, the Mubāhalah narrative functions as an important corroborative text.</w:t>
      </w:r>
      <w:r>
        <w:t xml:space="preserve"> </w:t>
      </w:r>
      <w:hyperlink r:id="rId38">
        <w:r>
          <w:rPr>
            <w:rStyle w:val="Hyperlink"/>
          </w:rPr>
          <w:t xml:space="preserve">[13]</w:t>
        </w:r>
      </w:hyperlink>
    </w:p>
    <w:bookmarkEnd w:id="39"/>
    <w:bookmarkStart w:id="44" w:name="key-hadiths-and-their-doctrinal-function"/>
    <w:p>
      <w:pPr>
        <w:pStyle w:val="Heading3"/>
      </w:pPr>
      <w:r>
        <w:t xml:space="preserve">Key hadiths and their doctrinal function</w:t>
      </w:r>
    </w:p>
    <w:p>
      <w:pPr>
        <w:pStyle w:val="FirstParagraph"/>
      </w:pPr>
      <w:r>
        <w:t xml:space="preserve">Among hadiths,</w:t>
      </w:r>
      <w:r>
        <w:t xml:space="preserve"> </w:t>
      </w:r>
      <w:r>
        <w:rPr>
          <w:b/>
          <w:bCs/>
        </w:rPr>
        <w:t xml:space="preserve">Ḥadīth al-Thaqalayn</w:t>
      </w:r>
      <w:r>
        <w:t xml:space="preserve"> </w:t>
      </w:r>
      <w:r>
        <w:t xml:space="preserve">is arguably the most important for Twelver constructions of continuing, reliable guidance. In</w:t>
      </w:r>
      <w:r>
        <w:t xml:space="preserve"> </w:t>
      </w:r>
      <w:r>
        <w:rPr>
          <w:i/>
          <w:iCs/>
        </w:rPr>
        <w:t xml:space="preserve">Ṣaḥīḥ Muslim</w:t>
      </w:r>
      <w:r>
        <w:t xml:space="preserve">, the Prophet says he is leaving behind</w:t>
      </w:r>
      <w:r>
        <w:t xml:space="preserve"> </w:t>
      </w:r>
      <w:r>
        <w:rPr>
          <w:b/>
          <w:bCs/>
        </w:rPr>
        <w:t xml:space="preserve">“two weighty things”</w:t>
      </w:r>
      <w:r>
        <w:t xml:space="preserve">: the Book of God and his family/household. In</w:t>
      </w:r>
      <w:r>
        <w:t xml:space="preserve"> </w:t>
      </w:r>
      <w:r>
        <w:rPr>
          <w:i/>
          <w:iCs/>
        </w:rPr>
        <w:t xml:space="preserve">Jāmiʿ al-Tirmidhī</w:t>
      </w:r>
      <w:r>
        <w:t xml:space="preserve">, the report appears in a version adding that the Qurʾan and the Prophet’s family</w:t>
      </w:r>
      <w:r>
        <w:t xml:space="preserve"> </w:t>
      </w:r>
      <w:r>
        <w:rPr>
          <w:b/>
          <w:bCs/>
        </w:rPr>
        <w:t xml:space="preserve">“shall not split until they meet”</w:t>
      </w:r>
      <w:r>
        <w:t xml:space="preserve"> </w:t>
      </w:r>
      <w:r>
        <w:t xml:space="preserve">at the heavenly basin. Twelver scholars reason that if the Qurʾan is infallibly true and the household never parts from it as a source of guidance, then the designated household authorities must also be protected from religious deviation. This is one of the classic bridges from reverence to doctrinal infallibility.</w:t>
      </w:r>
      <w:r>
        <w:t xml:space="preserve"> </w:t>
      </w:r>
      <w:hyperlink r:id="rId40">
        <w:r>
          <w:rPr>
            <w:rStyle w:val="Hyperlink"/>
          </w:rPr>
          <w:t xml:space="preserve">[14]</w:t>
        </w:r>
      </w:hyperlink>
    </w:p>
    <w:p>
      <w:pPr>
        <w:pStyle w:val="BodyText"/>
      </w:pPr>
      <w:r>
        <w:t xml:space="preserve">Within the specifically Imami hadith corpus,</w:t>
      </w:r>
      <w:r>
        <w:t xml:space="preserve"> </w:t>
      </w:r>
      <w:r>
        <w:rPr>
          <w:i/>
          <w:iCs/>
        </w:rPr>
        <w:t xml:space="preserve">al-Kāfī</w:t>
      </w:r>
      <w:r>
        <w:t xml:space="preserve"> </w:t>
      </w:r>
      <w:r>
        <w:t xml:space="preserve">preserves a number of reports that move from implication to direct assertion. One notable report states:</w:t>
      </w:r>
      <w:r>
        <w:t xml:space="preserve"> </w:t>
      </w:r>
      <w:r>
        <w:rPr>
          <w:b/>
          <w:bCs/>
        </w:rPr>
        <w:t xml:space="preserve">“We are the translators of the commands of Allah… We are infallible people”</w:t>
      </w:r>
      <w:r>
        <w:t xml:space="preserve">, presenting the Imams as divinely authorized interpreters whose obedience is obligatory. Another major narration from Imam al-Riḍā in</w:t>
      </w:r>
      <w:r>
        <w:t xml:space="preserve"> </w:t>
      </w:r>
      <w:r>
        <w:rPr>
          <w:i/>
          <w:iCs/>
        </w:rPr>
        <w:t xml:space="preserve">al-Kāfī</w:t>
      </w:r>
      <w:r>
        <w:t xml:space="preserve"> </w:t>
      </w:r>
      <w:r>
        <w:t xml:space="preserve">explicitly ties completion of religion to the matter of imāmah and cites Abraham’s covenant to exclude wrongdoers from divine leadership. These reports are especially significant because they show how Twelver hadith literature itself connects textual interpretation, designation, and ʿismah.</w:t>
      </w:r>
      <w:r>
        <w:t xml:space="preserve"> </w:t>
      </w:r>
      <w:hyperlink r:id="rId41">
        <w:r>
          <w:rPr>
            <w:rStyle w:val="Hyperlink"/>
          </w:rPr>
          <w:t xml:space="preserve">[15]</w:t>
        </w:r>
      </w:hyperlink>
    </w:p>
    <w:p>
      <w:pPr>
        <w:pStyle w:val="BodyText"/>
      </w:pPr>
      <w:r>
        <w:t xml:space="preserve">The rationally framed hadith-theological material of</w:t>
      </w:r>
      <w:r>
        <w:t xml:space="preserve"> </w:t>
      </w:r>
      <w:r>
        <w:rPr>
          <w:b/>
          <w:bCs/>
        </w:rPr>
        <w:t xml:space="preserve">al-Ṣadūq</w:t>
      </w:r>
      <w:r>
        <w:t xml:space="preserve"> </w:t>
      </w:r>
      <w:r>
        <w:t xml:space="preserve">is also important. In</w:t>
      </w:r>
      <w:r>
        <w:t xml:space="preserve"> </w:t>
      </w:r>
      <w:r>
        <w:rPr>
          <w:i/>
          <w:iCs/>
        </w:rPr>
        <w:t xml:space="preserve">Maʿānī al-Akhbār</w:t>
      </w:r>
      <w:r>
        <w:t xml:space="preserve">, al-Ṣadūq argues that because Qurʾan and Sunna admit multiple interpretations, each age requires a</w:t>
      </w:r>
      <w:r>
        <w:t xml:space="preserve"> </w:t>
      </w:r>
      <w:r>
        <w:rPr>
          <w:b/>
          <w:bCs/>
        </w:rPr>
        <w:t xml:space="preserve">truthful interpreter protected from deliberate lying and error</w:t>
      </w:r>
      <w:r>
        <w:t xml:space="preserve">; otherwise God would have left the community to contradictory understandings without a decisive guide. This text is especially revealing because it makes explicit a structural claim often only implied elsewhere: ʿismah is necessary not merely for moral example but for the possibility of determinate religion after the Prophet.</w:t>
      </w:r>
      <w:r>
        <w:t xml:space="preserve"> </w:t>
      </w:r>
      <w:hyperlink r:id="rId42">
        <w:r>
          <w:rPr>
            <w:rStyle w:val="Hyperlink"/>
          </w:rPr>
          <w:t xml:space="preserve">[16]</w:t>
        </w:r>
      </w:hyperlink>
    </w:p>
    <w:p>
      <w:pPr>
        <w:pStyle w:val="BodyText"/>
      </w:pPr>
      <w:r>
        <w:t xml:space="preserve">Even texts not formally part of the Four Books enter the evidentiary field. Twelver readers often invoke</w:t>
      </w:r>
      <w:r>
        <w:t xml:space="preserve"> </w:t>
      </w:r>
      <w:r>
        <w:rPr>
          <w:b/>
          <w:bCs/>
        </w:rPr>
        <w:t xml:space="preserve">Nahj al-Balāghah</w:t>
      </w:r>
      <w:r>
        <w:t xml:space="preserve">, especially the sermon that tells believers to look to the Prophet’s family, follow their direction, not precede them, and not lag behind them lest they be destroyed. Although</w:t>
      </w:r>
      <w:r>
        <w:t xml:space="preserve"> </w:t>
      </w:r>
      <w:r>
        <w:rPr>
          <w:i/>
          <w:iCs/>
        </w:rPr>
        <w:t xml:space="preserve">Nahj al-Balāghah</w:t>
      </w:r>
      <w:r>
        <w:t xml:space="preserve"> </w:t>
      </w:r>
      <w:r>
        <w:t xml:space="preserve">is not a hadith collection with full isnāds in the same sense as the Four Books, it has had immense doctrinal and ethical influence in Shiʿi thought, and this passage is regularly used to support the exclusive reliability of the Ahl al-Bayt as guides.</w:t>
      </w:r>
      <w:r>
        <w:t xml:space="preserve"> </w:t>
      </w:r>
      <w:hyperlink r:id="rId43">
        <w:r>
          <w:rPr>
            <w:rStyle w:val="Hyperlink"/>
          </w:rPr>
          <w:t xml:space="preserve">[17]</w:t>
        </w:r>
      </w:hyperlink>
    </w:p>
    <w:bookmarkEnd w:id="44"/>
    <w:bookmarkStart w:id="48" w:name="the-four-books-and-related-primary-texts"/>
    <w:p>
      <w:pPr>
        <w:pStyle w:val="Heading3"/>
      </w:pPr>
      <w:r>
        <w:t xml:space="preserve">The Four Books and related primary texts</w:t>
      </w:r>
    </w:p>
    <w:p>
      <w:pPr>
        <w:pStyle w:val="FirstParagraph"/>
      </w:pPr>
      <w:r>
        <w:t xml:space="preserve">The following table summarizes major primary source clusters most relevant to Twelver constructions of ʿismah.</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Source</w:t>
            </w:r>
          </w:p>
        </w:tc>
        <w:tc>
          <w:tcPr/>
          <w:p>
            <w:pPr>
              <w:pStyle w:val="Compact"/>
            </w:pPr>
            <w:r>
              <w:t xml:space="preserve">Type of evidence</w:t>
            </w:r>
          </w:p>
        </w:tc>
        <w:tc>
          <w:tcPr/>
          <w:p>
            <w:pPr>
              <w:pStyle w:val="Compact"/>
            </w:pPr>
            <w:r>
              <w:t xml:space="preserve">Illustrative doctrinal use in Twelver thought</w:t>
            </w:r>
          </w:p>
        </w:tc>
      </w:tr>
      <w:tr>
        <w:tc>
          <w:tcPr/>
          <w:p>
            <w:pPr>
              <w:pStyle w:val="Compact"/>
            </w:pPr>
            <w:r>
              <w:rPr>
                <w:i/>
                <w:iCs/>
              </w:rPr>
              <w:t xml:space="preserve">al-Kāfī</w:t>
            </w:r>
            <w:r>
              <w:t xml:space="preserve"> </w:t>
            </w:r>
            <w:r>
              <w:t xml:space="preserve">of al-Kulaynī</w:t>
            </w:r>
          </w:p>
        </w:tc>
        <w:tc>
          <w:tcPr/>
          <w:p>
            <w:pPr>
              <w:pStyle w:val="Compact"/>
            </w:pPr>
            <w:r>
              <w:t xml:space="preserve">Hadith corpus in theology and law</w:t>
            </w:r>
          </w:p>
        </w:tc>
        <w:tc>
          <w:tcPr/>
          <w:p>
            <w:pPr>
              <w:pStyle w:val="Compact"/>
            </w:pPr>
            <w:r>
              <w:t xml:space="preserve">Reports linking imāmah to completion of religion, Abrahamic covenant, and explicit claims of the Imams’ infallibility; core source for later kalām and fiqh.</w:t>
            </w:r>
            <w:r>
              <w:t xml:space="preserve"> </w:t>
            </w:r>
            <w:hyperlink r:id="rId37">
              <w:r>
                <w:rPr>
                  <w:rStyle w:val="Hyperlink"/>
                </w:rPr>
                <w:t xml:space="preserve">[18]</w:t>
              </w:r>
            </w:hyperlink>
          </w:p>
        </w:tc>
      </w:tr>
      <w:tr>
        <w:tc>
          <w:tcPr/>
          <w:p>
            <w:pPr>
              <w:pStyle w:val="Compact"/>
            </w:pPr>
            <w:r>
              <w:rPr>
                <w:i/>
                <w:iCs/>
              </w:rPr>
              <w:t xml:space="preserve">Man lā yaḥḍuruhu al-Faqīh</w:t>
            </w:r>
            <w:r>
              <w:t xml:space="preserve"> </w:t>
            </w:r>
            <w:r>
              <w:t xml:space="preserve">of al-Ṣadūq</w:t>
            </w:r>
          </w:p>
        </w:tc>
        <w:tc>
          <w:tcPr/>
          <w:p>
            <w:pPr>
              <w:pStyle w:val="Compact"/>
            </w:pPr>
            <w:r>
              <w:t xml:space="preserve">Hadith-juristic compendium</w:t>
            </w:r>
          </w:p>
        </w:tc>
        <w:tc>
          <w:tcPr/>
          <w:p>
            <w:pPr>
              <w:pStyle w:val="Compact"/>
            </w:pPr>
            <w:r>
              <w:t xml:space="preserve">Preserves normative teachings of the Imams and stands close to al-Ṣadūq’s creed, even as al-Ṣadūq’s own stance on</w:t>
            </w:r>
            <w:r>
              <w:t xml:space="preserve"> </w:t>
            </w:r>
            <w:r>
              <w:rPr>
                <w:i/>
                <w:iCs/>
              </w:rPr>
              <w:t xml:space="preserve">sahw al-nabī</w:t>
            </w:r>
            <w:r>
              <w:t xml:space="preserve"> </w:t>
            </w:r>
            <w:r>
              <w:t xml:space="preserve">later becomes controversial.</w:t>
            </w:r>
            <w:r>
              <w:t xml:space="preserve"> </w:t>
            </w:r>
            <w:hyperlink r:id="rId29">
              <w:r>
                <w:rPr>
                  <w:rStyle w:val="Hyperlink"/>
                </w:rPr>
                <w:t xml:space="preserve">[19]</w:t>
              </w:r>
            </w:hyperlink>
          </w:p>
        </w:tc>
      </w:tr>
      <w:tr>
        <w:tc>
          <w:tcPr/>
          <w:p>
            <w:pPr>
              <w:pStyle w:val="Compact"/>
            </w:pPr>
            <w:r>
              <w:rPr>
                <w:i/>
                <w:iCs/>
              </w:rPr>
              <w:t xml:space="preserve">Tahdhīb al-Aḥkām</w:t>
            </w:r>
            <w:r>
              <w:t xml:space="preserve"> </w:t>
            </w:r>
            <w:r>
              <w:t xml:space="preserve">and</w:t>
            </w:r>
            <w:r>
              <w:t xml:space="preserve"> </w:t>
            </w:r>
            <w:r>
              <w:rPr>
                <w:i/>
                <w:iCs/>
              </w:rPr>
              <w:t xml:space="preserve">al-Istibṣār</w:t>
            </w:r>
            <w:r>
              <w:t xml:space="preserve"> </w:t>
            </w:r>
            <w:r>
              <w:t xml:space="preserve">of al-Ṭūsī</w:t>
            </w:r>
          </w:p>
        </w:tc>
        <w:tc>
          <w:tcPr/>
          <w:p>
            <w:pPr>
              <w:pStyle w:val="Compact"/>
            </w:pPr>
            <w:r>
              <w:t xml:space="preserve">Hadith-juristic and reconciliation literature</w:t>
            </w:r>
          </w:p>
        </w:tc>
        <w:tc>
          <w:tcPr/>
          <w:p>
            <w:pPr>
              <w:pStyle w:val="Compact"/>
            </w:pPr>
            <w:r>
              <w:t xml:space="preserve">Show how law in the age of occultation is still built from the reports of the maʿṣūmūn, and how conflicting reports are reconciled without conceding fallibility to the Imams.</w:t>
            </w:r>
            <w:r>
              <w:t xml:space="preserve"> </w:t>
            </w:r>
            <w:hyperlink r:id="rId29">
              <w:r>
                <w:rPr>
                  <w:rStyle w:val="Hyperlink"/>
                </w:rPr>
                <w:t xml:space="preserve">[20]</w:t>
              </w:r>
            </w:hyperlink>
          </w:p>
        </w:tc>
      </w:tr>
      <w:tr>
        <w:tc>
          <w:tcPr/>
          <w:p>
            <w:pPr>
              <w:pStyle w:val="Compact"/>
            </w:pPr>
            <w:r>
              <w:rPr>
                <w:i/>
                <w:iCs/>
              </w:rPr>
              <w:t xml:space="preserve">al-Iʿtiqādāt</w:t>
            </w:r>
            <w:r>
              <w:t xml:space="preserve"> </w:t>
            </w:r>
            <w:r>
              <w:t xml:space="preserve">of al-Ṣadūq</w:t>
            </w:r>
          </w:p>
        </w:tc>
        <w:tc>
          <w:tcPr/>
          <w:p>
            <w:pPr>
              <w:pStyle w:val="Compact"/>
            </w:pPr>
            <w:r>
              <w:t xml:space="preserve">Creed</w:t>
            </w:r>
          </w:p>
        </w:tc>
        <w:tc>
          <w:tcPr/>
          <w:p>
            <w:pPr>
              <w:pStyle w:val="Compact"/>
            </w:pPr>
            <w:r>
              <w:t xml:space="preserve">States straightforwardly that prophets, apostles, Imams, and angels are maʿṣūm and free from major and minor sins.</w:t>
            </w:r>
            <w:r>
              <w:t xml:space="preserve"> </w:t>
            </w:r>
            <w:hyperlink r:id="rId21">
              <w:r>
                <w:rPr>
                  <w:rStyle w:val="Hyperlink"/>
                </w:rPr>
                <w:t xml:space="preserve">[21]</w:t>
              </w:r>
            </w:hyperlink>
          </w:p>
        </w:tc>
      </w:tr>
      <w:tr>
        <w:tc>
          <w:tcPr/>
          <w:p>
            <w:pPr>
              <w:pStyle w:val="Compact"/>
            </w:pPr>
            <w:r>
              <w:rPr>
                <w:i/>
                <w:iCs/>
              </w:rPr>
              <w:t xml:space="preserve">Taṣḥīḥ al-Iʿtiqād</w:t>
            </w:r>
            <w:r>
              <w:t xml:space="preserve"> </w:t>
            </w:r>
            <w:r>
              <w:t xml:space="preserve">of al-Mufīd</w:t>
            </w:r>
          </w:p>
        </w:tc>
        <w:tc>
          <w:tcPr/>
          <w:p>
            <w:pPr>
              <w:pStyle w:val="Compact"/>
            </w:pPr>
            <w:r>
              <w:t xml:space="preserve">Kalām correction of al-Ṣadūq</w:t>
            </w:r>
          </w:p>
        </w:tc>
        <w:tc>
          <w:tcPr/>
          <w:p>
            <w:pPr>
              <w:pStyle w:val="Compact"/>
            </w:pPr>
            <w:r>
              <w:t xml:space="preserve">Defines ʿismah as divine grace and insists on a stronger account of freedom from sin and error.</w:t>
            </w:r>
            <w:r>
              <w:t xml:space="preserve"> </w:t>
            </w:r>
            <w:hyperlink r:id="rId45">
              <w:r>
                <w:rPr>
                  <w:rStyle w:val="Hyperlink"/>
                </w:rPr>
                <w:t xml:space="preserve">[22]</w:t>
              </w:r>
            </w:hyperlink>
          </w:p>
        </w:tc>
      </w:tr>
      <w:tr>
        <w:tc>
          <w:tcPr/>
          <w:p>
            <w:pPr>
              <w:pStyle w:val="Compact"/>
            </w:pPr>
            <w:r>
              <w:rPr>
                <w:i/>
                <w:iCs/>
              </w:rPr>
              <w:t xml:space="preserve">Tanzīh al-Anbiyāʾ</w:t>
            </w:r>
            <w:r>
              <w:t xml:space="preserve"> </w:t>
            </w:r>
            <w:r>
              <w:t xml:space="preserve">of al-Murtaḍā</w:t>
            </w:r>
          </w:p>
        </w:tc>
        <w:tc>
          <w:tcPr/>
          <w:p>
            <w:pPr>
              <w:pStyle w:val="Compact"/>
            </w:pPr>
            <w:r>
              <w:t xml:space="preserve">Kalām defense of impeccable prophets</w:t>
            </w:r>
          </w:p>
        </w:tc>
        <w:tc>
          <w:tcPr/>
          <w:p>
            <w:pPr>
              <w:pStyle w:val="Compact"/>
            </w:pPr>
            <w:r>
              <w:t xml:space="preserve">Sharpens the hermeneutics used to interpret verses and reports that appear to describe prophetic error; deeply influential for later Shiʿi treatment of similar questions concerning Imams.</w:t>
            </w:r>
            <w:r>
              <w:t xml:space="preserve"> </w:t>
            </w:r>
            <w:hyperlink r:id="rId46">
              <w:r>
                <w:rPr>
                  <w:rStyle w:val="Hyperlink"/>
                </w:rPr>
                <w:t xml:space="preserve">[23]</w:t>
              </w:r>
            </w:hyperlink>
          </w:p>
        </w:tc>
      </w:tr>
      <w:tr>
        <w:tc>
          <w:tcPr/>
          <w:p>
            <w:pPr>
              <w:pStyle w:val="Compact"/>
            </w:pPr>
            <w:r>
              <w:rPr>
                <w:i/>
                <w:iCs/>
              </w:rPr>
              <w:t xml:space="preserve">Kitāb al-Ghaybah</w:t>
            </w:r>
            <w:r>
              <w:t xml:space="preserve"> </w:t>
            </w:r>
            <w:r>
              <w:t xml:space="preserve">of al-Ṭūsī</w:t>
            </w:r>
          </w:p>
        </w:tc>
        <w:tc>
          <w:tcPr/>
          <w:p>
            <w:pPr>
              <w:pStyle w:val="Compact"/>
            </w:pPr>
            <w:r>
              <w:t xml:space="preserve">Occultation theology</w:t>
            </w:r>
          </w:p>
        </w:tc>
        <w:tc>
          <w:tcPr/>
          <w:p>
            <w:pPr>
              <w:pStyle w:val="Compact"/>
            </w:pPr>
            <w:r>
              <w:t xml:space="preserve">Makes the Imam’s infallibility one of the basic rational principles of imāmah in every age.</w:t>
            </w:r>
            <w:r>
              <w:t xml:space="preserve"> </w:t>
            </w:r>
            <w:hyperlink r:id="rId47">
              <w:r>
                <w:rPr>
                  <w:rStyle w:val="Hyperlink"/>
                </w:rPr>
                <w:t xml:space="preserve">[24]</w:t>
              </w:r>
            </w:hyperlink>
          </w:p>
        </w:tc>
      </w:tr>
      <w:tr>
        <w:tc>
          <w:tcPr/>
          <w:p>
            <w:pPr>
              <w:pStyle w:val="Compact"/>
            </w:pPr>
            <w:r>
              <w:rPr>
                <w:i/>
                <w:iCs/>
              </w:rPr>
              <w:t xml:space="preserve">Nahj al-Balāghah</w:t>
            </w:r>
          </w:p>
        </w:tc>
        <w:tc>
          <w:tcPr/>
          <w:p>
            <w:pPr>
              <w:pStyle w:val="Compact"/>
            </w:pPr>
            <w:r>
              <w:t xml:space="preserve">Sermons, letters, sayings</w:t>
            </w:r>
          </w:p>
        </w:tc>
        <w:tc>
          <w:tcPr/>
          <w:p>
            <w:pPr>
              <w:pStyle w:val="Compact"/>
            </w:pPr>
            <w:r>
              <w:t xml:space="preserve">Supplies a powerful moral-epistemic image of the Ahl al-Bayt as never leading the community astray.</w:t>
            </w:r>
            <w:r>
              <w:t xml:space="preserve"> </w:t>
            </w:r>
            <w:hyperlink r:id="rId43">
              <w:r>
                <w:rPr>
                  <w:rStyle w:val="Hyperlink"/>
                </w:rPr>
                <w:t xml:space="preserve">[17]</w:t>
              </w:r>
            </w:hyperlink>
          </w:p>
        </w:tc>
      </w:tr>
      <w:tr>
        <w:tc>
          <w:tcPr/>
          <w:p>
            <w:pPr>
              <w:pStyle w:val="Compact"/>
            </w:pPr>
            <w:r>
              <w:rPr>
                <w:i/>
                <w:iCs/>
              </w:rPr>
              <w:t xml:space="preserve">Biḥār al-Anwār</w:t>
            </w:r>
            <w:r>
              <w:t xml:space="preserve"> </w:t>
            </w:r>
            <w:r>
              <w:t xml:space="preserve">of al-Majlisī</w:t>
            </w:r>
          </w:p>
        </w:tc>
        <w:tc>
          <w:tcPr/>
          <w:p>
            <w:pPr>
              <w:pStyle w:val="Compact"/>
            </w:pPr>
            <w:r>
              <w:t xml:space="preserve">Encyclopedic compilation</w:t>
            </w:r>
          </w:p>
        </w:tc>
        <w:tc>
          <w:tcPr/>
          <w:p>
            <w:pPr>
              <w:pStyle w:val="Compact"/>
            </w:pPr>
            <w:r>
              <w:t xml:space="preserve">Consolidates mature doctrine through dedicated chapters on the Imam’s ʿismah and the negation of forgetfulness.</w:t>
            </w:r>
            <w:r>
              <w:t xml:space="preserve"> </w:t>
            </w:r>
            <w:hyperlink r:id="rId27">
              <w:r>
                <w:rPr>
                  <w:rStyle w:val="Hyperlink"/>
                </w:rPr>
                <w:t xml:space="preserve">[25]</w:t>
              </w:r>
            </w:hyperlink>
          </w:p>
        </w:tc>
      </w:tr>
    </w:tbl>
    <w:bookmarkEnd w:id="48"/>
    <w:bookmarkStart w:id="53" w:name="comparative-map-of-the-major-proof-texts"/>
    <w:p>
      <w:pPr>
        <w:pStyle w:val="Heading3"/>
      </w:pPr>
      <w:r>
        <w:t xml:space="preserve">Comparative map of the major proof-texts</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Evidence</w:t>
            </w:r>
          </w:p>
        </w:tc>
        <w:tc>
          <w:tcPr/>
          <w:p>
            <w:pPr>
              <w:pStyle w:val="Compact"/>
            </w:pPr>
            <w:r>
              <w:t xml:space="preserve">Twelver inference</w:t>
            </w:r>
          </w:p>
        </w:tc>
        <w:tc>
          <w:tcPr/>
          <w:p>
            <w:pPr>
              <w:pStyle w:val="Compact"/>
            </w:pPr>
            <w:r>
              <w:t xml:space="preserve">Typical Sunni counter-reading</w:t>
            </w:r>
          </w:p>
        </w:tc>
        <w:tc>
          <w:tcPr/>
          <w:p>
            <w:pPr>
              <w:pStyle w:val="Compact"/>
            </w:pPr>
            <w:r>
              <w:t xml:space="preserve">Why the dispute matters</w:t>
            </w:r>
          </w:p>
        </w:tc>
      </w:tr>
      <w:tr>
        <w:tc>
          <w:tcPr/>
          <w:p>
            <w:pPr>
              <w:pStyle w:val="Compact"/>
            </w:pPr>
            <w:r>
              <w:t xml:space="preserve">Qurʾan 33:33 + cloak hadith</w:t>
            </w:r>
          </w:p>
        </w:tc>
        <w:tc>
          <w:tcPr/>
          <w:p>
            <w:pPr>
              <w:pStyle w:val="Compact"/>
            </w:pPr>
            <w:r>
              <w:t xml:space="preserve">Purification of the core Ahl al-Bayt implies ʿismah.</w:t>
            </w:r>
            <w:r>
              <w:t xml:space="preserve"> </w:t>
            </w:r>
            <w:hyperlink r:id="rId35">
              <w:r>
                <w:rPr>
                  <w:rStyle w:val="Hyperlink"/>
                </w:rPr>
                <w:t xml:space="preserve">[10]</w:t>
              </w:r>
            </w:hyperlink>
          </w:p>
        </w:tc>
        <w:tc>
          <w:tcPr/>
          <w:p>
            <w:pPr>
              <w:pStyle w:val="Compact"/>
            </w:pPr>
            <w:r>
              <w:t xml:space="preserve">Context includes wives of the Prophet; verse need not imply infallibility.</w:t>
            </w:r>
            <w:r>
              <w:t xml:space="preserve"> </w:t>
            </w:r>
            <w:hyperlink r:id="rId49">
              <w:r>
                <w:rPr>
                  <w:rStyle w:val="Hyperlink"/>
                </w:rPr>
                <w:t xml:space="preserve">[26]</w:t>
              </w:r>
            </w:hyperlink>
          </w:p>
        </w:tc>
        <w:tc>
          <w:tcPr/>
          <w:p>
            <w:pPr>
              <w:pStyle w:val="Compact"/>
            </w:pPr>
            <w:r>
              <w:t xml:space="preserve">Whether</w:t>
            </w:r>
            <w:r>
              <w:t xml:space="preserve"> </w:t>
            </w:r>
            <w:r>
              <w:rPr>
                <w:i/>
                <w:iCs/>
              </w:rPr>
              <w:t xml:space="preserve">ahl al-bayt</w:t>
            </w:r>
            <w:r>
              <w:t xml:space="preserve"> </w:t>
            </w:r>
            <w:r>
              <w:t xml:space="preserve">here is a technical locus of post-Prophetic authority.</w:t>
            </w:r>
          </w:p>
        </w:tc>
      </w:tr>
      <w:tr>
        <w:tc>
          <w:tcPr/>
          <w:p>
            <w:pPr>
              <w:pStyle w:val="Compact"/>
            </w:pPr>
            <w:r>
              <w:t xml:space="preserve">Qurʾan 4:59</w:t>
            </w:r>
          </w:p>
        </w:tc>
        <w:tc>
          <w:tcPr/>
          <w:p>
            <w:pPr>
              <w:pStyle w:val="Compact"/>
            </w:pPr>
            <w:r>
              <w:t xml:space="preserve">Unconditional obedience requires infallible</w:t>
            </w:r>
            <w:r>
              <w:t xml:space="preserve"> </w:t>
            </w:r>
            <w:r>
              <w:rPr>
                <w:i/>
                <w:iCs/>
              </w:rPr>
              <w:t xml:space="preserve">ulū al-amr</w:t>
            </w:r>
            <w:r>
              <w:t xml:space="preserve">.</w:t>
            </w:r>
            <w:r>
              <w:t xml:space="preserve"> </w:t>
            </w:r>
            <w:hyperlink r:id="rId36">
              <w:r>
                <w:rPr>
                  <w:rStyle w:val="Hyperlink"/>
                </w:rPr>
                <w:t xml:space="preserve">[27]</w:t>
              </w:r>
            </w:hyperlink>
          </w:p>
        </w:tc>
        <w:tc>
          <w:tcPr/>
          <w:p>
            <w:pPr>
              <w:pStyle w:val="Compact"/>
            </w:pPr>
            <w:r>
              <w:rPr>
                <w:i/>
                <w:iCs/>
              </w:rPr>
              <w:t xml:space="preserve">Ulū al-amr</w:t>
            </w:r>
            <w:r>
              <w:t xml:space="preserve"> </w:t>
            </w:r>
            <w:r>
              <w:t xml:space="preserve">means rulers or scholars; obedience is conditioned by obedience to God.</w:t>
            </w:r>
            <w:r>
              <w:t xml:space="preserve"> </w:t>
            </w:r>
            <w:hyperlink r:id="rId50">
              <w:r>
                <w:rPr>
                  <w:rStyle w:val="Hyperlink"/>
                </w:rPr>
                <w:t xml:space="preserve">[28]</w:t>
              </w:r>
            </w:hyperlink>
          </w:p>
        </w:tc>
        <w:tc>
          <w:tcPr/>
          <w:p>
            <w:pPr>
              <w:pStyle w:val="Compact"/>
            </w:pPr>
            <w:r>
              <w:t xml:space="preserve">Whether Qurʾan authorizes a continuing maʿṣūm authority.</w:t>
            </w:r>
          </w:p>
        </w:tc>
      </w:tr>
      <w:tr>
        <w:tc>
          <w:tcPr/>
          <w:p>
            <w:pPr>
              <w:pStyle w:val="Compact"/>
            </w:pPr>
            <w:r>
              <w:t xml:space="preserve">Qurʾan 2:124</w:t>
            </w:r>
          </w:p>
        </w:tc>
        <w:tc>
          <w:tcPr/>
          <w:p>
            <w:pPr>
              <w:pStyle w:val="Compact"/>
            </w:pPr>
            <w:r>
              <w:t xml:space="preserve">Divine covenant of imāmah excludes all wrongdoers; hence the Imam must be maʿṣūm.</w:t>
            </w:r>
            <w:r>
              <w:t xml:space="preserve"> </w:t>
            </w:r>
            <w:hyperlink r:id="rId37">
              <w:r>
                <w:rPr>
                  <w:rStyle w:val="Hyperlink"/>
                </w:rPr>
                <w:t xml:space="preserve">[29]</w:t>
              </w:r>
            </w:hyperlink>
          </w:p>
        </w:tc>
        <w:tc>
          <w:tcPr/>
          <w:p>
            <w:pPr>
              <w:pStyle w:val="Compact"/>
            </w:pPr>
            <w:r>
              <w:t xml:space="preserve">Exclusion is narrower, often read as disbelievers/current wrongdoers, not a proof of lifelong impeccability.</w:t>
            </w:r>
            <w:r>
              <w:t xml:space="preserve"> </w:t>
            </w:r>
            <w:hyperlink r:id="rId51">
              <w:r>
                <w:rPr>
                  <w:rStyle w:val="Hyperlink"/>
                </w:rPr>
                <w:t xml:space="preserve">[30]</w:t>
              </w:r>
            </w:hyperlink>
          </w:p>
        </w:tc>
        <w:tc>
          <w:tcPr/>
          <w:p>
            <w:pPr>
              <w:pStyle w:val="Compact"/>
            </w:pPr>
            <w:r>
              <w:t xml:space="preserve">Whether imāmah is a special divine covenant distinct from ordinary rule.</w:t>
            </w:r>
          </w:p>
        </w:tc>
      </w:tr>
      <w:tr>
        <w:tc>
          <w:tcPr/>
          <w:p>
            <w:pPr>
              <w:pStyle w:val="Compact"/>
            </w:pPr>
            <w:r>
              <w:t xml:space="preserve">Ḥadīth al-Thaqalayn</w:t>
            </w:r>
          </w:p>
        </w:tc>
        <w:tc>
          <w:tcPr/>
          <w:p>
            <w:pPr>
              <w:pStyle w:val="Compact"/>
            </w:pPr>
            <w:r>
              <w:t xml:space="preserve">Qurʾan and Ahl al-Bayt as inseparable guides imply the latter’s religious reliability.</w:t>
            </w:r>
            <w:r>
              <w:t xml:space="preserve"> </w:t>
            </w:r>
            <w:hyperlink r:id="rId40">
              <w:r>
                <w:rPr>
                  <w:rStyle w:val="Hyperlink"/>
                </w:rPr>
                <w:t xml:space="preserve">[14]</w:t>
              </w:r>
            </w:hyperlink>
          </w:p>
        </w:tc>
        <w:tc>
          <w:tcPr/>
          <w:p>
            <w:pPr>
              <w:pStyle w:val="Compact"/>
            </w:pPr>
            <w:r>
              <w:t xml:space="preserve">Establishes love/respect for the family, not their juridical infallibility or sole interpretive authority.</w:t>
            </w:r>
            <w:r>
              <w:t xml:space="preserve"> </w:t>
            </w:r>
            <w:hyperlink r:id="rId40">
              <w:r>
                <w:rPr>
                  <w:rStyle w:val="Hyperlink"/>
                </w:rPr>
                <w:t xml:space="preserve">[31]</w:t>
              </w:r>
            </w:hyperlink>
          </w:p>
        </w:tc>
        <w:tc>
          <w:tcPr/>
          <w:p>
            <w:pPr>
              <w:pStyle w:val="Compact"/>
            </w:pPr>
            <w:r>
              <w:t xml:space="preserve">Whether the Prophet left a dual, continuing authority.</w:t>
            </w:r>
          </w:p>
        </w:tc>
      </w:tr>
      <w:tr>
        <w:tc>
          <w:tcPr/>
          <w:p>
            <w:pPr>
              <w:pStyle w:val="Compact"/>
            </w:pPr>
            <w:r>
              <w:t xml:space="preserve">al-Kāfī reports on the Imams</w:t>
            </w:r>
          </w:p>
        </w:tc>
        <w:tc>
          <w:tcPr/>
          <w:p>
            <w:pPr>
              <w:pStyle w:val="Compact"/>
            </w:pPr>
            <w:r>
              <w:t xml:space="preserve">Some narrations directly call the Imams “infallible people.”</w:t>
            </w:r>
            <w:r>
              <w:t xml:space="preserve"> </w:t>
            </w:r>
            <w:hyperlink r:id="rId41">
              <w:r>
                <w:rPr>
                  <w:rStyle w:val="Hyperlink"/>
                </w:rPr>
                <w:t xml:space="preserve">[32]</w:t>
              </w:r>
            </w:hyperlink>
          </w:p>
        </w:tc>
        <w:tc>
          <w:tcPr/>
          <w:p>
            <w:pPr>
              <w:pStyle w:val="Compact"/>
            </w:pPr>
            <w:r>
              <w:t xml:space="preserve">Sunni critics reject Twelver hadith canons as sectarian authorities.</w:t>
            </w:r>
            <w:r>
              <w:t xml:space="preserve"> </w:t>
            </w:r>
            <w:hyperlink r:id="rId52">
              <w:r>
                <w:rPr>
                  <w:rStyle w:val="Hyperlink"/>
                </w:rPr>
                <w:t xml:space="preserve">[33]</w:t>
              </w:r>
            </w:hyperlink>
          </w:p>
        </w:tc>
        <w:tc>
          <w:tcPr/>
          <w:p>
            <w:pPr>
              <w:pStyle w:val="Compact"/>
            </w:pPr>
            <w:r>
              <w:t xml:space="preserve">Shows how mature Imami hadith makes explicit what Twelver exegetes see as implicit in scripture.</w:t>
            </w:r>
          </w:p>
        </w:tc>
      </w:tr>
    </w:tbl>
    <w:bookmarkEnd w:id="53"/>
    <w:bookmarkEnd w:id="54"/>
    <w:bookmarkStart w:id="61" w:name="Xc2a23142cd1800c54ace884e3fd60e38de66917"/>
    <w:p>
      <w:pPr>
        <w:pStyle w:val="Heading2"/>
      </w:pPr>
      <w:r>
        <w:t xml:space="preserve">Theological Architecture and Implications</w:t>
      </w:r>
    </w:p>
    <w:bookmarkStart w:id="56" w:name="the-rational-architecture-of-necessity"/>
    <w:p>
      <w:pPr>
        <w:pStyle w:val="Heading3"/>
      </w:pPr>
      <w:r>
        <w:t xml:space="preserve">The rational architecture of necessity</w:t>
      </w:r>
    </w:p>
    <w:p>
      <w:pPr>
        <w:pStyle w:val="FirstParagraph"/>
      </w:pPr>
      <w:r>
        <w:t xml:space="preserve">The classical Twelver argument for ʿismah is not reducible to textual proof-texting. It is fundamentally a</w:t>
      </w:r>
      <w:r>
        <w:t xml:space="preserve"> </w:t>
      </w:r>
      <w:r>
        <w:rPr>
          <w:b/>
          <w:bCs/>
        </w:rPr>
        <w:t xml:space="preserve">theory of divine guidance</w:t>
      </w:r>
      <w:r>
        <w:t xml:space="preserve">. Al-Mufīd characterizes ʿismah as divine grace; al-Ṭūsī states that the need for an Imam arises precisely because human beings are</w:t>
      </w:r>
      <w:r>
        <w:t xml:space="preserve"> </w:t>
      </w:r>
      <w:r>
        <w:rPr>
          <w:b/>
          <w:bCs/>
        </w:rPr>
        <w:t xml:space="preserve">fallible</w:t>
      </w:r>
      <w:r>
        <w:t xml:space="preserve">. If people were not vulnerable to sin, error, conflict, and interpretive confusion, there would be no need for an Imam. But because they are, the guide who rectifies them must himself be immune from the very kind of failure that generates the need for guidance. This is the core Imami</w:t>
      </w:r>
      <w:r>
        <w:t xml:space="preserve"> </w:t>
      </w:r>
      <w:r>
        <w:rPr>
          <w:i/>
          <w:iCs/>
        </w:rPr>
        <w:t xml:space="preserve">luṭf</w:t>
      </w:r>
      <w:r>
        <w:t xml:space="preserve"> </w:t>
      </w:r>
      <w:r>
        <w:t xml:space="preserve">argument: God’s justice and beneficence are manifested not by leaving revelation unattended, but by pairing it with a trustworthy guide.</w:t>
      </w:r>
      <w:r>
        <w:t xml:space="preserve"> </w:t>
      </w:r>
      <w:hyperlink r:id="rId45">
        <w:r>
          <w:rPr>
            <w:rStyle w:val="Hyperlink"/>
          </w:rPr>
          <w:t xml:space="preserve">[34]</w:t>
        </w:r>
      </w:hyperlink>
    </w:p>
    <w:p>
      <w:pPr>
        <w:pStyle w:val="BodyText"/>
      </w:pPr>
      <w:r>
        <w:t xml:space="preserve">Al-Ṣadūq’s argument in</w:t>
      </w:r>
      <w:r>
        <w:t xml:space="preserve"> </w:t>
      </w:r>
      <w:r>
        <w:rPr>
          <w:i/>
          <w:iCs/>
        </w:rPr>
        <w:t xml:space="preserve">Maʿānī al-Akhbār</w:t>
      </w:r>
      <w:r>
        <w:t xml:space="preserve"> </w:t>
      </w:r>
      <w:r>
        <w:t xml:space="preserve">deepens the point. If scripture and hadith admit multiple readings, and if sectarian dispute in fact arises around those readings, then religion requires an interpreter who is protected from lying and error. Otherwise God would have obligated people to act on texts while withholding from them any definitive means of determining their meaning. For Twelver theologians, that would attribute frivolity—not wisdom—to the divine law. ʿIsmah therefore functions as an epistemic necessity: it makes authoritative exegesis possible after the Prophet.</w:t>
      </w:r>
      <w:r>
        <w:t xml:space="preserve"> </w:t>
      </w:r>
      <w:hyperlink r:id="rId42">
        <w:r>
          <w:rPr>
            <w:rStyle w:val="Hyperlink"/>
          </w:rPr>
          <w:t xml:space="preserve">[16]</w:t>
        </w:r>
      </w:hyperlink>
    </w:p>
    <w:p>
      <w:pPr>
        <w:pStyle w:val="BodyText"/>
      </w:pPr>
      <w:r>
        <w:t xml:space="preserve">This also explains why Twelver writers often say the Imam is not a mere political ruler. In modern summaries of Twelver political thought, the Imam is described as God’s</w:t>
      </w:r>
      <w:r>
        <w:t xml:space="preserve"> </w:t>
      </w:r>
      <w:r>
        <w:rPr>
          <w:b/>
          <w:bCs/>
        </w:rPr>
        <w:t xml:space="preserve">proof</w:t>
      </w:r>
      <w:r>
        <w:t xml:space="preserve"> </w:t>
      </w:r>
      <w:r>
        <w:t xml:space="preserve">(</w:t>
      </w:r>
      <w:r>
        <w:rPr>
          <w:i/>
          <w:iCs/>
        </w:rPr>
        <w:t xml:space="preserve">ḥujjah</w:t>
      </w:r>
      <w:r>
        <w:t xml:space="preserve">), a sacred authority whose functions include teaching, judging, protection of the community, and preserving the moral purpose of law. When those functions are treated as extensions of the Prophet’s mission—short of receiving revelation—ʿismah becomes the theological hinge that permits continuity without collapsing imāmah into prophethood. Contemporary Twelver scholarship likewise restates that the Imam stands next to prophethood except in the reception of revelation.</w:t>
      </w:r>
      <w:r>
        <w:t xml:space="preserve"> </w:t>
      </w:r>
      <w:hyperlink r:id="rId55">
        <w:r>
          <w:rPr>
            <w:rStyle w:val="Hyperlink"/>
          </w:rPr>
          <w:t xml:space="preserve">[35]</w:t>
        </w:r>
      </w:hyperlink>
    </w:p>
    <w:bookmarkEnd w:id="56"/>
    <w:bookmarkStart w:id="58" w:name="jurisprudential-implications"/>
    <w:p>
      <w:pPr>
        <w:pStyle w:val="Heading3"/>
      </w:pPr>
      <w:r>
        <w:t xml:space="preserve">Jurisprudential implications</w:t>
      </w:r>
    </w:p>
    <w:p>
      <w:pPr>
        <w:pStyle w:val="FirstParagraph"/>
      </w:pPr>
      <w:r>
        <w:t xml:space="preserve">In Twelver legal thought, ʿismah is not an isolated doctrine of sanctity; it structures the hierarchy of law, teaching, and authority. The preservation of the Four Books, the centrality of reports from the Prophet and the Imams, and the long development of uṣūl al-fiqh all presume that the words and norms of the maʿṣūmūn are uniquely authoritative. A modern overview of the seminary tradition explicitly explains that after the Major Occultation, preserving the narrations of the Prophet and the Infallible Imams became a matter of highest priority, and that the Four Books replaced earlier notebooks as the most significant repositories of those teachings.</w:t>
      </w:r>
      <w:r>
        <w:t xml:space="preserve"> </w:t>
      </w:r>
      <w:hyperlink r:id="rId29">
        <w:r>
          <w:rPr>
            <w:rStyle w:val="Hyperlink"/>
          </w:rPr>
          <w:t xml:space="preserve">[20]</w:t>
        </w:r>
      </w:hyperlink>
    </w:p>
    <w:p>
      <w:pPr>
        <w:pStyle w:val="BodyText"/>
      </w:pPr>
      <w:r>
        <w:t xml:space="preserve">Concrete legal examples show how thoroughly the doctrine penetrates positive law. According to the official legal rulings of Ayatollah al-Sistani, intentionally attributing a false statement to God, the Prophet, or the</w:t>
      </w:r>
      <w:r>
        <w:t xml:space="preserve"> </w:t>
      </w:r>
      <w:r>
        <w:rPr>
          <w:b/>
          <w:bCs/>
        </w:rPr>
        <w:t xml:space="preserve">Infallible Imams</w:t>
      </w:r>
      <w:r>
        <w:t xml:space="preserve"> </w:t>
      </w:r>
      <w:r>
        <w:t xml:space="preserve">invalidates one’s fast as a matter of obligatory precaution. This ruling makes little sense apart from a legal order in which the utterances of the Imams participate in the sacred truth-claims of religion in a way categorically different from ordinary scholars.</w:t>
      </w:r>
      <w:r>
        <w:t xml:space="preserve"> </w:t>
      </w:r>
      <w:hyperlink r:id="rId57">
        <w:r>
          <w:rPr>
            <w:rStyle w:val="Hyperlink"/>
          </w:rPr>
          <w:t xml:space="preserve">[36]</w:t>
        </w:r>
      </w:hyperlink>
    </w:p>
    <w:p>
      <w:pPr>
        <w:pStyle w:val="BodyText"/>
      </w:pPr>
      <w:r>
        <w:t xml:space="preserve">The doctrine also determines the scope of authority in the Imam’s absence. Twelver political-juristic discussions distinguish sharply between the</w:t>
      </w:r>
      <w:r>
        <w:t xml:space="preserve"> </w:t>
      </w:r>
      <w:r>
        <w:rPr>
          <w:b/>
          <w:bCs/>
        </w:rPr>
        <w:t xml:space="preserve">infallible Imam</w:t>
      </w:r>
      <w:r>
        <w:t xml:space="preserve"> </w:t>
      </w:r>
      <w:r>
        <w:t xml:space="preserve">and the</w:t>
      </w:r>
      <w:r>
        <w:t xml:space="preserve"> </w:t>
      </w:r>
      <w:r>
        <w:rPr>
          <w:b/>
          <w:bCs/>
        </w:rPr>
        <w:t xml:space="preserve">fallible jurist</w:t>
      </w:r>
      <w:r>
        <w:t xml:space="preserve"> </w:t>
      </w:r>
      <w:r>
        <w:t xml:space="preserve">(</w:t>
      </w:r>
      <w:r>
        <w:rPr>
          <w:i/>
          <w:iCs/>
        </w:rPr>
        <w:t xml:space="preserve">faqīh</w:t>
      </w:r>
      <w:r>
        <w:t xml:space="preserve">). Modern Shiʿi political theory explains</w:t>
      </w:r>
      <w:r>
        <w:t xml:space="preserve"> </w:t>
      </w:r>
      <w:r>
        <w:rPr>
          <w:i/>
          <w:iCs/>
        </w:rPr>
        <w:t xml:space="preserve">wilāyat al-faqīh</w:t>
      </w:r>
      <w:r>
        <w:t xml:space="preserve"> </w:t>
      </w:r>
      <w:r>
        <w:t xml:space="preserve">precisely as leadership assumed</w:t>
      </w:r>
      <w:r>
        <w:t xml:space="preserve"> </w:t>
      </w:r>
      <w:r>
        <w:rPr>
          <w:b/>
          <w:bCs/>
        </w:rPr>
        <w:t xml:space="preserve">in the absence of an infallible Imam</w:t>
      </w:r>
      <w:r>
        <w:t xml:space="preserve">, not as a transfer of infallibility to the jurist. Even theorists of broad juristic authority present the jurist’s powers as delegated, derivative, conditional, and dismissible—not ontologically identical to the Imam’s status. This is why later Twelver and Iranian debates often become arguments over the</w:t>
      </w:r>
      <w:r>
        <w:t xml:space="preserve"> </w:t>
      </w:r>
      <w:r>
        <w:rPr>
          <w:i/>
          <w:iCs/>
        </w:rPr>
        <w:t xml:space="preserve">scope</w:t>
      </w:r>
      <w:r>
        <w:t xml:space="preserve"> </w:t>
      </w:r>
      <w:r>
        <w:t xml:space="preserve">of deputyship, not over whether anyone after the Fourteen Infallibles is maʿṣūm in the full doctrinal sense.</w:t>
      </w:r>
      <w:r>
        <w:t xml:space="preserve"> </w:t>
      </w:r>
      <w:hyperlink r:id="rId55">
        <w:r>
          <w:rPr>
            <w:rStyle w:val="Hyperlink"/>
          </w:rPr>
          <w:t xml:space="preserve">[37]</w:t>
        </w:r>
      </w:hyperlink>
    </w:p>
    <w:bookmarkEnd w:id="58"/>
    <w:bookmarkStart w:id="60" w:name="eschatological-implications"/>
    <w:p>
      <w:pPr>
        <w:pStyle w:val="Heading3"/>
      </w:pPr>
      <w:r>
        <w:t xml:space="preserve">Eschatological implications</w:t>
      </w:r>
    </w:p>
    <w:p>
      <w:pPr>
        <w:pStyle w:val="FirstParagraph"/>
      </w:pPr>
      <w:r>
        <w:t xml:space="preserve">Twelver eschatology presupposes that God’s proof does not vanish from history. Al-Ṭūsī’s</w:t>
      </w:r>
      <w:r>
        <w:t xml:space="preserve"> </w:t>
      </w:r>
      <w:r>
        <w:rPr>
          <w:i/>
          <w:iCs/>
        </w:rPr>
        <w:t xml:space="preserve">Ghaybah</w:t>
      </w:r>
      <w:r>
        <w:t xml:space="preserve"> </w:t>
      </w:r>
      <w:r>
        <w:t xml:space="preserve">and historical studies of the occultation emphasize that Twelvers maintain the Twelfth Imam is alive but hidden, and that the logic of imāmah continues through his concealment. Because the Imam is still the true</w:t>
      </w:r>
      <w:r>
        <w:t xml:space="preserve"> </w:t>
      </w:r>
      <w:r>
        <w:rPr>
          <w:i/>
          <w:iCs/>
        </w:rPr>
        <w:t xml:space="preserve">ḥujjah</w:t>
      </w:r>
      <w:r>
        <w:t xml:space="preserve"> </w:t>
      </w:r>
      <w:r>
        <w:t xml:space="preserve">even when absent, ʿismah remains indispensable: occultation conceals access, not the integrity of guidance.</w:t>
      </w:r>
      <w:r>
        <w:t xml:space="preserve"> </w:t>
      </w:r>
      <w:hyperlink r:id="rId26">
        <w:r>
          <w:rPr>
            <w:rStyle w:val="Hyperlink"/>
          </w:rPr>
          <w:t xml:space="preserve">[38]</w:t>
        </w:r>
      </w:hyperlink>
    </w:p>
    <w:p>
      <w:pPr>
        <w:pStyle w:val="BodyText"/>
      </w:pPr>
      <w:r>
        <w:t xml:space="preserve">This has two major eschatological consequences. First, the hidden Imam’s return as</w:t>
      </w:r>
      <w:r>
        <w:t xml:space="preserve"> </w:t>
      </w:r>
      <w:r>
        <w:rPr>
          <w:b/>
          <w:bCs/>
        </w:rPr>
        <w:t xml:space="preserve">al-Mahdī</w:t>
      </w:r>
      <w:r>
        <w:t xml:space="preserve"> </w:t>
      </w:r>
      <w:r>
        <w:t xml:space="preserve">is not merely a political restoration but the renewed public manifestation of perfect guidance. Second, Twelver belief in</w:t>
      </w:r>
      <w:r>
        <w:t xml:space="preserve"> </w:t>
      </w:r>
      <w:r>
        <w:rPr>
          <w:b/>
          <w:bCs/>
        </w:rPr>
        <w:t xml:space="preserve">rajʿah</w:t>
      </w:r>
      <w:r>
        <w:t xml:space="preserve">, the return of select believers and unbelievers before the final resurrection, is tied to an eschatological order in which the hidden Imam’s just rule discloses the truth of divine history. Twelver sources describe rajʿah as a belief especially characteristic of Shiʿism and connect it directly to the reappearance of the Twelfth Imam.</w:t>
      </w:r>
      <w:r>
        <w:t xml:space="preserve"> </w:t>
      </w:r>
      <w:hyperlink r:id="rId59">
        <w:r>
          <w:rPr>
            <w:rStyle w:val="Hyperlink"/>
          </w:rPr>
          <w:t xml:space="preserve">[39]</w:t>
        </w:r>
      </w:hyperlink>
    </w:p>
    <w:bookmarkEnd w:id="60"/>
    <w:bookmarkEnd w:id="61"/>
    <w:bookmarkStart w:id="71" w:name="X0ca4984f5e998eb47cf757f6ab3b21e30e7debd"/>
    <w:p>
      <w:pPr>
        <w:pStyle w:val="Heading2"/>
      </w:pPr>
      <w:r>
        <w:t xml:space="preserve">Internal Twelver Debates and Contemporary Scholarship</w:t>
      </w:r>
    </w:p>
    <w:bookmarkStart w:id="64" w:name="Xb90aabf5f9483eba2036b61b8060146aa290697"/>
    <w:p>
      <w:pPr>
        <w:pStyle w:val="Heading3"/>
      </w:pPr>
      <w:r>
        <w:t xml:space="preserve">Scope, degree, and the debate on forgetfulness</w:t>
      </w:r>
    </w:p>
    <w:p>
      <w:pPr>
        <w:pStyle w:val="FirstParagraph"/>
      </w:pPr>
      <w:r>
        <w:t xml:space="preserve">Although later Twelver orthodoxy strongly standardizes ʿismah, internal debates did exist. The most famous concerns</w:t>
      </w:r>
      <w:r>
        <w:t xml:space="preserve"> </w:t>
      </w:r>
      <w:r>
        <w:rPr>
          <w:b/>
          <w:bCs/>
        </w:rPr>
        <w:t xml:space="preserve">sahw al-nabī</w:t>
      </w:r>
      <w:r>
        <w:t xml:space="preserve">, the alleged possibility that the Prophet might forget in non-revelatory matters such as prayer. Al-Ṣadūq was criticized by al-Mufīd for allowing a restricted form of prophetic oversight, whereas the later mainstream Twelver position rejected such forgetfulness for the Prophet and the Imams. Modern descriptions of the debate note that the majority of Shiʿi scholars reject forgetfulness for the maʿṣūmīn, while al-Ṣadūq and his teacher Ibn al-Walīd are remembered as exceptions. This debate is important because it shows that Twelver ʿismah did not emerge as a frozen abstraction; its exact scope was argued through kalām and hadith criticism.</w:t>
      </w:r>
      <w:r>
        <w:t xml:space="preserve"> </w:t>
      </w:r>
      <w:hyperlink r:id="rId62">
        <w:r>
          <w:rPr>
            <w:rStyle w:val="Hyperlink"/>
          </w:rPr>
          <w:t xml:space="preserve">[40]</w:t>
        </w:r>
      </w:hyperlink>
    </w:p>
    <w:p>
      <w:pPr>
        <w:pStyle w:val="BodyText"/>
      </w:pPr>
      <w:r>
        <w:t xml:space="preserve">Modern Twelver discourse also occasionally speaks of</w:t>
      </w:r>
      <w:r>
        <w:t xml:space="preserve"> </w:t>
      </w:r>
      <w:r>
        <w:rPr>
          <w:b/>
          <w:bCs/>
        </w:rPr>
        <w:t xml:space="preserve">degrees</w:t>
      </w:r>
      <w:r>
        <w:t xml:space="preserve"> </w:t>
      </w:r>
      <w:r>
        <w:t xml:space="preserve">of ʿismah. Contemporary answers and discussions in Twelver-affiliated venues distinguish between the full, highest ʿismah of the Fourteen Infallibles and a kind of “minor infallibility” or extraordinary piety attributed by some scholars to figures such as Maryam or Āsiyah. Material associated with Imam Khomeini’s thought likewise speaks of gradation in the reality of ʿismah, even while preserving the unique perfection of the Prophet and the fully designated maʿṣūm authorities. This language should not be confused with a loosening of the doctrine; rather, it is an attempt to map sanctity hierarchically while preserving the special status of the foundational maʿṣūmūn.</w:t>
      </w:r>
      <w:r>
        <w:t xml:space="preserve"> </w:t>
      </w:r>
      <w:hyperlink r:id="rId63">
        <w:r>
          <w:rPr>
            <w:rStyle w:val="Hyperlink"/>
          </w:rPr>
          <w:t xml:space="preserve">[41]</w:t>
        </w:r>
      </w:hyperlink>
    </w:p>
    <w:bookmarkEnd w:id="64"/>
    <w:bookmarkStart w:id="66" w:name="Xa0c28502becd0f9d458b42ead76468d4325a839"/>
    <w:p>
      <w:pPr>
        <w:pStyle w:val="Heading3"/>
      </w:pPr>
      <w:r>
        <w:t xml:space="preserve">Fāṭimah al-Zahrāʾ and the Fourteen Infallibles</w:t>
      </w:r>
    </w:p>
    <w:p>
      <w:pPr>
        <w:pStyle w:val="FirstParagraph"/>
      </w:pPr>
      <w:r>
        <w:t xml:space="preserve">A particularly important internal question is the status of</w:t>
      </w:r>
      <w:r>
        <w:t xml:space="preserve"> </w:t>
      </w:r>
      <w:r>
        <w:rPr>
          <w:b/>
          <w:bCs/>
        </w:rPr>
        <w:t xml:space="preserve">Fāṭimah al-Zahrāʾ</w:t>
      </w:r>
      <w:r>
        <w:t xml:space="preserve">. By later Twelver consensus and devotion, she is one of the</w:t>
      </w:r>
      <w:r>
        <w:t xml:space="preserve"> </w:t>
      </w:r>
      <w:r>
        <w:rPr>
          <w:b/>
          <w:bCs/>
        </w:rPr>
        <w:t xml:space="preserve">Fourteen Infallibles</w:t>
      </w:r>
      <w:r>
        <w:t xml:space="preserve">, yet the path by which her ʿismah became fully integrated into doctrinal symbolism is historically rich. Contemporary Twelver sources explicitly include her among the highest infallibles, and scholarly studies of Shiʿi symbolism note that Twelvers regard the</w:t>
      </w:r>
      <w:r>
        <w:t xml:space="preserve"> </w:t>
      </w:r>
      <w:r>
        <w:rPr>
          <w:b/>
          <w:bCs/>
        </w:rPr>
        <w:t xml:space="preserve">panjtan</w:t>
      </w:r>
      <w:r>
        <w:t xml:space="preserve">—Muḥammad, ʿAlī, Fāṭimah, al-Ḥasan, and al-Ḥusayn—as infallible. Karen Ruffle’s study of Fāṭimah in Shiʿi hagiography further shows how her role becomes that of the</w:t>
      </w:r>
      <w:r>
        <w:t xml:space="preserve"> </w:t>
      </w:r>
      <w:r>
        <w:rPr>
          <w:b/>
          <w:bCs/>
        </w:rPr>
        <w:t xml:space="preserve">Mother of the Imamate</w:t>
      </w:r>
      <w:r>
        <w:t xml:space="preserve">, linking prophecy, sacred light, and eschatological mediation.</w:t>
      </w:r>
      <w:r>
        <w:t xml:space="preserve"> </w:t>
      </w:r>
      <w:hyperlink r:id="rId63">
        <w:r>
          <w:rPr>
            <w:rStyle w:val="Hyperlink"/>
          </w:rPr>
          <w:t xml:space="preserve">[42]</w:t>
        </w:r>
      </w:hyperlink>
    </w:p>
    <w:p>
      <w:pPr>
        <w:pStyle w:val="BodyText"/>
      </w:pPr>
      <w:r>
        <w:t xml:space="preserve">Theologically, this matters because Fāṭimah complicates any simplistic reduction of ʿismah to public political rule. Her place in the doctrine demonstrates that Twelver ʿismah is not only about governance but also about sacred lineage, epistemic purity, and participation in the Prophet’s sanctified household. Her inclusion also intensifies sectarian controversy because it extends the doctrine beyond prophets and male imams into a more encompassing sacred family theology.</w:t>
      </w:r>
      <w:r>
        <w:t xml:space="preserve"> </w:t>
      </w:r>
      <w:hyperlink r:id="rId65">
        <w:r>
          <w:rPr>
            <w:rStyle w:val="Hyperlink"/>
          </w:rPr>
          <w:t xml:space="preserve">[43]</w:t>
        </w:r>
      </w:hyperlink>
    </w:p>
    <w:bookmarkEnd w:id="66"/>
    <w:bookmarkStart w:id="70" w:name="X3d48163ec2d3986571679b048b73a176bcbaedb"/>
    <w:p>
      <w:pPr>
        <w:pStyle w:val="Heading3"/>
      </w:pPr>
      <w:r>
        <w:t xml:space="preserve">Prophets, Imams, and contemporary scholarship</w:t>
      </w:r>
    </w:p>
    <w:p>
      <w:pPr>
        <w:pStyle w:val="FirstParagraph"/>
      </w:pPr>
      <w:r>
        <w:t xml:space="preserve">Twelver theologians usually distinguish prophets and Imams by</w:t>
      </w:r>
      <w:r>
        <w:t xml:space="preserve"> </w:t>
      </w:r>
      <w:r>
        <w:rPr>
          <w:b/>
          <w:bCs/>
        </w:rPr>
        <w:t xml:space="preserve">revelation</w:t>
      </w:r>
      <w:r>
        <w:t xml:space="preserve"> </w:t>
      </w:r>
      <w:r>
        <w:t xml:space="preserve">rather than by a difference in moral impeccability. Recent Imami scholarly writing states explicitly that imāmah stands just beneath nubuwwah in that the Imam does not receive prophetic revelation, though he possesses divinely grounded knowledge and ʿismah. This is consistent with al-Ṣadūq’s creed, which places prophets, messengers, and Imams together under the heading of ʿismah, and with al-Mufīd’s insistence that Prophets and Imams are free from major and minor sins during prophethood and imamate.</w:t>
      </w:r>
      <w:r>
        <w:t xml:space="preserve"> </w:t>
      </w:r>
      <w:hyperlink r:id="rId67">
        <w:r>
          <w:rPr>
            <w:rStyle w:val="Hyperlink"/>
          </w:rPr>
          <w:t xml:space="preserve">[44]</w:t>
        </w:r>
      </w:hyperlink>
    </w:p>
    <w:p>
      <w:pPr>
        <w:pStyle w:val="BodyText"/>
      </w:pPr>
      <w:r>
        <w:t xml:space="preserve">Modern academic scholarship has treated the doctrine from several angles. Moojan Momen presents ʿismah as one of the defining doctrinal differences of Twelver Shiʿism in general introductions to the tradition. Amir-Moezzi studies the early Imam as a cosmic and esoteric mediator, thereby illuminating the deeper sacred logic behind later scholastic ʿismah. Matthew Pierce examines how the collective biographies of the Imams helped shape a distinct Shiʿi communal memory in the tenth to twelfth centuries, while Edmund Hayes emphasizes that occultation-era authority was historically contested rather than straightforwardly inherited. Piscatori and Saikal, focusing on the modern period, show how the Imam’s absence created the need for clerical mediation, while Khomeini’s theory of</w:t>
      </w:r>
      <w:r>
        <w:t xml:space="preserve"> </w:t>
      </w:r>
      <w:r>
        <w:rPr>
          <w:i/>
          <w:iCs/>
        </w:rPr>
        <w:t xml:space="preserve">wilāyat al-faqīh</w:t>
      </w:r>
      <w:r>
        <w:t xml:space="preserve"> </w:t>
      </w:r>
      <w:r>
        <w:t xml:space="preserve">represented a minority view elevated into state ideology.</w:t>
      </w:r>
      <w:r>
        <w:t xml:space="preserve"> </w:t>
      </w:r>
      <w:hyperlink r:id="rId68">
        <w:r>
          <w:rPr>
            <w:rStyle w:val="Hyperlink"/>
          </w:rPr>
          <w:t xml:space="preserve">[45]</w:t>
        </w:r>
      </w:hyperlink>
    </w:p>
    <w:p>
      <w:pPr>
        <w:pStyle w:val="BodyText"/>
      </w:pPr>
      <w:r>
        <w:t xml:space="preserve">Contemporary intra-Shiʿi debate has not abolished the doctrine, but it has pressured its boundaries. A modern Cambridge study of Ahmad Qābel notes that he criticized superstitious expansions of occultation belief and even condemned the attribution of infallibility to contemporary political figures such as Ayatollah Khamenei. That point is significant because it shows that even reformist or rationalizing Twelver discourse usually presumes a sharp line between the</w:t>
      </w:r>
      <w:r>
        <w:t xml:space="preserve"> </w:t>
      </w:r>
      <w:r>
        <w:rPr>
          <w:b/>
          <w:bCs/>
        </w:rPr>
        <w:t xml:space="preserve">canonical maʿṣūm</w:t>
      </w:r>
      <w:r>
        <w:t xml:space="preserve"> </w:t>
      </w:r>
      <w:r>
        <w:t xml:space="preserve">and later authorities. The debate is therefore often about inflation or misuse of the doctrine, not about its classical core.</w:t>
      </w:r>
      <w:r>
        <w:t xml:space="preserve"> </w:t>
      </w:r>
      <w:hyperlink r:id="rId69">
        <w:r>
          <w:rPr>
            <w:rStyle w:val="Hyperlink"/>
          </w:rPr>
          <w:t xml:space="preserve">[46]</w:t>
        </w:r>
      </w:hyperlink>
    </w:p>
    <w:bookmarkEnd w:id="70"/>
    <w:bookmarkEnd w:id="71"/>
    <w:bookmarkStart w:id="80" w:name="Xb7ff1497d3fe3d7cc9bd4a6c7d8a177ee004dc9"/>
    <w:p>
      <w:pPr>
        <w:pStyle w:val="Heading2"/>
      </w:pPr>
      <w:r>
        <w:t xml:space="preserve">Sunni Refutations and Twelver Counterarguments</w:t>
      </w:r>
    </w:p>
    <w:bookmarkStart w:id="75" w:name="classical-sunni-objections"/>
    <w:p>
      <w:pPr>
        <w:pStyle w:val="Heading3"/>
      </w:pPr>
      <w:r>
        <w:t xml:space="preserve">Classical Sunni objections</w:t>
      </w:r>
    </w:p>
    <w:p>
      <w:pPr>
        <w:pStyle w:val="FirstParagraph"/>
      </w:pPr>
      <w:r>
        <w:t xml:space="preserve">The most persistent Sunni objection is</w:t>
      </w:r>
      <w:r>
        <w:t xml:space="preserve"> </w:t>
      </w:r>
      <w:r>
        <w:rPr>
          <w:b/>
          <w:bCs/>
        </w:rPr>
        <w:t xml:space="preserve">exegetical</w:t>
      </w:r>
      <w:r>
        <w:t xml:space="preserve">: the verses Twelvers treat as proofs of ʿismah do not, on Sunni readings, say what Twelvers claim. On</w:t>
      </w:r>
      <w:r>
        <w:t xml:space="preserve"> </w:t>
      </w:r>
      <w:r>
        <w:rPr>
          <w:b/>
          <w:bCs/>
        </w:rPr>
        <w:t xml:space="preserve">33:33</w:t>
      </w:r>
      <w:r>
        <w:t xml:space="preserve">, many Sunni commentators insist that the verse remains contextually bound to the wives of the Prophet, even if some also expand the phrase</w:t>
      </w:r>
      <w:r>
        <w:t xml:space="preserve"> </w:t>
      </w:r>
      <w:r>
        <w:rPr>
          <w:i/>
          <w:iCs/>
        </w:rPr>
        <w:t xml:space="preserve">ahl al-bayt</w:t>
      </w:r>
      <w:r>
        <w:t xml:space="preserve"> </w:t>
      </w:r>
      <w:r>
        <w:t xml:space="preserve">to include other relatives. On</w:t>
      </w:r>
      <w:r>
        <w:t xml:space="preserve"> </w:t>
      </w:r>
      <w:r>
        <w:rPr>
          <w:b/>
          <w:bCs/>
        </w:rPr>
        <w:t xml:space="preserve">4:59</w:t>
      </w:r>
      <w:r>
        <w:t xml:space="preserve">, Sunni tafsir commonly identifies</w:t>
      </w:r>
      <w:r>
        <w:t xml:space="preserve"> </w:t>
      </w:r>
      <w:r>
        <w:rPr>
          <w:i/>
          <w:iCs/>
        </w:rPr>
        <w:t xml:space="preserve">ulū al-amr</w:t>
      </w:r>
      <w:r>
        <w:t xml:space="preserve"> </w:t>
      </w:r>
      <w:r>
        <w:t xml:space="preserve">as rulers or scholars, not infallible descendants. On</w:t>
      </w:r>
      <w:r>
        <w:t xml:space="preserve"> </w:t>
      </w:r>
      <w:r>
        <w:rPr>
          <w:b/>
          <w:bCs/>
        </w:rPr>
        <w:t xml:space="preserve">2:124</w:t>
      </w:r>
      <w:r>
        <w:t xml:space="preserve">, Sunni exegesis usually takes the exclusion of wrongdoers as narrower than the Twelver conclusion of absolute lifelong impeccability. For Sunni critics, Twelver doctrine stretches reverential texts into a comprehensive theory of inerrant post-Prophetic authority.</w:t>
      </w:r>
      <w:r>
        <w:t xml:space="preserve"> </w:t>
      </w:r>
      <w:hyperlink r:id="rId49">
        <w:r>
          <w:rPr>
            <w:rStyle w:val="Hyperlink"/>
          </w:rPr>
          <w:t xml:space="preserve">[47]</w:t>
        </w:r>
      </w:hyperlink>
    </w:p>
    <w:p>
      <w:pPr>
        <w:pStyle w:val="BodyText"/>
      </w:pPr>
      <w:r>
        <w:t xml:space="preserve">A second objection is</w:t>
      </w:r>
      <w:r>
        <w:t xml:space="preserve"> </w:t>
      </w:r>
      <w:r>
        <w:rPr>
          <w:b/>
          <w:bCs/>
        </w:rPr>
        <w:t xml:space="preserve">hadith-based</w:t>
      </w:r>
      <w:r>
        <w:t xml:space="preserve">. Sunni theologians and polemicists frequently appeal to reports in which prophets appear to forget, are corrected, or commit what later theologians classify as minor lapses or acts of</w:t>
      </w:r>
      <w:r>
        <w:t xml:space="preserve"> </w:t>
      </w:r>
      <w:r>
        <w:rPr>
          <w:i/>
          <w:iCs/>
        </w:rPr>
        <w:t xml:space="preserve">tark al-awlā</w:t>
      </w:r>
      <w:r>
        <w:t xml:space="preserve"> </w:t>
      </w:r>
      <w:r>
        <w:t xml:space="preserve">rather than grave sin. The Atharī position represented by Ibn Taymiyya states that prophets are certainly protected in what they report from God, and that the majority view protects them from major sins while allowing the possibility of lesser slips outside the essential conveyance of revelation. From the Twelver perspective, that view is already too weak for prophets and cannot possibly sustain the extension of infallibility to the Imams; from the Sunni perspective, it preserves prophetic humanity while safeguarding revelation.</w:t>
      </w:r>
      <w:r>
        <w:t xml:space="preserve"> </w:t>
      </w:r>
      <w:hyperlink r:id="rId72">
        <w:r>
          <w:rPr>
            <w:rStyle w:val="Hyperlink"/>
          </w:rPr>
          <w:t xml:space="preserve">[48]</w:t>
        </w:r>
      </w:hyperlink>
    </w:p>
    <w:p>
      <w:pPr>
        <w:pStyle w:val="BodyText"/>
      </w:pPr>
      <w:r>
        <w:t xml:space="preserve">A third objection is</w:t>
      </w:r>
      <w:r>
        <w:t xml:space="preserve"> </w:t>
      </w:r>
      <w:r>
        <w:rPr>
          <w:b/>
          <w:bCs/>
        </w:rPr>
        <w:t xml:space="preserve">institutional and theological</w:t>
      </w:r>
      <w:r>
        <w:t xml:space="preserve">: Sunni kalām generally restricts ʿismah to prophets rather than Imams. Sunni opinions on prophetic impeccability are themselves not perfectly uniform. Some later Sunni summaries report broad protections reaching even minor sins, while other authorities allow limited slips or errors, especially outside the sphere of revelation. A modern summary of Sunni doctrinal positions notes that views range from stricter positions associated with Qāḍī ʿIyāḍ and some Ashʿarīs to more permissive positions among other Ashʿarīs and Maturīdīs, whereas Ibn Taymiyya explicitly rejects infallibility for anyone after the Prophet. The key point for the Sunni refutation of Twelver Shiʿism is that even where broad prophetic ʿismah is accepted,</w:t>
      </w:r>
      <w:r>
        <w:t xml:space="preserve"> </w:t>
      </w:r>
      <w:r>
        <w:rPr>
          <w:b/>
          <w:bCs/>
        </w:rPr>
        <w:t xml:space="preserve">imamic ʿismah is not</w:t>
      </w:r>
      <w:r>
        <w:t xml:space="preserve">.</w:t>
      </w:r>
      <w:r>
        <w:t xml:space="preserve"> </w:t>
      </w:r>
      <w:hyperlink r:id="rId73">
        <w:r>
          <w:rPr>
            <w:rStyle w:val="Hyperlink"/>
          </w:rPr>
          <w:t xml:space="preserve">[49]</w:t>
        </w:r>
      </w:hyperlink>
    </w:p>
    <w:p>
      <w:pPr>
        <w:pStyle w:val="BodyText"/>
      </w:pPr>
      <w:r>
        <w:t xml:space="preserve">These positions were codified in classical</w:t>
      </w:r>
      <w:r>
        <w:t xml:space="preserve"> </w:t>
      </w:r>
      <w:r>
        <w:rPr>
          <w:b/>
          <w:bCs/>
        </w:rPr>
        <w:t xml:space="preserve">anti-Rāfiḍī polemic</w:t>
      </w:r>
      <w:r>
        <w:t xml:space="preserve">. Abū al-Ḥasan al-Ashʿarī’s</w:t>
      </w:r>
      <w:r>
        <w:t xml:space="preserve"> </w:t>
      </w:r>
      <w:r>
        <w:rPr>
          <w:i/>
          <w:iCs/>
        </w:rPr>
        <w:t xml:space="preserve">Maqālāt al-Islāmiyyīn</w:t>
      </w:r>
      <w:r>
        <w:t xml:space="preserve"> </w:t>
      </w:r>
      <w:r>
        <w:t xml:space="preserve">catalogs Rāfiḍī positions on the status, knowledge, and possible superiority of the Imams; ʿAbd al-Qāhir al-Baghdādī’s</w:t>
      </w:r>
      <w:r>
        <w:t xml:space="preserve"> </w:t>
      </w:r>
      <w:r>
        <w:rPr>
          <w:i/>
          <w:iCs/>
        </w:rPr>
        <w:t xml:space="preserve">al-Farq bayn al-Firaq</w:t>
      </w:r>
      <w:r>
        <w:t xml:space="preserve"> </w:t>
      </w:r>
      <w:r>
        <w:t xml:space="preserve">places Shiʿi and ghulāt claims about the Imams within his broader heresiographical mapping; and above all Ibn Taymiyya’s</w:t>
      </w:r>
      <w:r>
        <w:t xml:space="preserve"> </w:t>
      </w:r>
      <w:r>
        <w:rPr>
          <w:i/>
          <w:iCs/>
        </w:rPr>
        <w:t xml:space="preserve">Minhāj al-Sunnah al-Nabawiyyah</w:t>
      </w:r>
      <w:r>
        <w:t xml:space="preserve"> </w:t>
      </w:r>
      <w:r>
        <w:t xml:space="preserve">contains direct sections</w:t>
      </w:r>
      <w:r>
        <w:t xml:space="preserve"> </w:t>
      </w:r>
      <w:r>
        <w:rPr>
          <w:b/>
          <w:bCs/>
        </w:rPr>
        <w:t xml:space="preserve">“refuting the Rāfiḍī claim of designation and the infallibility of the Imams”</w:t>
      </w:r>
      <w:r>
        <w:t xml:space="preserve"> </w:t>
      </w:r>
      <w:r>
        <w:t xml:space="preserve">and explicitly states a “general principle” against affirming infallibility for anyone after the Prophet.</w:t>
      </w:r>
      <w:r>
        <w:t xml:space="preserve"> </w:t>
      </w:r>
      <w:hyperlink r:id="rId74">
        <w:r>
          <w:rPr>
            <w:rStyle w:val="Hyperlink"/>
          </w:rPr>
          <w:t xml:space="preserve">[50]</w:t>
        </w:r>
      </w:hyperlink>
    </w:p>
    <w:bookmarkEnd w:id="75"/>
    <w:bookmarkStart w:id="77" w:name="concise-twelver-counterarguments"/>
    <w:p>
      <w:pPr>
        <w:pStyle w:val="Heading3"/>
      </w:pPr>
      <w:r>
        <w:t xml:space="preserve">Concise Twelver counterarguments</w:t>
      </w:r>
    </w:p>
    <w:p>
      <w:pPr>
        <w:pStyle w:val="FirstParagraph"/>
      </w:pPr>
      <w:r>
        <w:t xml:space="preserve">Twelver replies generally proceed on three levels. First, they answer the</w:t>
      </w:r>
      <w:r>
        <w:t xml:space="preserve"> </w:t>
      </w:r>
      <w:r>
        <w:rPr>
          <w:b/>
          <w:bCs/>
        </w:rPr>
        <w:t xml:space="preserve">exegetical objections</w:t>
      </w:r>
      <w:r>
        <w:t xml:space="preserve"> </w:t>
      </w:r>
      <w:r>
        <w:t xml:space="preserve">by insisting that context alone does not define meaning when authenticated Prophetic hadith specifies referents. Thus, the Sunni preservation of the cloak hadith in Muslim and Tirmidhī becomes a Twelver counter-evidence against restricting 33:33 to the wives. Twelver exegetes then add the grammatical shift in the verse as a corroborating indicator.</w:t>
      </w:r>
      <w:r>
        <w:t xml:space="preserve"> </w:t>
      </w:r>
      <w:hyperlink r:id="rId65">
        <w:r>
          <w:rPr>
            <w:rStyle w:val="Hyperlink"/>
          </w:rPr>
          <w:t xml:space="preserve">[51]</w:t>
        </w:r>
      </w:hyperlink>
    </w:p>
    <w:p>
      <w:pPr>
        <w:pStyle w:val="BodyText"/>
      </w:pPr>
      <w:r>
        <w:t xml:space="preserve">Second, Twelvers answer the</w:t>
      </w:r>
      <w:r>
        <w:t xml:space="preserve"> </w:t>
      </w:r>
      <w:r>
        <w:rPr>
          <w:b/>
          <w:bCs/>
        </w:rPr>
        <w:t xml:space="preserve">obedience objection</w:t>
      </w:r>
      <w:r>
        <w:t xml:space="preserve"> </w:t>
      </w:r>
      <w:r>
        <w:t xml:space="preserve">by pressing an internal logical point: if Qurʾan 4:59 requires obedience to</w:t>
      </w:r>
      <w:r>
        <w:t xml:space="preserve"> </w:t>
      </w:r>
      <w:r>
        <w:rPr>
          <w:i/>
          <w:iCs/>
        </w:rPr>
        <w:t xml:space="preserve">ulū al-amr</w:t>
      </w:r>
      <w:r>
        <w:t xml:space="preserve"> </w:t>
      </w:r>
      <w:r>
        <w:t xml:space="preserve">without stating the standard Sunni qualifying clause “so long as they obey God,” then the verse itself is best read as referring to authorities who cannot lead into disobedience. This is reinforced, in Twelver reasoning, by the Qurʾanic refusal to let the covenant of leadership reach the wrongdoers in 2:124. The Twelver case here is not that every Sunni reading is impossible, but that the combined grammar and theology of the verses favor infallible authority more than fallible office.</w:t>
      </w:r>
      <w:r>
        <w:t xml:space="preserve"> </w:t>
      </w:r>
      <w:hyperlink r:id="rId36">
        <w:r>
          <w:rPr>
            <w:rStyle w:val="Hyperlink"/>
          </w:rPr>
          <w:t xml:space="preserve">[52]</w:t>
        </w:r>
      </w:hyperlink>
    </w:p>
    <w:p>
      <w:pPr>
        <w:pStyle w:val="BodyText"/>
      </w:pPr>
      <w:r>
        <w:t xml:space="preserve">Third, Twelvers answer the</w:t>
      </w:r>
      <w:r>
        <w:t xml:space="preserve"> </w:t>
      </w:r>
      <w:r>
        <w:rPr>
          <w:b/>
          <w:bCs/>
        </w:rPr>
        <w:t xml:space="preserve">institutional objection</w:t>
      </w:r>
      <w:r>
        <w:t xml:space="preserve"> </w:t>
      </w:r>
      <w:r>
        <w:t xml:space="preserve">by arguing that the Prophet himself paired the Qurʾan and his family in Ḥadīth al-Thaqalayn. If the Ahl al-Bayt are a continuing guide together with the Qurʾan, and if they never separate from it, then their guidance cannot be merely honorary. Likewise, reports in</w:t>
      </w:r>
      <w:r>
        <w:t xml:space="preserve"> </w:t>
      </w:r>
      <w:r>
        <w:rPr>
          <w:i/>
          <w:iCs/>
        </w:rPr>
        <w:t xml:space="preserve">al-Kāfī</w:t>
      </w:r>
      <w:r>
        <w:t xml:space="preserve"> </w:t>
      </w:r>
      <w:r>
        <w:t xml:space="preserve">and the rational argument in</w:t>
      </w:r>
      <w:r>
        <w:t xml:space="preserve"> </w:t>
      </w:r>
      <w:r>
        <w:rPr>
          <w:i/>
          <w:iCs/>
        </w:rPr>
        <w:t xml:space="preserve">Maʿānī al-Akhbār</w:t>
      </w:r>
      <w:r>
        <w:t xml:space="preserve"> </w:t>
      </w:r>
      <w:r>
        <w:t xml:space="preserve">are deployed to say that a religion left to textual multivocality without an error-free interpreter would no longer be adequately guided. In short, Twelver counterargument fuses scriptural exegesis, Prophetic designation, and a theory of interpretive necessity.</w:t>
      </w:r>
      <w:r>
        <w:t xml:space="preserve"> </w:t>
      </w:r>
      <w:hyperlink r:id="rId76">
        <w:r>
          <w:rPr>
            <w:rStyle w:val="Hyperlink"/>
          </w:rPr>
          <w:t xml:space="preserve">[53]</w:t>
        </w:r>
      </w:hyperlink>
    </w:p>
    <w:bookmarkEnd w:id="77"/>
    <w:bookmarkStart w:id="79" w:name="Xed3ea8266394302f6015123765618c8b025b401"/>
    <w:p>
      <w:pPr>
        <w:pStyle w:val="Heading3"/>
      </w:pPr>
      <w:r>
        <w:t xml:space="preserve">Comparison table of refutations and replies</w:t>
      </w:r>
    </w:p>
    <w:tbl>
      <w:tblPr>
        <w:tblStyle w:val="Table"/>
        <w:tblW w:type="auto" w:w="0"/>
        <w:tblLook w:firstRow="1" w:lastRow="0" w:firstColumn="0" w:lastColumn="0" w:noHBand="0" w:noVBand="0" w:val="0020"/>
      </w:tblPr>
      <w:tblGrid>
        <w:gridCol w:w="2640"/>
        <w:gridCol w:w="2640"/>
        <w:gridCol w:w="2640"/>
      </w:tblGrid>
      <w:tr>
        <w:trPr>
          <w:tblHeader w:val="on"/>
        </w:trPr>
        <w:tc>
          <w:tcPr/>
          <w:p>
            <w:pPr>
              <w:pStyle w:val="Compact"/>
            </w:pPr>
            <w:r>
              <w:t xml:space="preserve">Sunni objection</w:t>
            </w:r>
          </w:p>
        </w:tc>
        <w:tc>
          <w:tcPr/>
          <w:p>
            <w:pPr>
              <w:pStyle w:val="Compact"/>
            </w:pPr>
            <w:r>
              <w:t xml:space="preserve">Representative sources</w:t>
            </w:r>
          </w:p>
        </w:tc>
        <w:tc>
          <w:tcPr/>
          <w:p>
            <w:pPr>
              <w:pStyle w:val="Compact"/>
            </w:pPr>
            <w:r>
              <w:t xml:space="preserve">Concise Twelver reply</w:t>
            </w:r>
          </w:p>
        </w:tc>
      </w:tr>
      <w:tr>
        <w:tc>
          <w:tcPr/>
          <w:p>
            <w:pPr>
              <w:pStyle w:val="Compact"/>
            </w:pPr>
            <w:r>
              <w:t xml:space="preserve">33:33 belongs contextually to the Prophet’s wives; no necessary proof of ʿismah.</w:t>
            </w:r>
          </w:p>
        </w:tc>
        <w:tc>
          <w:tcPr/>
          <w:p>
            <w:pPr>
              <w:pStyle w:val="Compact"/>
            </w:pPr>
            <w:r>
              <w:t xml:space="preserve">Ibn Kathīr/Jalālayn-style summaries; Sunni hadith context.</w:t>
            </w:r>
            <w:r>
              <w:t xml:space="preserve"> </w:t>
            </w:r>
            <w:hyperlink r:id="rId49">
              <w:r>
                <w:rPr>
                  <w:rStyle w:val="Hyperlink"/>
                </w:rPr>
                <w:t xml:space="preserve">[54]</w:t>
              </w:r>
            </w:hyperlink>
          </w:p>
        </w:tc>
        <w:tc>
          <w:tcPr/>
          <w:p>
            <w:pPr>
              <w:pStyle w:val="Compact"/>
            </w:pPr>
            <w:r>
              <w:t xml:space="preserve">The cloak hadith in Sunni collections narrows the verse’s doctrinal referent to the core Ahl al-Bayt; the grammatical shift supports this.</w:t>
            </w:r>
            <w:r>
              <w:t xml:space="preserve"> </w:t>
            </w:r>
            <w:hyperlink r:id="rId78">
              <w:r>
                <w:rPr>
                  <w:rStyle w:val="Hyperlink"/>
                </w:rPr>
                <w:t xml:space="preserve">[55]</w:t>
              </w:r>
            </w:hyperlink>
          </w:p>
        </w:tc>
      </w:tr>
      <w:tr>
        <w:tc>
          <w:tcPr/>
          <w:p>
            <w:pPr>
              <w:pStyle w:val="Compact"/>
            </w:pPr>
            <w:r>
              <w:t xml:space="preserve">4:59 refers to rulers/scholars, who are not infallible.</w:t>
            </w:r>
          </w:p>
        </w:tc>
        <w:tc>
          <w:tcPr/>
          <w:p>
            <w:pPr>
              <w:pStyle w:val="Compact"/>
            </w:pPr>
            <w:r>
              <w:t xml:space="preserve">Sunni tafsir summaries.</w:t>
            </w:r>
            <w:r>
              <w:t xml:space="preserve"> </w:t>
            </w:r>
            <w:hyperlink r:id="rId50">
              <w:r>
                <w:rPr>
                  <w:rStyle w:val="Hyperlink"/>
                </w:rPr>
                <w:t xml:space="preserve">[28]</w:t>
              </w:r>
            </w:hyperlink>
          </w:p>
        </w:tc>
        <w:tc>
          <w:tcPr/>
          <w:p>
            <w:pPr>
              <w:pStyle w:val="Compact"/>
            </w:pPr>
            <w:r>
              <w:t xml:space="preserve">Unqualified obedience cannot rationally target a fallible leader in matters of religion.</w:t>
            </w:r>
            <w:r>
              <w:t xml:space="preserve"> </w:t>
            </w:r>
            <w:hyperlink r:id="rId36">
              <w:r>
                <w:rPr>
                  <w:rStyle w:val="Hyperlink"/>
                </w:rPr>
                <w:t xml:space="preserve">[27]</w:t>
              </w:r>
            </w:hyperlink>
          </w:p>
        </w:tc>
      </w:tr>
      <w:tr>
        <w:tc>
          <w:tcPr/>
          <w:p>
            <w:pPr>
              <w:pStyle w:val="Compact"/>
            </w:pPr>
            <w:r>
              <w:t xml:space="preserve">2:124 excludes only obvious wrongdoers/disbelievers, not all who once sinned.</w:t>
            </w:r>
          </w:p>
        </w:tc>
        <w:tc>
          <w:tcPr/>
          <w:p>
            <w:pPr>
              <w:pStyle w:val="Compact"/>
            </w:pPr>
            <w:r>
              <w:t xml:space="preserve">Sunni tafsir summaries.</w:t>
            </w:r>
            <w:r>
              <w:t xml:space="preserve"> </w:t>
            </w:r>
            <w:hyperlink r:id="rId51">
              <w:r>
                <w:rPr>
                  <w:rStyle w:val="Hyperlink"/>
                </w:rPr>
                <w:t xml:space="preserve">[30]</w:t>
              </w:r>
            </w:hyperlink>
          </w:p>
        </w:tc>
        <w:tc>
          <w:tcPr/>
          <w:p>
            <w:pPr>
              <w:pStyle w:val="Compact"/>
            </w:pPr>
            <w:r>
              <w:t xml:space="preserve">Imāmah is a divine covenant of guidance; any real injustice is incompatible with the office’s purpose.</w:t>
            </w:r>
            <w:r>
              <w:t xml:space="preserve"> </w:t>
            </w:r>
            <w:hyperlink r:id="rId37">
              <w:r>
                <w:rPr>
                  <w:rStyle w:val="Hyperlink"/>
                </w:rPr>
                <w:t xml:space="preserve">[56]</w:t>
              </w:r>
            </w:hyperlink>
          </w:p>
        </w:tc>
      </w:tr>
      <w:tr>
        <w:tc>
          <w:tcPr/>
          <w:p>
            <w:pPr>
              <w:pStyle w:val="Compact"/>
            </w:pPr>
            <w:r>
              <w:t xml:space="preserve">Prophets may commit minor slips; therefore broader Shiʿi ʿismah is excessive.</w:t>
            </w:r>
          </w:p>
        </w:tc>
        <w:tc>
          <w:tcPr/>
          <w:p>
            <w:pPr>
              <w:pStyle w:val="Compact"/>
            </w:pPr>
            <w:r>
              <w:t xml:space="preserve">Ibn Taymiyya and some Sunni schools.</w:t>
            </w:r>
            <w:r>
              <w:t xml:space="preserve"> </w:t>
            </w:r>
            <w:hyperlink r:id="rId72">
              <w:r>
                <w:rPr>
                  <w:rStyle w:val="Hyperlink"/>
                </w:rPr>
                <w:t xml:space="preserve">[57]</w:t>
              </w:r>
            </w:hyperlink>
          </w:p>
        </w:tc>
        <w:tc>
          <w:tcPr/>
          <w:p>
            <w:pPr>
              <w:pStyle w:val="Compact"/>
            </w:pPr>
            <w:r>
              <w:t xml:space="preserve">Apparent slips are reinterpreted as pedagogical acts,</w:t>
            </w:r>
            <w:r>
              <w:t xml:space="preserve"> </w:t>
            </w:r>
            <w:r>
              <w:rPr>
                <w:i/>
                <w:iCs/>
              </w:rPr>
              <w:t xml:space="preserve">tark al-awlā</w:t>
            </w:r>
            <w:r>
              <w:t xml:space="preserve">, or reports insufficient to override the wider doctrine of protected guidance.</w:t>
            </w:r>
            <w:r>
              <w:t xml:space="preserve"> </w:t>
            </w:r>
            <w:hyperlink r:id="rId45">
              <w:r>
                <w:rPr>
                  <w:rStyle w:val="Hyperlink"/>
                </w:rPr>
                <w:t xml:space="preserve">[58]</w:t>
              </w:r>
            </w:hyperlink>
          </w:p>
        </w:tc>
      </w:tr>
      <w:tr>
        <w:tc>
          <w:tcPr/>
          <w:p>
            <w:pPr>
              <w:pStyle w:val="Compact"/>
            </w:pPr>
            <w:r>
              <w:t xml:space="preserve">No one after the Prophet is maʿṣūm.</w:t>
            </w:r>
          </w:p>
        </w:tc>
        <w:tc>
          <w:tcPr/>
          <w:p>
            <w:pPr>
              <w:pStyle w:val="Compact"/>
            </w:pPr>
            <w:r>
              <w:rPr>
                <w:i/>
                <w:iCs/>
              </w:rPr>
              <w:t xml:space="preserve">Minhāj al-Sunnah</w:t>
            </w:r>
            <w:r>
              <w:t xml:space="preserve">.</w:t>
            </w:r>
            <w:r>
              <w:t xml:space="preserve"> </w:t>
            </w:r>
            <w:hyperlink r:id="rId52">
              <w:r>
                <w:rPr>
                  <w:rStyle w:val="Hyperlink"/>
                </w:rPr>
                <w:t xml:space="preserve">[59]</w:t>
              </w:r>
            </w:hyperlink>
          </w:p>
        </w:tc>
        <w:tc>
          <w:tcPr/>
          <w:p>
            <w:pPr>
              <w:pStyle w:val="Compact"/>
            </w:pPr>
            <w:r>
              <w:t xml:space="preserve">Ḥadīth al-Thaqalayn and Twelver reports show the Prophet designated a continuing household authority inseparable from the Qurʾan.</w:t>
            </w:r>
            <w:r>
              <w:t xml:space="preserve"> </w:t>
            </w:r>
            <w:hyperlink r:id="rId40">
              <w:r>
                <w:rPr>
                  <w:rStyle w:val="Hyperlink"/>
                </w:rPr>
                <w:t xml:space="preserve">[60]</w:t>
              </w:r>
            </w:hyperlink>
          </w:p>
        </w:tc>
      </w:tr>
    </w:tbl>
    <w:bookmarkEnd w:id="79"/>
    <w:bookmarkEnd w:id="80"/>
    <w:bookmarkStart w:id="90" w:name="epilogue-and-references"/>
    <w:p>
      <w:pPr>
        <w:pStyle w:val="Heading2"/>
      </w:pPr>
      <w:r>
        <w:t xml:space="preserve">Epilogue and References</w:t>
      </w:r>
    </w:p>
    <w:bookmarkStart w:id="81" w:name="epilogue"/>
    <w:p>
      <w:pPr>
        <w:pStyle w:val="Heading3"/>
      </w:pPr>
      <w:r>
        <w:t xml:space="preserve">Epilogue</w:t>
      </w:r>
    </w:p>
    <w:p>
      <w:pPr>
        <w:pStyle w:val="FirstParagraph"/>
      </w:pPr>
      <w:r>
        <w:t xml:space="preserve">The doctrine of ʿismah sits very near the center of what makes Twelver Shiʿism distinct. It is not merely a claim that certain figures were holy. It is a theory of how God preserves truth in history after the death of the Prophet: through a sanctified household whose authority is textual, moral, juridical, and eschatological. That is why debates about ʿismah so often become debates about everything else as well—Qurʾanic interpretation, hadith canon, succession, juridical obligation, occultation, and the legitimacy of later institutions.</w:t>
      </w:r>
      <w:r>
        <w:t xml:space="preserve"> </w:t>
      </w:r>
      <w:hyperlink r:id="rId45">
        <w:r>
          <w:rPr>
            <w:rStyle w:val="Hyperlink"/>
          </w:rPr>
          <w:t xml:space="preserve">[61]</w:t>
        </w:r>
      </w:hyperlink>
    </w:p>
    <w:p>
      <w:pPr>
        <w:pStyle w:val="BodyText"/>
      </w:pPr>
      <w:r>
        <w:t xml:space="preserve">At the same time, the doctrine illuminates a wider inter-sectarian pattern. Sunni and Twelver Islam share deep commitments to the Qurʾan, prophecy, and moral guidance, but they distribute post-Prophetic authority very differently. Sunni thought, even at its most expansive on prophetic impeccability, generally resists extending infallibility beyond the Prophet; Twelver Shiʿism sees the preservation of religion as requiring just such an extension. Modern relevance lies here: in an age of fragmented authority, competing media scholars, and politicized claims to speak for Islam, the old dispute over ʿismah remains a dispute over whether religion requires a single protected interpretive center, a remembered line of sacred authority, or a more dispersed and fallible scholarly community. That disagreement continues to shape law, devotion, political theology, and Muslim ecumenical possibility.</w:t>
      </w:r>
      <w:r>
        <w:t xml:space="preserve"> </w:t>
      </w:r>
      <w:hyperlink r:id="rId72">
        <w:r>
          <w:rPr>
            <w:rStyle w:val="Hyperlink"/>
          </w:rPr>
          <w:t xml:space="preserve">[62]</w:t>
        </w:r>
      </w:hyperlink>
    </w:p>
    <w:bookmarkEnd w:id="81"/>
    <w:bookmarkStart w:id="89" w:name="selected-bibliography"/>
    <w:p>
      <w:pPr>
        <w:pStyle w:val="Heading3"/>
      </w:pPr>
      <w:r>
        <w:t xml:space="preserve">Selected bibliography</w:t>
      </w:r>
    </w:p>
    <w:p>
      <w:pPr>
        <w:pStyle w:val="FirstParagraph"/>
      </w:pPr>
      <w:r>
        <w:rPr>
          <w:b/>
          <w:bCs/>
        </w:rPr>
        <w:t xml:space="preserve">Primary Twelver sources</w:t>
      </w:r>
    </w:p>
    <w:p>
      <w:pPr>
        <w:pStyle w:val="Compact"/>
        <w:numPr>
          <w:ilvl w:val="0"/>
          <w:numId w:val="1001"/>
        </w:numPr>
      </w:pPr>
      <w:r>
        <w:t xml:space="preserve">Al-Kulaynī,</w:t>
      </w:r>
      <w:r>
        <w:t xml:space="preserve"> </w:t>
      </w:r>
      <w:r>
        <w:rPr>
          <w:i/>
          <w:iCs/>
        </w:rPr>
        <w:t xml:space="preserve">al-Kāfī</w:t>
      </w:r>
      <w:r>
        <w:t xml:space="preserve">, especially the sections on divine authority, imāmah, and reports used to argue the Imams’ infallibility and interpretive authority. The modern seminary overview gives the work’s structure and canonical status, and Thaqalayn provides individual reports with isnāds.</w:t>
      </w:r>
      <w:r>
        <w:t xml:space="preserve"> </w:t>
      </w:r>
      <w:hyperlink r:id="rId29">
        <w:r>
          <w:rPr>
            <w:rStyle w:val="Hyperlink"/>
          </w:rPr>
          <w:t xml:space="preserve">[63]</w:t>
        </w:r>
      </w:hyperlink>
    </w:p>
    <w:p>
      <w:pPr>
        <w:pStyle w:val="Compact"/>
        <w:numPr>
          <w:ilvl w:val="0"/>
          <w:numId w:val="1001"/>
        </w:numPr>
      </w:pPr>
      <w:r>
        <w:t xml:space="preserve">Al-Ṣadūq,</w:t>
      </w:r>
      <w:r>
        <w:t xml:space="preserve"> </w:t>
      </w:r>
      <w:r>
        <w:rPr>
          <w:i/>
          <w:iCs/>
        </w:rPr>
        <w:t xml:space="preserve">al-Iʿtiqādāt</w:t>
      </w:r>
      <w:r>
        <w:t xml:space="preserve"> </w:t>
      </w:r>
      <w:r>
        <w:t xml:space="preserve">(</w:t>
      </w:r>
      <w:r>
        <w:rPr>
          <w:i/>
          <w:iCs/>
        </w:rPr>
        <w:t xml:space="preserve">A Shiʿite Creed</w:t>
      </w:r>
      <w:r>
        <w:t xml:space="preserve">), chapter on ʿismah.</w:t>
      </w:r>
      <w:r>
        <w:t xml:space="preserve"> </w:t>
      </w:r>
      <w:hyperlink r:id="rId21">
        <w:r>
          <w:rPr>
            <w:rStyle w:val="Hyperlink"/>
          </w:rPr>
          <w:t xml:space="preserve">[21]</w:t>
        </w:r>
      </w:hyperlink>
    </w:p>
    <w:p>
      <w:pPr>
        <w:pStyle w:val="Compact"/>
        <w:numPr>
          <w:ilvl w:val="0"/>
          <w:numId w:val="1001"/>
        </w:numPr>
      </w:pPr>
      <w:r>
        <w:t xml:space="preserve">Al-Ṣadūq,</w:t>
      </w:r>
      <w:r>
        <w:t xml:space="preserve"> </w:t>
      </w:r>
      <w:r>
        <w:rPr>
          <w:i/>
          <w:iCs/>
        </w:rPr>
        <w:t xml:space="preserve">Maʿānī al-Akhbār</w:t>
      </w:r>
      <w:r>
        <w:t xml:space="preserve">, chapter “The meaning of the Infallibility of the Imam.”</w:t>
      </w:r>
      <w:r>
        <w:t xml:space="preserve"> </w:t>
      </w:r>
      <w:hyperlink r:id="rId42">
        <w:r>
          <w:rPr>
            <w:rStyle w:val="Hyperlink"/>
          </w:rPr>
          <w:t xml:space="preserve">[16]</w:t>
        </w:r>
      </w:hyperlink>
    </w:p>
    <w:p>
      <w:pPr>
        <w:pStyle w:val="Compact"/>
        <w:numPr>
          <w:ilvl w:val="0"/>
          <w:numId w:val="1001"/>
        </w:numPr>
      </w:pPr>
      <w:r>
        <w:t xml:space="preserve">Al-Mufīd,</w:t>
      </w:r>
      <w:r>
        <w:t xml:space="preserve"> </w:t>
      </w:r>
      <w:r>
        <w:rPr>
          <w:i/>
          <w:iCs/>
        </w:rPr>
        <w:t xml:space="preserve">Taṣḥīḥ al-Iʿtiqād</w:t>
      </w:r>
      <w:r>
        <w:t xml:space="preserve">, chapter on impeccability.</w:t>
      </w:r>
      <w:r>
        <w:t xml:space="preserve"> </w:t>
      </w:r>
      <w:hyperlink r:id="rId45">
        <w:r>
          <w:rPr>
            <w:rStyle w:val="Hyperlink"/>
          </w:rPr>
          <w:t xml:space="preserve">[22]</w:t>
        </w:r>
      </w:hyperlink>
    </w:p>
    <w:p>
      <w:pPr>
        <w:pStyle w:val="Compact"/>
        <w:numPr>
          <w:ilvl w:val="0"/>
          <w:numId w:val="1001"/>
        </w:numPr>
      </w:pPr>
      <w:r>
        <w:t xml:space="preserve">Al-Mufīd,</w:t>
      </w:r>
      <w:r>
        <w:t xml:space="preserve"> </w:t>
      </w:r>
      <w:r>
        <w:rPr>
          <w:i/>
          <w:iCs/>
        </w:rPr>
        <w:t xml:space="preserve">Awāʾil al-Maqālāt</w:t>
      </w:r>
      <w:r>
        <w:t xml:space="preserve">, cited for the principle that every Imam must be designated, infallible, and perfect.</w:t>
      </w:r>
      <w:r>
        <w:t xml:space="preserve"> </w:t>
      </w:r>
      <w:hyperlink r:id="rId23">
        <w:r>
          <w:rPr>
            <w:rStyle w:val="Hyperlink"/>
          </w:rPr>
          <w:t xml:space="preserve">[64]</w:t>
        </w:r>
      </w:hyperlink>
    </w:p>
    <w:p>
      <w:pPr>
        <w:pStyle w:val="Compact"/>
        <w:numPr>
          <w:ilvl w:val="0"/>
          <w:numId w:val="1001"/>
        </w:numPr>
      </w:pPr>
      <w:r>
        <w:t xml:space="preserve">Al-Murtaḍā,</w:t>
      </w:r>
      <w:r>
        <w:t xml:space="preserve"> </w:t>
      </w:r>
      <w:r>
        <w:rPr>
          <w:i/>
          <w:iCs/>
        </w:rPr>
        <w:t xml:space="preserve">Tanzīh al-Anbiyāʾ</w:t>
      </w:r>
      <w:r>
        <w:t xml:space="preserve">, classical defense of prophetic impeccability, foundational for later Twelver hermeneutics.</w:t>
      </w:r>
      <w:r>
        <w:t xml:space="preserve"> </w:t>
      </w:r>
      <w:hyperlink r:id="rId46">
        <w:r>
          <w:rPr>
            <w:rStyle w:val="Hyperlink"/>
          </w:rPr>
          <w:t xml:space="preserve">[65]</w:t>
        </w:r>
      </w:hyperlink>
    </w:p>
    <w:p>
      <w:pPr>
        <w:pStyle w:val="Compact"/>
        <w:numPr>
          <w:ilvl w:val="0"/>
          <w:numId w:val="1001"/>
        </w:numPr>
      </w:pPr>
      <w:r>
        <w:t xml:space="preserve">Al-Ṭūsī,</w:t>
      </w:r>
      <w:r>
        <w:t xml:space="preserve"> </w:t>
      </w:r>
      <w:r>
        <w:rPr>
          <w:i/>
          <w:iCs/>
        </w:rPr>
        <w:t xml:space="preserve">Kitāb al-Ghaybah</w:t>
      </w:r>
      <w:r>
        <w:t xml:space="preserve">, especially the rational argument that the Imam’s infallibility must be ascertained because people are fallible.</w:t>
      </w:r>
      <w:r>
        <w:t xml:space="preserve"> </w:t>
      </w:r>
      <w:hyperlink r:id="rId47">
        <w:r>
          <w:rPr>
            <w:rStyle w:val="Hyperlink"/>
          </w:rPr>
          <w:t xml:space="preserve">[24]</w:t>
        </w:r>
      </w:hyperlink>
    </w:p>
    <w:p>
      <w:pPr>
        <w:pStyle w:val="Compact"/>
        <w:numPr>
          <w:ilvl w:val="0"/>
          <w:numId w:val="1001"/>
        </w:numPr>
      </w:pPr>
      <w:r>
        <w:rPr>
          <w:i/>
          <w:iCs/>
        </w:rPr>
        <w:t xml:space="preserve">Nahj al-Balāghah</w:t>
      </w:r>
      <w:r>
        <w:t xml:space="preserve">, especially sermons used to depict the Ahl al-Bayt as never leading believers astray.</w:t>
      </w:r>
      <w:r>
        <w:t xml:space="preserve"> </w:t>
      </w:r>
      <w:hyperlink r:id="rId43">
        <w:r>
          <w:rPr>
            <w:rStyle w:val="Hyperlink"/>
          </w:rPr>
          <w:t xml:space="preserve">[17]</w:t>
        </w:r>
      </w:hyperlink>
    </w:p>
    <w:p>
      <w:pPr>
        <w:pStyle w:val="Compact"/>
        <w:numPr>
          <w:ilvl w:val="0"/>
          <w:numId w:val="1001"/>
        </w:numPr>
      </w:pPr>
      <w:r>
        <w:t xml:space="preserve">Al-Majlisī,</w:t>
      </w:r>
      <w:r>
        <w:t xml:space="preserve"> </w:t>
      </w:r>
      <w:r>
        <w:rPr>
          <w:i/>
          <w:iCs/>
        </w:rPr>
        <w:t xml:space="preserve">Biḥār al-Anwār</w:t>
      </w:r>
      <w:r>
        <w:t xml:space="preserve">, vol. 25 contents showing dedicated chapters on the Imam’s ʿismah and negation of forgetfulness.</w:t>
      </w:r>
      <w:r>
        <w:t xml:space="preserve"> </w:t>
      </w:r>
      <w:hyperlink r:id="rId27">
        <w:r>
          <w:rPr>
            <w:rStyle w:val="Hyperlink"/>
          </w:rPr>
          <w:t xml:space="preserve">[25]</w:t>
        </w:r>
      </w:hyperlink>
    </w:p>
    <w:p>
      <w:pPr>
        <w:pStyle w:val="Compact"/>
        <w:numPr>
          <w:ilvl w:val="0"/>
          <w:numId w:val="1001"/>
        </w:numPr>
      </w:pPr>
      <w:r>
        <w:t xml:space="preserve">Official website of Ayatollah al-Sistani, legal rulings referring explicitly to the “Infallible Imams.”</w:t>
      </w:r>
      <w:r>
        <w:t xml:space="preserve"> </w:t>
      </w:r>
      <w:hyperlink r:id="rId57">
        <w:r>
          <w:rPr>
            <w:rStyle w:val="Hyperlink"/>
          </w:rPr>
          <w:t xml:space="preserve">[36]</w:t>
        </w:r>
      </w:hyperlink>
    </w:p>
    <w:p>
      <w:pPr>
        <w:pStyle w:val="FirstParagraph"/>
      </w:pPr>
      <w:r>
        <w:rPr>
          <w:b/>
          <w:bCs/>
        </w:rPr>
        <w:t xml:space="preserve">Primary Sunni and comparative sources</w:t>
      </w:r>
    </w:p>
    <w:p>
      <w:pPr>
        <w:pStyle w:val="Compact"/>
        <w:numPr>
          <w:ilvl w:val="0"/>
          <w:numId w:val="1002"/>
        </w:numPr>
      </w:pPr>
      <w:r>
        <w:rPr>
          <w:i/>
          <w:iCs/>
        </w:rPr>
        <w:t xml:space="preserve">Ṣaḥīḥ Muslim</w:t>
      </w:r>
      <w:r>
        <w:t xml:space="preserve">, reports on Ḥadīth al-Thaqalayn and Ḥadīth al-Kisāʾ.</w:t>
      </w:r>
      <w:r>
        <w:t xml:space="preserve"> </w:t>
      </w:r>
      <w:hyperlink r:id="rId40">
        <w:r>
          <w:rPr>
            <w:rStyle w:val="Hyperlink"/>
          </w:rPr>
          <w:t xml:space="preserve">[66]</w:t>
        </w:r>
      </w:hyperlink>
    </w:p>
    <w:p>
      <w:pPr>
        <w:pStyle w:val="Compact"/>
        <w:numPr>
          <w:ilvl w:val="0"/>
          <w:numId w:val="1002"/>
        </w:numPr>
      </w:pPr>
      <w:r>
        <w:rPr>
          <w:i/>
          <w:iCs/>
        </w:rPr>
        <w:t xml:space="preserve">Jāmiʿ al-Tirmidhī</w:t>
      </w:r>
      <w:r>
        <w:t xml:space="preserve">, reports on the cloak hadith and versions of Ḥadīth al-Thaqalayn.</w:t>
      </w:r>
      <w:r>
        <w:t xml:space="preserve"> </w:t>
      </w:r>
      <w:hyperlink r:id="rId78">
        <w:r>
          <w:rPr>
            <w:rStyle w:val="Hyperlink"/>
          </w:rPr>
          <w:t xml:space="preserve">[67]</w:t>
        </w:r>
      </w:hyperlink>
    </w:p>
    <w:p>
      <w:pPr>
        <w:pStyle w:val="Compact"/>
        <w:numPr>
          <w:ilvl w:val="0"/>
          <w:numId w:val="1002"/>
        </w:numPr>
      </w:pPr>
      <w:r>
        <w:t xml:space="preserve">Ibn Taymiyya,</w:t>
      </w:r>
      <w:r>
        <w:t xml:space="preserve"> </w:t>
      </w:r>
      <w:r>
        <w:rPr>
          <w:i/>
          <w:iCs/>
        </w:rPr>
        <w:t xml:space="preserve">Minhāj al-Sunnah al-Nabawiyyah</w:t>
      </w:r>
      <w:r>
        <w:t xml:space="preserve">, sections refuting designation and infallibility of the Imams.</w:t>
      </w:r>
      <w:r>
        <w:t xml:space="preserve"> </w:t>
      </w:r>
      <w:hyperlink r:id="rId52">
        <w:r>
          <w:rPr>
            <w:rStyle w:val="Hyperlink"/>
          </w:rPr>
          <w:t xml:space="preserve">[59]</w:t>
        </w:r>
      </w:hyperlink>
    </w:p>
    <w:p>
      <w:pPr>
        <w:pStyle w:val="Compact"/>
        <w:numPr>
          <w:ilvl w:val="0"/>
          <w:numId w:val="1002"/>
        </w:numPr>
      </w:pPr>
      <w:r>
        <w:t xml:space="preserve">Ibn Taymiyya,</w:t>
      </w:r>
      <w:r>
        <w:t xml:space="preserve"> </w:t>
      </w:r>
      <w:r>
        <w:rPr>
          <w:i/>
          <w:iCs/>
        </w:rPr>
        <w:t xml:space="preserve">al-Nubuwwāt</w:t>
      </w:r>
      <w:r>
        <w:t xml:space="preserve">, on prophetic ʿismah and the mainstream Sunni position on major and minor sins.</w:t>
      </w:r>
      <w:r>
        <w:t xml:space="preserve"> </w:t>
      </w:r>
      <w:hyperlink r:id="rId72">
        <w:r>
          <w:rPr>
            <w:rStyle w:val="Hyperlink"/>
          </w:rPr>
          <w:t xml:space="preserve">[48]</w:t>
        </w:r>
      </w:hyperlink>
    </w:p>
    <w:p>
      <w:pPr>
        <w:pStyle w:val="Compact"/>
        <w:numPr>
          <w:ilvl w:val="0"/>
          <w:numId w:val="1002"/>
        </w:numPr>
      </w:pPr>
      <w:r>
        <w:t xml:space="preserve">Abū al-Ḥasan al-Ashʿarī,</w:t>
      </w:r>
      <w:r>
        <w:t xml:space="preserve"> </w:t>
      </w:r>
      <w:r>
        <w:rPr>
          <w:i/>
          <w:iCs/>
        </w:rPr>
        <w:t xml:space="preserve">Maqālāt al-Islāmiyyīn</w:t>
      </w:r>
      <w:r>
        <w:t xml:space="preserve">, cataloguing Rāfiḍī positions on the Imams.</w:t>
      </w:r>
      <w:r>
        <w:t xml:space="preserve"> </w:t>
      </w:r>
      <w:hyperlink r:id="rId74">
        <w:r>
          <w:rPr>
            <w:rStyle w:val="Hyperlink"/>
          </w:rPr>
          <w:t xml:space="preserve">[68]</w:t>
        </w:r>
      </w:hyperlink>
    </w:p>
    <w:p>
      <w:pPr>
        <w:pStyle w:val="Compact"/>
        <w:numPr>
          <w:ilvl w:val="0"/>
          <w:numId w:val="1002"/>
        </w:numPr>
      </w:pPr>
      <w:r>
        <w:t xml:space="preserve">ʿAbd al-Qāhir al-Baghdādī,</w:t>
      </w:r>
      <w:r>
        <w:t xml:space="preserve"> </w:t>
      </w:r>
      <w:r>
        <w:rPr>
          <w:i/>
          <w:iCs/>
        </w:rPr>
        <w:t xml:space="preserve">al-Farq bayn al-Firaq</w:t>
      </w:r>
      <w:r>
        <w:t xml:space="preserve">, classical heresiographical treatment of Rāfiḍa and ghulāt.</w:t>
      </w:r>
      <w:r>
        <w:t xml:space="preserve"> </w:t>
      </w:r>
      <w:hyperlink r:id="rId82">
        <w:r>
          <w:rPr>
            <w:rStyle w:val="Hyperlink"/>
          </w:rPr>
          <w:t xml:space="preserve">[69]</w:t>
        </w:r>
      </w:hyperlink>
    </w:p>
    <w:p>
      <w:pPr>
        <w:pStyle w:val="FirstParagraph"/>
      </w:pPr>
      <w:r>
        <w:rPr>
          <w:b/>
          <w:bCs/>
        </w:rPr>
        <w:t xml:space="preserve">Major academic studies</w:t>
      </w:r>
    </w:p>
    <w:p>
      <w:pPr>
        <w:pStyle w:val="Compact"/>
        <w:numPr>
          <w:ilvl w:val="0"/>
          <w:numId w:val="1003"/>
        </w:numPr>
      </w:pPr>
      <w:r>
        <w:t xml:space="preserve">Moojan Momen,</w:t>
      </w:r>
      <w:r>
        <w:t xml:space="preserve"> </w:t>
      </w:r>
      <w:r>
        <w:rPr>
          <w:i/>
          <w:iCs/>
        </w:rPr>
        <w:t xml:space="preserve">An Introduction to Shiʿi Islam</w:t>
      </w:r>
      <w:r>
        <w:t xml:space="preserve"> </w:t>
      </w:r>
      <w:r>
        <w:t xml:space="preserve">and later introductory syntheses on Shiʿism.</w:t>
      </w:r>
      <w:r>
        <w:t xml:space="preserve"> </w:t>
      </w:r>
      <w:hyperlink r:id="rId83">
        <w:r>
          <w:rPr>
            <w:rStyle w:val="Hyperlink"/>
          </w:rPr>
          <w:t xml:space="preserve">[70]</w:t>
        </w:r>
      </w:hyperlink>
    </w:p>
    <w:p>
      <w:pPr>
        <w:pStyle w:val="Compact"/>
        <w:numPr>
          <w:ilvl w:val="0"/>
          <w:numId w:val="1003"/>
        </w:numPr>
      </w:pPr>
      <w:r>
        <w:t xml:space="preserve">Mohammad Ali Amir-Moezzi,</w:t>
      </w:r>
      <w:r>
        <w:t xml:space="preserve"> </w:t>
      </w:r>
      <w:r>
        <w:rPr>
          <w:i/>
          <w:iCs/>
        </w:rPr>
        <w:t xml:space="preserve">The Divine Guide in Early Shiʿism</w:t>
      </w:r>
      <w:r>
        <w:t xml:space="preserve">.</w:t>
      </w:r>
      <w:r>
        <w:t xml:space="preserve"> </w:t>
      </w:r>
      <w:hyperlink r:id="rId25">
        <w:r>
          <w:rPr>
            <w:rStyle w:val="Hyperlink"/>
          </w:rPr>
          <w:t xml:space="preserve">[5]</w:t>
        </w:r>
      </w:hyperlink>
    </w:p>
    <w:p>
      <w:pPr>
        <w:pStyle w:val="Compact"/>
        <w:numPr>
          <w:ilvl w:val="0"/>
          <w:numId w:val="1003"/>
        </w:numPr>
      </w:pPr>
      <w:r>
        <w:t xml:space="preserve">Matthew Pierce,</w:t>
      </w:r>
      <w:r>
        <w:t xml:space="preserve"> </w:t>
      </w:r>
      <w:r>
        <w:rPr>
          <w:i/>
          <w:iCs/>
        </w:rPr>
        <w:t xml:space="preserve">Twelve Infallible Men: The Imams and the Making of Shiʿism</w:t>
      </w:r>
      <w:r>
        <w:t xml:space="preserve">, and scholarly reviews thereof.</w:t>
      </w:r>
      <w:r>
        <w:t xml:space="preserve"> </w:t>
      </w:r>
      <w:hyperlink r:id="rId84">
        <w:r>
          <w:rPr>
            <w:rStyle w:val="Hyperlink"/>
          </w:rPr>
          <w:t xml:space="preserve">[71]</w:t>
        </w:r>
      </w:hyperlink>
    </w:p>
    <w:p>
      <w:pPr>
        <w:pStyle w:val="Compact"/>
        <w:numPr>
          <w:ilvl w:val="0"/>
          <w:numId w:val="1003"/>
        </w:numPr>
      </w:pPr>
      <w:r>
        <w:t xml:space="preserve">Edmund Hayes,</w:t>
      </w:r>
      <w:r>
        <w:t xml:space="preserve"> </w:t>
      </w:r>
      <w:r>
        <w:rPr>
          <w:i/>
          <w:iCs/>
        </w:rPr>
        <w:t xml:space="preserve">Agents of the Hidden Imam: Forging Twelver Shiʿism, 850–950 CE</w:t>
      </w:r>
      <w:r>
        <w:t xml:space="preserve">.</w:t>
      </w:r>
      <w:r>
        <w:t xml:space="preserve"> </w:t>
      </w:r>
      <w:hyperlink r:id="rId85">
        <w:r>
          <w:rPr>
            <w:rStyle w:val="Hyperlink"/>
          </w:rPr>
          <w:t xml:space="preserve">[72]</w:t>
        </w:r>
      </w:hyperlink>
    </w:p>
    <w:p>
      <w:pPr>
        <w:pStyle w:val="Compact"/>
        <w:numPr>
          <w:ilvl w:val="0"/>
          <w:numId w:val="1003"/>
        </w:numPr>
      </w:pPr>
      <w:r>
        <w:t xml:space="preserve">Karen G. Ruffle, “An Even Better Creation: The Role of Adam and Eve in Shiʿi Narratives about Fatimah al-Zahra,”</w:t>
      </w:r>
      <w:r>
        <w:t xml:space="preserve"> </w:t>
      </w:r>
      <w:r>
        <w:rPr>
          <w:i/>
          <w:iCs/>
        </w:rPr>
        <w:t xml:space="preserve">Journal of the American Academy of Religion</w:t>
      </w:r>
      <w:r>
        <w:t xml:space="preserve">.</w:t>
      </w:r>
      <w:r>
        <w:t xml:space="preserve"> </w:t>
      </w:r>
      <w:hyperlink r:id="rId86">
        <w:r>
          <w:rPr>
            <w:rStyle w:val="Hyperlink"/>
          </w:rPr>
          <w:t xml:space="preserve">[73]</w:t>
        </w:r>
      </w:hyperlink>
    </w:p>
    <w:p>
      <w:pPr>
        <w:pStyle w:val="Compact"/>
        <w:numPr>
          <w:ilvl w:val="0"/>
          <w:numId w:val="1003"/>
        </w:numPr>
      </w:pPr>
      <w:r>
        <w:t xml:space="preserve">James Piscatori and Amin Saikal, “Shiʿa Islam and the Umma.”</w:t>
      </w:r>
      <w:r>
        <w:t xml:space="preserve"> </w:t>
      </w:r>
      <w:hyperlink r:id="rId87">
        <w:r>
          <w:rPr>
            <w:rStyle w:val="Hyperlink"/>
          </w:rPr>
          <w:t xml:space="preserve">[74]</w:t>
        </w:r>
      </w:hyperlink>
    </w:p>
    <w:p>
      <w:pPr>
        <w:pStyle w:val="Compact"/>
        <w:numPr>
          <w:ilvl w:val="0"/>
          <w:numId w:val="1003"/>
        </w:numPr>
      </w:pPr>
      <w:r>
        <w:t xml:space="preserve">Mohammad Hasan Qadrdan Qaramaliki, “The Imam’s Infallibility (ʿIṣmah) and Responses to Criticisms,”</w:t>
      </w:r>
      <w:r>
        <w:t xml:space="preserve"> </w:t>
      </w:r>
      <w:r>
        <w:rPr>
          <w:i/>
          <w:iCs/>
        </w:rPr>
        <w:t xml:space="preserve">Journal of the Contemporary Study of Islam</w:t>
      </w:r>
      <w:r>
        <w:t xml:space="preserve">.</w:t>
      </w:r>
      <w:r>
        <w:t xml:space="preserve"> </w:t>
      </w:r>
      <w:hyperlink r:id="rId67">
        <w:r>
          <w:rPr>
            <w:rStyle w:val="Hyperlink"/>
          </w:rPr>
          <w:t xml:space="preserve">[75]</w:t>
        </w:r>
      </w:hyperlink>
    </w:p>
    <w:p>
      <w:pPr>
        <w:pStyle w:val="Compact"/>
        <w:numPr>
          <w:ilvl w:val="0"/>
          <w:numId w:val="1003"/>
        </w:numPr>
      </w:pPr>
      <w:r>
        <w:t xml:space="preserve">Martin J. McDermott’s work on al-Mufīd remains foundational for the study of Shiʿi kalām, and is regularly cited in bibliographies of Mufīd’s doctrinal writings.</w:t>
      </w:r>
      <w:r>
        <w:t xml:space="preserve"> </w:t>
      </w:r>
      <w:hyperlink r:id="rId88">
        <w:r>
          <w:rPr>
            <w:rStyle w:val="Hyperlink"/>
          </w:rPr>
          <w:t xml:space="preserve">[76]</w:t>
        </w:r>
      </w:hyperlink>
    </w:p>
    <w:bookmarkEnd w:id="89"/>
    <w:bookmarkEnd w:id="90"/>
    <w:bookmarkEnd w:id="91"/>
    <w:bookmarkEnd w:id="92"/>
    <w:p>
      <w:r>
        <w:pict>
          <v:rect style="width:0;height:1.5pt" o:hralign="center" o:hrstd="t" o:hr="t"/>
        </w:pict>
      </w:r>
    </w:p>
    <w:bookmarkStart w:id="93" w:name="citations"/>
    <w:p>
      <w:pPr>
        <w:pStyle w:val="FirstParagraph"/>
      </w:pPr>
      <w:hyperlink r:id="rId21">
        <w:r>
          <w:rPr>
            <w:rStyle w:val="Hyperlink"/>
          </w:rPr>
          <w:t xml:space="preserve">[1]</w:t>
        </w:r>
      </w:hyperlink>
      <w:r>
        <w:t xml:space="preserve"> </w:t>
      </w:r>
      <w:hyperlink r:id="rId21">
        <w:r>
          <w:rPr>
            <w:rStyle w:val="Hyperlink"/>
          </w:rPr>
          <w:t xml:space="preserve">[2]</w:t>
        </w:r>
      </w:hyperlink>
      <w:r>
        <w:t xml:space="preserve"> </w:t>
      </w:r>
      <w:hyperlink r:id="rId21">
        <w:r>
          <w:rPr>
            <w:rStyle w:val="Hyperlink"/>
          </w:rPr>
          <w:t xml:space="preserve">[3]</w:t>
        </w:r>
      </w:hyperlink>
      <w:r>
        <w:t xml:space="preserve"> </w:t>
      </w:r>
      <w:hyperlink r:id="rId21">
        <w:r>
          <w:rPr>
            <w:rStyle w:val="Hyperlink"/>
          </w:rPr>
          <w:t xml:space="preserve">[7]</w:t>
        </w:r>
      </w:hyperlink>
      <w:r>
        <w:t xml:space="preserve"> </w:t>
      </w:r>
      <w:hyperlink r:id="rId21">
        <w:r>
          <w:rPr>
            <w:rStyle w:val="Hyperlink"/>
          </w:rPr>
          <w:t xml:space="preserve">[21]</w:t>
        </w:r>
      </w:hyperlink>
      <w:r>
        <w:t xml:space="preserve"> </w:t>
      </w:r>
      <w:r>
        <w:t xml:space="preserve">https://al-islam.org/shiite-creed-shaykh-saduq/concerning-infallibility-isma</w:t>
      </w:r>
    </w:p>
    <w:p>
      <w:pPr>
        <w:pStyle w:val="BodyText"/>
      </w:pPr>
      <w:hyperlink r:id="rId21">
        <w:r>
          <w:rPr>
            <w:rStyle w:val="Hyperlink"/>
          </w:rPr>
          <w:t xml:space="preserve">https://al-islam.org/shiite-creed-shaykh-saduq/concerning-infallibility-isma</w:t>
        </w:r>
      </w:hyperlink>
    </w:p>
    <w:p>
      <w:pPr>
        <w:pStyle w:val="BodyText"/>
      </w:pPr>
      <w:hyperlink r:id="rId23">
        <w:r>
          <w:rPr>
            <w:rStyle w:val="Hyperlink"/>
          </w:rPr>
          <w:t xml:space="preserve">[4]</w:t>
        </w:r>
      </w:hyperlink>
      <w:r>
        <w:t xml:space="preserve"> </w:t>
      </w:r>
      <w:hyperlink r:id="rId23">
        <w:r>
          <w:rPr>
            <w:rStyle w:val="Hyperlink"/>
          </w:rPr>
          <w:t xml:space="preserve">[64]</w:t>
        </w:r>
      </w:hyperlink>
      <w:r>
        <w:t xml:space="preserve"> </w:t>
      </w:r>
      <w:r>
        <w:t xml:space="preserve">https://al-islam.org/printpdf/book/export/html/43976</w:t>
      </w:r>
    </w:p>
    <w:p>
      <w:pPr>
        <w:pStyle w:val="BodyText"/>
      </w:pPr>
      <w:hyperlink r:id="rId23">
        <w:r>
          <w:rPr>
            <w:rStyle w:val="Hyperlink"/>
          </w:rPr>
          <w:t xml:space="preserve">https://al-islam.org/printpdf/book/export/html/43976</w:t>
        </w:r>
      </w:hyperlink>
    </w:p>
    <w:p>
      <w:pPr>
        <w:pStyle w:val="BodyText"/>
      </w:pPr>
      <w:hyperlink r:id="rId25">
        <w:r>
          <w:rPr>
            <w:rStyle w:val="Hyperlink"/>
          </w:rPr>
          <w:t xml:space="preserve">[5]</w:t>
        </w:r>
      </w:hyperlink>
      <w:r>
        <w:t xml:space="preserve"> </w:t>
      </w:r>
      <w:r>
        <w:t xml:space="preserve">https://books.google.com/books/about/The_Divine_Guide_in_Early_Shi_ism.html?id=Mx93XZnDHxQC</w:t>
      </w:r>
    </w:p>
    <w:p>
      <w:pPr>
        <w:pStyle w:val="BodyText"/>
      </w:pPr>
      <w:hyperlink r:id="rId25">
        <w:r>
          <w:rPr>
            <w:rStyle w:val="Hyperlink"/>
          </w:rPr>
          <w:t xml:space="preserve">https://books.google.com/books/about/The_Divine_Guide_in_Early_Shi_ism.html?id=Mx93XZnDHxQC</w:t>
        </w:r>
      </w:hyperlink>
    </w:p>
    <w:p>
      <w:pPr>
        <w:pStyle w:val="BodyText"/>
      </w:pPr>
      <w:hyperlink r:id="rId26">
        <w:r>
          <w:rPr>
            <w:rStyle w:val="Hyperlink"/>
          </w:rPr>
          <w:t xml:space="preserve">[6]</w:t>
        </w:r>
      </w:hyperlink>
      <w:r>
        <w:t xml:space="preserve"> </w:t>
      </w:r>
      <w:hyperlink r:id="rId26">
        <w:r>
          <w:rPr>
            <w:rStyle w:val="Hyperlink"/>
          </w:rPr>
          <w:t xml:space="preserve">[38]</w:t>
        </w:r>
      </w:hyperlink>
      <w:r>
        <w:t xml:space="preserve"> </w:t>
      </w:r>
      <w:r>
        <w:t xml:space="preserve">https://al-islam.org/shaykh-al-tusis-book-occultation-shaykh-tusi</w:t>
      </w:r>
    </w:p>
    <w:p>
      <w:pPr>
        <w:pStyle w:val="BodyText"/>
      </w:pPr>
      <w:hyperlink r:id="rId26">
        <w:r>
          <w:rPr>
            <w:rStyle w:val="Hyperlink"/>
          </w:rPr>
          <w:t xml:space="preserve">https://al-islam.org/shaykh-al-tusis-book-occultation-shaykh-tusi</w:t>
        </w:r>
      </w:hyperlink>
    </w:p>
    <w:p>
      <w:pPr>
        <w:pStyle w:val="BodyText"/>
      </w:pPr>
      <w:hyperlink r:id="rId27">
        <w:r>
          <w:rPr>
            <w:rStyle w:val="Hyperlink"/>
          </w:rPr>
          <w:t xml:space="preserve">[8]</w:t>
        </w:r>
      </w:hyperlink>
      <w:r>
        <w:t xml:space="preserve"> </w:t>
      </w:r>
      <w:hyperlink r:id="rId27">
        <w:r>
          <w:rPr>
            <w:rStyle w:val="Hyperlink"/>
          </w:rPr>
          <w:t xml:space="preserve">[25]</w:t>
        </w:r>
      </w:hyperlink>
      <w:r>
        <w:t xml:space="preserve"> </w:t>
      </w:r>
      <w:r>
        <w:t xml:space="preserve">https://lib.eshia.ir/11008/25/392</w:t>
      </w:r>
    </w:p>
    <w:p>
      <w:pPr>
        <w:pStyle w:val="BodyText"/>
      </w:pPr>
      <w:hyperlink r:id="rId27">
        <w:r>
          <w:rPr>
            <w:rStyle w:val="Hyperlink"/>
          </w:rPr>
          <w:t xml:space="preserve">https://lib.eshia.ir/11008/25/392</w:t>
        </w:r>
      </w:hyperlink>
    </w:p>
    <w:p>
      <w:pPr>
        <w:pStyle w:val="BodyText"/>
      </w:pPr>
      <w:hyperlink r:id="rId29">
        <w:r>
          <w:rPr>
            <w:rStyle w:val="Hyperlink"/>
          </w:rPr>
          <w:t xml:space="preserve">[9]</w:t>
        </w:r>
      </w:hyperlink>
      <w:r>
        <w:t xml:space="preserve"> </w:t>
      </w:r>
      <w:hyperlink r:id="rId29">
        <w:r>
          <w:rPr>
            <w:rStyle w:val="Hyperlink"/>
          </w:rPr>
          <w:t xml:space="preserve">[19]</w:t>
        </w:r>
      </w:hyperlink>
      <w:r>
        <w:t xml:space="preserve"> </w:t>
      </w:r>
      <w:hyperlink r:id="rId29">
        <w:r>
          <w:rPr>
            <w:rStyle w:val="Hyperlink"/>
          </w:rPr>
          <w:t xml:space="preserve">[20]</w:t>
        </w:r>
      </w:hyperlink>
      <w:r>
        <w:t xml:space="preserve"> </w:t>
      </w:r>
      <w:hyperlink r:id="rId29">
        <w:r>
          <w:rPr>
            <w:rStyle w:val="Hyperlink"/>
          </w:rPr>
          <w:t xml:space="preserve">[63]</w:t>
        </w:r>
      </w:hyperlink>
      <w:r>
        <w:t xml:space="preserve"> </w:t>
      </w:r>
      <w:r>
        <w:t xml:space="preserve">https://al-islam.org/printpdf/book/export/html/43197</w:t>
      </w:r>
    </w:p>
    <w:p>
      <w:pPr>
        <w:pStyle w:val="BodyText"/>
      </w:pPr>
      <w:hyperlink r:id="rId29">
        <w:r>
          <w:rPr>
            <w:rStyle w:val="Hyperlink"/>
          </w:rPr>
          <w:t xml:space="preserve">https://al-islam.org/printpdf/book/export/html/43197</w:t>
        </w:r>
      </w:hyperlink>
    </w:p>
    <w:p>
      <w:pPr>
        <w:pStyle w:val="BodyText"/>
      </w:pPr>
      <w:hyperlink r:id="rId35">
        <w:r>
          <w:rPr>
            <w:rStyle w:val="Hyperlink"/>
          </w:rPr>
          <w:t xml:space="preserve">[10]</w:t>
        </w:r>
      </w:hyperlink>
      <w:r>
        <w:t xml:space="preserve"> </w:t>
      </w:r>
      <w:r>
        <w:t xml:space="preserve">https://al-islam.org/man-and-universe-murtadha-mutahhari/chapter-36-imamat-quran</w:t>
      </w:r>
    </w:p>
    <w:p>
      <w:pPr>
        <w:pStyle w:val="BodyText"/>
      </w:pPr>
      <w:hyperlink r:id="rId35">
        <w:r>
          <w:rPr>
            <w:rStyle w:val="Hyperlink"/>
          </w:rPr>
          <w:t xml:space="preserve">https://al-islam.org/man-and-universe-murtadha-mutahhari/chapter-36-imamat-quran</w:t>
        </w:r>
      </w:hyperlink>
    </w:p>
    <w:p>
      <w:pPr>
        <w:pStyle w:val="BodyText"/>
      </w:pPr>
      <w:hyperlink r:id="rId36">
        <w:r>
          <w:rPr>
            <w:rStyle w:val="Hyperlink"/>
          </w:rPr>
          <w:t xml:space="preserve">[11]</w:t>
        </w:r>
      </w:hyperlink>
      <w:r>
        <w:t xml:space="preserve"> </w:t>
      </w:r>
      <w:hyperlink r:id="rId36">
        <w:r>
          <w:rPr>
            <w:rStyle w:val="Hyperlink"/>
          </w:rPr>
          <w:t xml:space="preserve">[27]</w:t>
        </w:r>
      </w:hyperlink>
      <w:r>
        <w:t xml:space="preserve"> </w:t>
      </w:r>
      <w:hyperlink r:id="rId36">
        <w:r>
          <w:rPr>
            <w:rStyle w:val="Hyperlink"/>
          </w:rPr>
          <w:t xml:space="preserve">[52]</w:t>
        </w:r>
      </w:hyperlink>
      <w:r>
        <w:t xml:space="preserve"> </w:t>
      </w:r>
      <w:r>
        <w:t xml:space="preserve">https://al-islam.org/imamate-vicegerency-prophet-s-sayyid-saeed-akhtar-rizvi/part-2-shiite-point-view</w:t>
      </w:r>
    </w:p>
    <w:p>
      <w:pPr>
        <w:pStyle w:val="BodyText"/>
      </w:pPr>
      <w:hyperlink r:id="rId36">
        <w:r>
          <w:rPr>
            <w:rStyle w:val="Hyperlink"/>
          </w:rPr>
          <w:t xml:space="preserve">https://al-islam.org/imamate-vicegerency-prophet-s-sayyid-saeed-akhtar-rizvi/part-2-shiite-point-view</w:t>
        </w:r>
      </w:hyperlink>
    </w:p>
    <w:p>
      <w:pPr>
        <w:pStyle w:val="BodyText"/>
      </w:pPr>
      <w:hyperlink r:id="rId37">
        <w:r>
          <w:rPr>
            <w:rStyle w:val="Hyperlink"/>
          </w:rPr>
          <w:t xml:space="preserve">[12]</w:t>
        </w:r>
      </w:hyperlink>
      <w:r>
        <w:t xml:space="preserve"> </w:t>
      </w:r>
      <w:hyperlink r:id="rId37">
        <w:r>
          <w:rPr>
            <w:rStyle w:val="Hyperlink"/>
          </w:rPr>
          <w:t xml:space="preserve">[18]</w:t>
        </w:r>
      </w:hyperlink>
      <w:r>
        <w:t xml:space="preserve"> </w:t>
      </w:r>
      <w:hyperlink r:id="rId37">
        <w:r>
          <w:rPr>
            <w:rStyle w:val="Hyperlink"/>
          </w:rPr>
          <w:t xml:space="preserve">[29]</w:t>
        </w:r>
      </w:hyperlink>
      <w:r>
        <w:t xml:space="preserve"> </w:t>
      </w:r>
      <w:hyperlink r:id="rId37">
        <w:r>
          <w:rPr>
            <w:rStyle w:val="Hyperlink"/>
          </w:rPr>
          <w:t xml:space="preserve">[56]</w:t>
        </w:r>
      </w:hyperlink>
      <w:r>
        <w:t xml:space="preserve"> </w:t>
      </w:r>
      <w:r>
        <w:t xml:space="preserve">https://thaqalayn.net/hadith/1/4/15/1</w:t>
      </w:r>
    </w:p>
    <w:p>
      <w:pPr>
        <w:pStyle w:val="BodyText"/>
      </w:pPr>
      <w:hyperlink r:id="rId37">
        <w:r>
          <w:rPr>
            <w:rStyle w:val="Hyperlink"/>
          </w:rPr>
          <w:t xml:space="preserve">https://thaqalayn.net/hadith/1/4/15/1</w:t>
        </w:r>
      </w:hyperlink>
    </w:p>
    <w:p>
      <w:pPr>
        <w:pStyle w:val="BodyText"/>
      </w:pPr>
      <w:hyperlink r:id="rId38">
        <w:r>
          <w:rPr>
            <w:rStyle w:val="Hyperlink"/>
          </w:rPr>
          <w:t xml:space="preserve">[13]</w:t>
        </w:r>
      </w:hyperlink>
      <w:r>
        <w:t xml:space="preserve"> </w:t>
      </w:r>
      <w:r>
        <w:t xml:space="preserve">https://al-islam.org/life-fatimah-az-zahra-principal-all-women-study-and-analysis-baqir-sharif-al-qurashi/fatimah-quran</w:t>
      </w:r>
    </w:p>
    <w:p>
      <w:pPr>
        <w:pStyle w:val="BodyText"/>
      </w:pPr>
      <w:hyperlink r:id="rId38">
        <w:r>
          <w:rPr>
            <w:rStyle w:val="Hyperlink"/>
          </w:rPr>
          <w:t xml:space="preserve">https://al-islam.org/life-fatimah-az-zahra-principal-all-women-study-and-analysis-baqir-sharif-al-qurashi/fatimah-quran</w:t>
        </w:r>
      </w:hyperlink>
    </w:p>
    <w:p>
      <w:pPr>
        <w:pStyle w:val="BodyText"/>
      </w:pPr>
      <w:hyperlink r:id="rId40">
        <w:r>
          <w:rPr>
            <w:rStyle w:val="Hyperlink"/>
          </w:rPr>
          <w:t xml:space="preserve">[14]</w:t>
        </w:r>
      </w:hyperlink>
      <w:r>
        <w:t xml:space="preserve"> </w:t>
      </w:r>
      <w:hyperlink r:id="rId40">
        <w:r>
          <w:rPr>
            <w:rStyle w:val="Hyperlink"/>
          </w:rPr>
          <w:t xml:space="preserve">[31]</w:t>
        </w:r>
      </w:hyperlink>
      <w:r>
        <w:t xml:space="preserve"> </w:t>
      </w:r>
      <w:hyperlink r:id="rId40">
        <w:r>
          <w:rPr>
            <w:rStyle w:val="Hyperlink"/>
          </w:rPr>
          <w:t xml:space="preserve">[60]</w:t>
        </w:r>
      </w:hyperlink>
      <w:r>
        <w:t xml:space="preserve"> </w:t>
      </w:r>
      <w:hyperlink r:id="rId40">
        <w:r>
          <w:rPr>
            <w:rStyle w:val="Hyperlink"/>
          </w:rPr>
          <w:t xml:space="preserve">[66]</w:t>
        </w:r>
      </w:hyperlink>
      <w:r>
        <w:t xml:space="preserve"> </w:t>
      </w:r>
      <w:r>
        <w:t xml:space="preserve">https://sunnah.com/muslim%3A2408a</w:t>
      </w:r>
    </w:p>
    <w:p>
      <w:pPr>
        <w:pStyle w:val="BodyText"/>
      </w:pPr>
      <w:hyperlink r:id="rId40">
        <w:r>
          <w:rPr>
            <w:rStyle w:val="Hyperlink"/>
          </w:rPr>
          <w:t xml:space="preserve">https://sunnah.com/muslim%3A2408a</w:t>
        </w:r>
      </w:hyperlink>
    </w:p>
    <w:p>
      <w:pPr>
        <w:pStyle w:val="BodyText"/>
      </w:pPr>
      <w:hyperlink r:id="rId41">
        <w:r>
          <w:rPr>
            <w:rStyle w:val="Hyperlink"/>
          </w:rPr>
          <w:t xml:space="preserve">[15]</w:t>
        </w:r>
      </w:hyperlink>
      <w:r>
        <w:t xml:space="preserve"> </w:t>
      </w:r>
      <w:hyperlink r:id="rId41">
        <w:r>
          <w:rPr>
            <w:rStyle w:val="Hyperlink"/>
          </w:rPr>
          <w:t xml:space="preserve">[32]</w:t>
        </w:r>
      </w:hyperlink>
      <w:r>
        <w:t xml:space="preserve"> </w:t>
      </w:r>
      <w:r>
        <w:t xml:space="preserve">https://thaqalayn.net/chapter/1/4/53</w:t>
      </w:r>
    </w:p>
    <w:p>
      <w:pPr>
        <w:pStyle w:val="BodyText"/>
      </w:pPr>
      <w:hyperlink r:id="rId41">
        <w:r>
          <w:rPr>
            <w:rStyle w:val="Hyperlink"/>
          </w:rPr>
          <w:t xml:space="preserve">https://thaqalayn.net/chapter/1/4/53</w:t>
        </w:r>
      </w:hyperlink>
    </w:p>
    <w:p>
      <w:pPr>
        <w:pStyle w:val="BodyText"/>
      </w:pPr>
      <w:hyperlink r:id="rId42">
        <w:r>
          <w:rPr>
            <w:rStyle w:val="Hyperlink"/>
          </w:rPr>
          <w:t xml:space="preserve">[16]</w:t>
        </w:r>
      </w:hyperlink>
      <w:r>
        <w:t xml:space="preserve"> </w:t>
      </w:r>
      <w:r>
        <w:t xml:space="preserve">https://thaqalayn.net/chapter/28/1/64</w:t>
      </w:r>
    </w:p>
    <w:p>
      <w:pPr>
        <w:pStyle w:val="BodyText"/>
      </w:pPr>
      <w:hyperlink r:id="rId42">
        <w:r>
          <w:rPr>
            <w:rStyle w:val="Hyperlink"/>
          </w:rPr>
          <w:t xml:space="preserve">https://thaqalayn.net/chapter/28/1/64</w:t>
        </w:r>
      </w:hyperlink>
    </w:p>
    <w:p>
      <w:pPr>
        <w:pStyle w:val="BodyText"/>
      </w:pPr>
      <w:hyperlink r:id="rId43">
        <w:r>
          <w:rPr>
            <w:rStyle w:val="Hyperlink"/>
          </w:rPr>
          <w:t xml:space="preserve">[17]</w:t>
        </w:r>
      </w:hyperlink>
      <w:r>
        <w:t xml:space="preserve"> </w:t>
      </w:r>
      <w:r>
        <w:t xml:space="preserve">https://al-islam.org/what-true-success-excerpts-peak-eloquence-nahjul-balagha/9-alis-discourses-other-topics</w:t>
      </w:r>
    </w:p>
    <w:p>
      <w:pPr>
        <w:pStyle w:val="BodyText"/>
      </w:pPr>
      <w:hyperlink r:id="rId43">
        <w:r>
          <w:rPr>
            <w:rStyle w:val="Hyperlink"/>
          </w:rPr>
          <w:t xml:space="preserve">https://al-islam.org/what-true-success-excerpts-peak-eloquence-nahjul-balagha/9-alis-discourses-other-topics</w:t>
        </w:r>
      </w:hyperlink>
    </w:p>
    <w:p>
      <w:pPr>
        <w:pStyle w:val="BodyText"/>
      </w:pPr>
      <w:hyperlink r:id="rId45">
        <w:r>
          <w:rPr>
            <w:rStyle w:val="Hyperlink"/>
          </w:rPr>
          <w:t xml:space="preserve">[22]</w:t>
        </w:r>
      </w:hyperlink>
      <w:r>
        <w:t xml:space="preserve"> </w:t>
      </w:r>
      <w:hyperlink r:id="rId45">
        <w:r>
          <w:rPr>
            <w:rStyle w:val="Hyperlink"/>
          </w:rPr>
          <w:t xml:space="preserve">[34]</w:t>
        </w:r>
      </w:hyperlink>
      <w:r>
        <w:t xml:space="preserve"> </w:t>
      </w:r>
      <w:hyperlink r:id="rId45">
        <w:r>
          <w:rPr>
            <w:rStyle w:val="Hyperlink"/>
          </w:rPr>
          <w:t xml:space="preserve">[58]</w:t>
        </w:r>
      </w:hyperlink>
      <w:r>
        <w:t xml:space="preserve"> </w:t>
      </w:r>
      <w:hyperlink r:id="rId45">
        <w:r>
          <w:rPr>
            <w:rStyle w:val="Hyperlink"/>
          </w:rPr>
          <w:t xml:space="preserve">[61]</w:t>
        </w:r>
      </w:hyperlink>
      <w:r>
        <w:t xml:space="preserve"> </w:t>
      </w:r>
      <w:r>
        <w:t xml:space="preserve">https://al-islam.org/emendation-shiite-creed-shaykh-al-mufid/32-belief-impeccability-al-ismah</w:t>
      </w:r>
    </w:p>
    <w:p>
      <w:pPr>
        <w:pStyle w:val="BodyText"/>
      </w:pPr>
      <w:hyperlink r:id="rId45">
        <w:r>
          <w:rPr>
            <w:rStyle w:val="Hyperlink"/>
          </w:rPr>
          <w:t xml:space="preserve">https://al-islam.org/emendation-shiite-creed-shaykh-al-mufid/32-belief-impeccability-al-ismah</w:t>
        </w:r>
      </w:hyperlink>
    </w:p>
    <w:p>
      <w:pPr>
        <w:pStyle w:val="BodyText"/>
      </w:pPr>
      <w:hyperlink r:id="rId46">
        <w:r>
          <w:rPr>
            <w:rStyle w:val="Hyperlink"/>
          </w:rPr>
          <w:t xml:space="preserve">[23]</w:t>
        </w:r>
      </w:hyperlink>
      <w:r>
        <w:t xml:space="preserve"> </w:t>
      </w:r>
      <w:hyperlink r:id="rId46">
        <w:r>
          <w:rPr>
            <w:rStyle w:val="Hyperlink"/>
          </w:rPr>
          <w:t xml:space="preserve">[65]</w:t>
        </w:r>
      </w:hyperlink>
      <w:r>
        <w:t xml:space="preserve"> </w:t>
      </w:r>
      <w:r>
        <w:t xml:space="preserve">https://forage.com/book/1368460</w:t>
      </w:r>
    </w:p>
    <w:p>
      <w:pPr>
        <w:pStyle w:val="BodyText"/>
      </w:pPr>
      <w:hyperlink r:id="rId46">
        <w:r>
          <w:rPr>
            <w:rStyle w:val="Hyperlink"/>
          </w:rPr>
          <w:t xml:space="preserve">https://forage.com/book/1368460</w:t>
        </w:r>
      </w:hyperlink>
    </w:p>
    <w:p>
      <w:pPr>
        <w:pStyle w:val="BodyText"/>
      </w:pPr>
      <w:hyperlink r:id="rId47">
        <w:r>
          <w:rPr>
            <w:rStyle w:val="Hyperlink"/>
          </w:rPr>
          <w:t xml:space="preserve">[24]</w:t>
        </w:r>
      </w:hyperlink>
      <w:r>
        <w:t xml:space="preserve"> </w:t>
      </w:r>
      <w:r>
        <w:t xml:space="preserve">https://thaqalayn.net/chapter/27/1/4</w:t>
      </w:r>
    </w:p>
    <w:p>
      <w:pPr>
        <w:pStyle w:val="BodyText"/>
      </w:pPr>
      <w:hyperlink r:id="rId47">
        <w:r>
          <w:rPr>
            <w:rStyle w:val="Hyperlink"/>
          </w:rPr>
          <w:t xml:space="preserve">https://thaqalayn.net/chapter/27/1/4</w:t>
        </w:r>
      </w:hyperlink>
    </w:p>
    <w:p>
      <w:pPr>
        <w:pStyle w:val="BodyText"/>
      </w:pPr>
      <w:hyperlink r:id="rId49">
        <w:r>
          <w:rPr>
            <w:rStyle w:val="Hyperlink"/>
          </w:rPr>
          <w:t xml:space="preserve">[26]</w:t>
        </w:r>
      </w:hyperlink>
      <w:r>
        <w:t xml:space="preserve"> </w:t>
      </w:r>
      <w:hyperlink r:id="rId49">
        <w:r>
          <w:rPr>
            <w:rStyle w:val="Hyperlink"/>
          </w:rPr>
          <w:t xml:space="preserve">[47]</w:t>
        </w:r>
      </w:hyperlink>
      <w:r>
        <w:t xml:space="preserve"> </w:t>
      </w:r>
      <w:hyperlink r:id="rId49">
        <w:r>
          <w:rPr>
            <w:rStyle w:val="Hyperlink"/>
          </w:rPr>
          <w:t xml:space="preserve">[54]</w:t>
        </w:r>
      </w:hyperlink>
      <w:r>
        <w:t xml:space="preserve"> </w:t>
      </w:r>
      <w:r>
        <w:t xml:space="preserve">https://quranx.com/Tafsirs/33.33</w:t>
      </w:r>
    </w:p>
    <w:p>
      <w:pPr>
        <w:pStyle w:val="BodyText"/>
      </w:pPr>
      <w:hyperlink r:id="rId49">
        <w:r>
          <w:rPr>
            <w:rStyle w:val="Hyperlink"/>
          </w:rPr>
          <w:t xml:space="preserve">https://quranx.com/Tafsirs/33.33</w:t>
        </w:r>
      </w:hyperlink>
    </w:p>
    <w:p>
      <w:pPr>
        <w:pStyle w:val="BodyText"/>
      </w:pPr>
      <w:hyperlink r:id="rId50">
        <w:r>
          <w:rPr>
            <w:rStyle w:val="Hyperlink"/>
          </w:rPr>
          <w:t xml:space="preserve">[28]</w:t>
        </w:r>
      </w:hyperlink>
      <w:r>
        <w:t xml:space="preserve"> </w:t>
      </w:r>
      <w:r>
        <w:t xml:space="preserve">https://quranx.com/Tafsirs/4.59</w:t>
      </w:r>
    </w:p>
    <w:p>
      <w:pPr>
        <w:pStyle w:val="BodyText"/>
      </w:pPr>
      <w:hyperlink r:id="rId50">
        <w:r>
          <w:rPr>
            <w:rStyle w:val="Hyperlink"/>
          </w:rPr>
          <w:t xml:space="preserve">https://quranx.com/Tafsirs/4.59</w:t>
        </w:r>
      </w:hyperlink>
    </w:p>
    <w:p>
      <w:pPr>
        <w:pStyle w:val="BodyText"/>
      </w:pPr>
      <w:hyperlink r:id="rId51">
        <w:r>
          <w:rPr>
            <w:rStyle w:val="Hyperlink"/>
          </w:rPr>
          <w:t xml:space="preserve">[30]</w:t>
        </w:r>
      </w:hyperlink>
      <w:r>
        <w:t xml:space="preserve"> </w:t>
      </w:r>
      <w:r>
        <w:t xml:space="preserve">https://quranx.com/Tafsir/Kathir/2.124</w:t>
      </w:r>
    </w:p>
    <w:p>
      <w:pPr>
        <w:pStyle w:val="BodyText"/>
      </w:pPr>
      <w:hyperlink r:id="rId51">
        <w:r>
          <w:rPr>
            <w:rStyle w:val="Hyperlink"/>
          </w:rPr>
          <w:t xml:space="preserve">https://quranx.com/Tafsir/Kathir/2.124</w:t>
        </w:r>
      </w:hyperlink>
    </w:p>
    <w:p>
      <w:pPr>
        <w:pStyle w:val="BodyText"/>
      </w:pPr>
      <w:hyperlink r:id="rId52">
        <w:r>
          <w:rPr>
            <w:rStyle w:val="Hyperlink"/>
          </w:rPr>
          <w:t xml:space="preserve">[33]</w:t>
        </w:r>
      </w:hyperlink>
      <w:r>
        <w:t xml:space="preserve"> </w:t>
      </w:r>
      <w:hyperlink r:id="rId52">
        <w:r>
          <w:rPr>
            <w:rStyle w:val="Hyperlink"/>
          </w:rPr>
          <w:t xml:space="preserve">[59]</w:t>
        </w:r>
      </w:hyperlink>
      <w:r>
        <w:t xml:space="preserve"> </w:t>
      </w:r>
      <w:r>
        <w:t xml:space="preserve">https://shamela.ws/book/927/3017</w:t>
      </w:r>
    </w:p>
    <w:p>
      <w:pPr>
        <w:pStyle w:val="BodyText"/>
      </w:pPr>
      <w:hyperlink r:id="rId52">
        <w:r>
          <w:rPr>
            <w:rStyle w:val="Hyperlink"/>
          </w:rPr>
          <w:t xml:space="preserve">https://shamela.ws/book/927/3017</w:t>
        </w:r>
      </w:hyperlink>
    </w:p>
    <w:p>
      <w:pPr>
        <w:pStyle w:val="BodyText"/>
      </w:pPr>
      <w:hyperlink r:id="rId55">
        <w:r>
          <w:rPr>
            <w:rStyle w:val="Hyperlink"/>
          </w:rPr>
          <w:t xml:space="preserve">[35]</w:t>
        </w:r>
      </w:hyperlink>
      <w:r>
        <w:t xml:space="preserve"> </w:t>
      </w:r>
      <w:hyperlink r:id="rId55">
        <w:r>
          <w:rPr>
            <w:rStyle w:val="Hyperlink"/>
          </w:rPr>
          <w:t xml:space="preserve">[37]</w:t>
        </w:r>
      </w:hyperlink>
      <w:r>
        <w:t xml:space="preserve"> </w:t>
      </w:r>
      <w:r>
        <w:t xml:space="preserve">https://al-islam.org/shia-political-thought-ahmed-vaezi/what-wilayat-al-faqih</w:t>
      </w:r>
    </w:p>
    <w:p>
      <w:pPr>
        <w:pStyle w:val="BodyText"/>
      </w:pPr>
      <w:hyperlink r:id="rId55">
        <w:r>
          <w:rPr>
            <w:rStyle w:val="Hyperlink"/>
          </w:rPr>
          <w:t xml:space="preserve">https://al-islam.org/shia-political-thought-ahmed-vaezi/what-wilayat-al-faqih</w:t>
        </w:r>
      </w:hyperlink>
    </w:p>
    <w:p>
      <w:pPr>
        <w:pStyle w:val="BodyText"/>
      </w:pPr>
      <w:hyperlink r:id="rId57">
        <w:r>
          <w:rPr>
            <w:rStyle w:val="Hyperlink"/>
          </w:rPr>
          <w:t xml:space="preserve">[36]</w:t>
        </w:r>
      </w:hyperlink>
      <w:r>
        <w:t xml:space="preserve"> </w:t>
      </w:r>
      <w:r>
        <w:t xml:space="preserve">https://www.sistani.org/english/book/48/2284/</w:t>
      </w:r>
    </w:p>
    <w:p>
      <w:pPr>
        <w:pStyle w:val="BodyText"/>
      </w:pPr>
      <w:hyperlink r:id="rId57">
        <w:r>
          <w:rPr>
            <w:rStyle w:val="Hyperlink"/>
          </w:rPr>
          <w:t xml:space="preserve">https://www.sistani.org/english/book/48/2284/</w:t>
        </w:r>
      </w:hyperlink>
    </w:p>
    <w:p>
      <w:pPr>
        <w:pStyle w:val="BodyText"/>
      </w:pPr>
      <w:hyperlink r:id="rId59">
        <w:r>
          <w:rPr>
            <w:rStyle w:val="Hyperlink"/>
          </w:rPr>
          <w:t xml:space="preserve">[39]</w:t>
        </w:r>
      </w:hyperlink>
      <w:r>
        <w:t xml:space="preserve"> </w:t>
      </w:r>
      <w:r>
        <w:t xml:space="preserve">https://en.wikishia.net/view/Raj%27a</w:t>
      </w:r>
    </w:p>
    <w:p>
      <w:pPr>
        <w:pStyle w:val="BodyText"/>
      </w:pPr>
      <w:hyperlink r:id="rId59">
        <w:r>
          <w:rPr>
            <w:rStyle w:val="Hyperlink"/>
          </w:rPr>
          <w:t xml:space="preserve">https://en.wikishia.net/view/Raj%27a</w:t>
        </w:r>
      </w:hyperlink>
    </w:p>
    <w:p>
      <w:pPr>
        <w:pStyle w:val="BodyText"/>
      </w:pPr>
      <w:hyperlink r:id="rId62">
        <w:r>
          <w:rPr>
            <w:rStyle w:val="Hyperlink"/>
          </w:rPr>
          <w:t xml:space="preserve">[40]</w:t>
        </w:r>
      </w:hyperlink>
      <w:r>
        <w:t xml:space="preserve"> </w:t>
      </w:r>
      <w:r>
        <w:t xml:space="preserve">https://al-islam.org/organizations/AalimNetwork/msg00344.html</w:t>
      </w:r>
    </w:p>
    <w:p>
      <w:pPr>
        <w:pStyle w:val="BodyText"/>
      </w:pPr>
      <w:hyperlink r:id="rId62">
        <w:r>
          <w:rPr>
            <w:rStyle w:val="Hyperlink"/>
          </w:rPr>
          <w:t xml:space="preserve">https://al-islam.org/organizations/AalimNetwork/msg00344.html</w:t>
        </w:r>
      </w:hyperlink>
    </w:p>
    <w:p>
      <w:pPr>
        <w:pStyle w:val="BodyText"/>
      </w:pPr>
      <w:hyperlink r:id="rId63">
        <w:r>
          <w:rPr>
            <w:rStyle w:val="Hyperlink"/>
          </w:rPr>
          <w:t xml:space="preserve">[41]</w:t>
        </w:r>
      </w:hyperlink>
      <w:r>
        <w:t xml:space="preserve"> </w:t>
      </w:r>
      <w:hyperlink r:id="rId63">
        <w:r>
          <w:rPr>
            <w:rStyle w:val="Hyperlink"/>
          </w:rPr>
          <w:t xml:space="preserve">[42]</w:t>
        </w:r>
      </w:hyperlink>
      <w:r>
        <w:t xml:space="preserve"> </w:t>
      </w:r>
      <w:r>
        <w:t xml:space="preserve">https://al-islam.org/ask/are-there-any-infallibles-in-shia-islam-other-than-the-14-members-of-the-ahl-al-bayt-as-all-the-prophets-as-and-lady-maryam-as-is-sayyida-zainab-daughter-of-imam-ali-as-considered-infallible-as-unlike-anyone-else-both-her-parents-are-masoom</w:t>
      </w:r>
    </w:p>
    <w:p>
      <w:pPr>
        <w:pStyle w:val="BodyText"/>
      </w:pPr>
      <w:hyperlink r:id="rId63">
        <w:r>
          <w:rPr>
            <w:rStyle w:val="Hyperlink"/>
          </w:rPr>
          <w:t xml:space="preserve">https://al-islam.org/ask/are-there-any-infallibles-in-shia-islam-other-than-the-14-members-of-the-ahl-al-bayt-as-all-the-prophets-as-and-lady-maryam-as-is-sayyida-zainab-daughter-of-imam-ali-as-considered-infallible-as-unlike-anyone-else-both-her-parents-are-masoom</w:t>
        </w:r>
      </w:hyperlink>
    </w:p>
    <w:p>
      <w:pPr>
        <w:pStyle w:val="BodyText"/>
      </w:pPr>
      <w:hyperlink r:id="rId65">
        <w:r>
          <w:rPr>
            <w:rStyle w:val="Hyperlink"/>
          </w:rPr>
          <w:t xml:space="preserve">[43]</w:t>
        </w:r>
      </w:hyperlink>
      <w:r>
        <w:t xml:space="preserve"> </w:t>
      </w:r>
      <w:hyperlink r:id="rId65">
        <w:r>
          <w:rPr>
            <w:rStyle w:val="Hyperlink"/>
          </w:rPr>
          <w:t xml:space="preserve">[51]</w:t>
        </w:r>
      </w:hyperlink>
      <w:r>
        <w:t xml:space="preserve"> </w:t>
      </w:r>
      <w:r>
        <w:t xml:space="preserve">https://sunnah.com/muslim%3A2424</w:t>
      </w:r>
    </w:p>
    <w:p>
      <w:pPr>
        <w:pStyle w:val="BodyText"/>
      </w:pPr>
      <w:hyperlink r:id="rId65">
        <w:r>
          <w:rPr>
            <w:rStyle w:val="Hyperlink"/>
          </w:rPr>
          <w:t xml:space="preserve">https://sunnah.com/muslim%3A2424</w:t>
        </w:r>
      </w:hyperlink>
    </w:p>
    <w:p>
      <w:pPr>
        <w:pStyle w:val="BodyText"/>
      </w:pPr>
      <w:hyperlink r:id="rId67">
        <w:r>
          <w:rPr>
            <w:rStyle w:val="Hyperlink"/>
          </w:rPr>
          <w:t xml:space="preserve">[44]</w:t>
        </w:r>
      </w:hyperlink>
      <w:r>
        <w:t xml:space="preserve"> </w:t>
      </w:r>
      <w:hyperlink r:id="rId67">
        <w:r>
          <w:rPr>
            <w:rStyle w:val="Hyperlink"/>
          </w:rPr>
          <w:t xml:space="preserve">[75]</w:t>
        </w:r>
      </w:hyperlink>
      <w:r>
        <w:t xml:space="preserve"> </w:t>
      </w:r>
      <w:r>
        <w:t xml:space="preserve">https://contemporarystudyofislam.org/index.php/jcsi/article/download/102/34</w:t>
      </w:r>
    </w:p>
    <w:p>
      <w:pPr>
        <w:pStyle w:val="BodyText"/>
      </w:pPr>
      <w:hyperlink r:id="rId67">
        <w:r>
          <w:rPr>
            <w:rStyle w:val="Hyperlink"/>
          </w:rPr>
          <w:t xml:space="preserve">https://contemporarystudyofislam.org/index.php/jcsi/article/download/102/34</w:t>
        </w:r>
      </w:hyperlink>
    </w:p>
    <w:p>
      <w:pPr>
        <w:pStyle w:val="BodyText"/>
      </w:pPr>
      <w:hyperlink r:id="rId68">
        <w:r>
          <w:rPr>
            <w:rStyle w:val="Hyperlink"/>
          </w:rPr>
          <w:t xml:space="preserve">[45]</w:t>
        </w:r>
      </w:hyperlink>
      <w:r>
        <w:t xml:space="preserve"> </w:t>
      </w:r>
      <w:r>
        <w:t xml:space="preserve">https://www.simonandschuster.com/books/Shii-Islam/Moojan-Momen/Beginners-Guides/9781780747873</w:t>
      </w:r>
    </w:p>
    <w:p>
      <w:pPr>
        <w:pStyle w:val="BodyText"/>
      </w:pPr>
      <w:hyperlink r:id="rId68">
        <w:r>
          <w:rPr>
            <w:rStyle w:val="Hyperlink"/>
          </w:rPr>
          <w:t xml:space="preserve">https://www.simonandschuster.com/books/Shii-Islam/Moojan-Momen/Beginners-Guides/9781780747873</w:t>
        </w:r>
      </w:hyperlink>
    </w:p>
    <w:p>
      <w:pPr>
        <w:pStyle w:val="BodyText"/>
      </w:pPr>
      <w:hyperlink r:id="rId69">
        <w:r>
          <w:rPr>
            <w:rStyle w:val="Hyperlink"/>
          </w:rPr>
          <w:t xml:space="preserve">[46]</w:t>
        </w:r>
      </w:hyperlink>
      <w:r>
        <w:t xml:space="preserve"> </w:t>
      </w:r>
      <w:r>
        <w:t xml:space="preserve">https://www.cambridge.org/core/books/ahmad-qabel-and-contemporary-islamic-thought/superstition/FA3C3E6DBD32AA6ABDBA944CBCF31F34</w:t>
      </w:r>
    </w:p>
    <w:p>
      <w:pPr>
        <w:pStyle w:val="BodyText"/>
      </w:pPr>
      <w:hyperlink r:id="rId69">
        <w:r>
          <w:rPr>
            <w:rStyle w:val="Hyperlink"/>
          </w:rPr>
          <w:t xml:space="preserve">https://www.cambridge.org/core/books/ahmad-qabel-and-contemporary-islamic-thought/superstition/FA3C3E6DBD32AA6ABDBA944CBCF31F34</w:t>
        </w:r>
      </w:hyperlink>
    </w:p>
    <w:p>
      <w:pPr>
        <w:pStyle w:val="BodyText"/>
      </w:pPr>
      <w:hyperlink r:id="rId72">
        <w:r>
          <w:rPr>
            <w:rStyle w:val="Hyperlink"/>
          </w:rPr>
          <w:t xml:space="preserve">[48]</w:t>
        </w:r>
      </w:hyperlink>
      <w:r>
        <w:t xml:space="preserve"> </w:t>
      </w:r>
      <w:hyperlink r:id="rId72">
        <w:r>
          <w:rPr>
            <w:rStyle w:val="Hyperlink"/>
          </w:rPr>
          <w:t xml:space="preserve">[57]</w:t>
        </w:r>
      </w:hyperlink>
      <w:r>
        <w:t xml:space="preserve"> </w:t>
      </w:r>
      <w:hyperlink r:id="rId72">
        <w:r>
          <w:rPr>
            <w:rStyle w:val="Hyperlink"/>
          </w:rPr>
          <w:t xml:space="preserve">[62]</w:t>
        </w:r>
      </w:hyperlink>
      <w:r>
        <w:t xml:space="preserve"> </w:t>
      </w:r>
      <w:r>
        <w:t xml:space="preserve">https://shamela.ws/book/11817/853</w:t>
      </w:r>
    </w:p>
    <w:p>
      <w:pPr>
        <w:pStyle w:val="BodyText"/>
      </w:pPr>
      <w:hyperlink r:id="rId72">
        <w:r>
          <w:rPr>
            <w:rStyle w:val="Hyperlink"/>
          </w:rPr>
          <w:t xml:space="preserve">https://shamela.ws/book/11817/853</w:t>
        </w:r>
      </w:hyperlink>
    </w:p>
    <w:p>
      <w:pPr>
        <w:pStyle w:val="BodyText"/>
      </w:pPr>
      <w:hyperlink r:id="rId73">
        <w:r>
          <w:rPr>
            <w:rStyle w:val="Hyperlink"/>
          </w:rPr>
          <w:t xml:space="preserve">[49]</w:t>
        </w:r>
      </w:hyperlink>
      <w:r>
        <w:t xml:space="preserve"> </w:t>
      </w:r>
      <w:r>
        <w:t xml:space="preserve">https://seekersguidance.org/answers/islamic-belief/how-are-the-prophets-protected-from-error-and-sin/</w:t>
      </w:r>
    </w:p>
    <w:p>
      <w:pPr>
        <w:pStyle w:val="BodyText"/>
      </w:pPr>
      <w:hyperlink r:id="rId73">
        <w:r>
          <w:rPr>
            <w:rStyle w:val="Hyperlink"/>
          </w:rPr>
          <w:t xml:space="preserve">https://seekersguidance.org/answers/islamic-belief/how-are-the-prophets-protected-from-error-and-sin/</w:t>
        </w:r>
      </w:hyperlink>
    </w:p>
    <w:p>
      <w:pPr>
        <w:pStyle w:val="BodyText"/>
      </w:pPr>
      <w:hyperlink r:id="rId74">
        <w:r>
          <w:rPr>
            <w:rStyle w:val="Hyperlink"/>
          </w:rPr>
          <w:t xml:space="preserve">[50]</w:t>
        </w:r>
      </w:hyperlink>
      <w:r>
        <w:t xml:space="preserve"> </w:t>
      </w:r>
      <w:hyperlink r:id="rId74">
        <w:r>
          <w:rPr>
            <w:rStyle w:val="Hyperlink"/>
          </w:rPr>
          <w:t xml:space="preserve">[68]</w:t>
        </w:r>
      </w:hyperlink>
      <w:r>
        <w:t xml:space="preserve"> </w:t>
      </w:r>
      <w:r>
        <w:t xml:space="preserve">https://shamela.ws/book/4137</w:t>
      </w:r>
    </w:p>
    <w:p>
      <w:pPr>
        <w:pStyle w:val="BodyText"/>
      </w:pPr>
      <w:hyperlink r:id="rId74">
        <w:r>
          <w:rPr>
            <w:rStyle w:val="Hyperlink"/>
          </w:rPr>
          <w:t xml:space="preserve">https://shamela.ws/book/4137</w:t>
        </w:r>
      </w:hyperlink>
    </w:p>
    <w:p>
      <w:pPr>
        <w:pStyle w:val="BodyText"/>
      </w:pPr>
      <w:hyperlink r:id="rId76">
        <w:r>
          <w:rPr>
            <w:rStyle w:val="Hyperlink"/>
          </w:rPr>
          <w:t xml:space="preserve">[53]</w:t>
        </w:r>
      </w:hyperlink>
      <w:r>
        <w:t xml:space="preserve"> </w:t>
      </w:r>
      <w:r>
        <w:t xml:space="preserve">https://sunnah.com/tirmidhi%3A3788</w:t>
      </w:r>
    </w:p>
    <w:p>
      <w:pPr>
        <w:pStyle w:val="BodyText"/>
      </w:pPr>
      <w:hyperlink r:id="rId76">
        <w:r>
          <w:rPr>
            <w:rStyle w:val="Hyperlink"/>
          </w:rPr>
          <w:t xml:space="preserve">https://sunnah.com/tirmidhi%3A3788</w:t>
        </w:r>
      </w:hyperlink>
    </w:p>
    <w:p>
      <w:pPr>
        <w:pStyle w:val="BodyText"/>
      </w:pPr>
      <w:hyperlink r:id="rId78">
        <w:r>
          <w:rPr>
            <w:rStyle w:val="Hyperlink"/>
          </w:rPr>
          <w:t xml:space="preserve">[55]</w:t>
        </w:r>
      </w:hyperlink>
      <w:r>
        <w:t xml:space="preserve"> </w:t>
      </w:r>
      <w:hyperlink r:id="rId78">
        <w:r>
          <w:rPr>
            <w:rStyle w:val="Hyperlink"/>
          </w:rPr>
          <w:t xml:space="preserve">[67]</w:t>
        </w:r>
      </w:hyperlink>
      <w:r>
        <w:t xml:space="preserve"> </w:t>
      </w:r>
      <w:r>
        <w:t xml:space="preserve">https://sunnah.com/tirmidhi%3A3787</w:t>
      </w:r>
    </w:p>
    <w:p>
      <w:pPr>
        <w:pStyle w:val="BodyText"/>
      </w:pPr>
      <w:hyperlink r:id="rId78">
        <w:r>
          <w:rPr>
            <w:rStyle w:val="Hyperlink"/>
          </w:rPr>
          <w:t xml:space="preserve">https://sunnah.com/tirmidhi%3A3787</w:t>
        </w:r>
      </w:hyperlink>
    </w:p>
    <w:p>
      <w:pPr>
        <w:pStyle w:val="BodyText"/>
      </w:pPr>
      <w:hyperlink r:id="rId82">
        <w:r>
          <w:rPr>
            <w:rStyle w:val="Hyperlink"/>
          </w:rPr>
          <w:t xml:space="preserve">[69]</w:t>
        </w:r>
      </w:hyperlink>
      <w:r>
        <w:t xml:space="preserve"> </w:t>
      </w:r>
      <w:r>
        <w:t xml:space="preserve">https://shamela.ws/book/6520/226</w:t>
      </w:r>
    </w:p>
    <w:p>
      <w:pPr>
        <w:pStyle w:val="BodyText"/>
      </w:pPr>
      <w:hyperlink r:id="rId82">
        <w:r>
          <w:rPr>
            <w:rStyle w:val="Hyperlink"/>
          </w:rPr>
          <w:t xml:space="preserve">https://shamela.ws/book/6520/226</w:t>
        </w:r>
      </w:hyperlink>
    </w:p>
    <w:p>
      <w:pPr>
        <w:pStyle w:val="BodyText"/>
      </w:pPr>
      <w:hyperlink r:id="rId83">
        <w:r>
          <w:rPr>
            <w:rStyle w:val="Hyperlink"/>
          </w:rPr>
          <w:t xml:space="preserve">[70]</w:t>
        </w:r>
      </w:hyperlink>
      <w:r>
        <w:t xml:space="preserve"> </w:t>
      </w:r>
      <w:r>
        <w:t xml:space="preserve">https://archive.org/details/introductiontosh0000unse_d5k7</w:t>
      </w:r>
    </w:p>
    <w:p>
      <w:pPr>
        <w:pStyle w:val="BodyText"/>
      </w:pPr>
      <w:hyperlink r:id="rId83">
        <w:r>
          <w:rPr>
            <w:rStyle w:val="Hyperlink"/>
          </w:rPr>
          <w:t xml:space="preserve">https://archive.org/details/introductiontosh0000unse_d5k7</w:t>
        </w:r>
      </w:hyperlink>
    </w:p>
    <w:p>
      <w:pPr>
        <w:pStyle w:val="BodyText"/>
      </w:pPr>
      <w:hyperlink r:id="rId84">
        <w:r>
          <w:rPr>
            <w:rStyle w:val="Hyperlink"/>
          </w:rPr>
          <w:t xml:space="preserve">[71]</w:t>
        </w:r>
      </w:hyperlink>
      <w:r>
        <w:t xml:space="preserve"> </w:t>
      </w:r>
      <w:r>
        <w:t xml:space="preserve">https://www.hup.harvard.edu/books/9780674737075</w:t>
      </w:r>
    </w:p>
    <w:p>
      <w:pPr>
        <w:pStyle w:val="BodyText"/>
      </w:pPr>
      <w:hyperlink r:id="rId84">
        <w:r>
          <w:rPr>
            <w:rStyle w:val="Hyperlink"/>
          </w:rPr>
          <w:t xml:space="preserve">https://www.hup.harvard.edu/books/9780674737075</w:t>
        </w:r>
      </w:hyperlink>
    </w:p>
    <w:p>
      <w:pPr>
        <w:pStyle w:val="BodyText"/>
      </w:pPr>
      <w:hyperlink r:id="rId85">
        <w:r>
          <w:rPr>
            <w:rStyle w:val="Hyperlink"/>
          </w:rPr>
          <w:t xml:space="preserve">[72]</w:t>
        </w:r>
      </w:hyperlink>
      <w:r>
        <w:t xml:space="preserve"> </w:t>
      </w:r>
      <w:r>
        <w:t xml:space="preserve">https://www.cambridge.org/core/books/agents-of-the-hidden-imam/creation-of-an-envoy/E6A233FD855C63A79EE0A199CB1E4D48</w:t>
      </w:r>
    </w:p>
    <w:p>
      <w:pPr>
        <w:pStyle w:val="BodyText"/>
      </w:pPr>
      <w:hyperlink r:id="rId85">
        <w:r>
          <w:rPr>
            <w:rStyle w:val="Hyperlink"/>
          </w:rPr>
          <w:t xml:space="preserve">https://www.cambridge.org/core/books/agents-of-the-hidden-imam/creation-of-an-envoy/E6A233FD855C63A79EE0A199CB1E4D48</w:t>
        </w:r>
      </w:hyperlink>
    </w:p>
    <w:p>
      <w:pPr>
        <w:pStyle w:val="BodyText"/>
      </w:pPr>
      <w:hyperlink r:id="rId86">
        <w:r>
          <w:rPr>
            <w:rStyle w:val="Hyperlink"/>
          </w:rPr>
          <w:t xml:space="preserve">[73]</w:t>
        </w:r>
      </w:hyperlink>
      <w:r>
        <w:t xml:space="preserve"> </w:t>
      </w:r>
      <w:r>
        <w:t xml:space="preserve">https://academic.oup.com/jaar/article-pdf/81/3/791/2774587/lft047.pdf</w:t>
      </w:r>
    </w:p>
    <w:p>
      <w:pPr>
        <w:pStyle w:val="BodyText"/>
      </w:pPr>
      <w:hyperlink r:id="rId86">
        <w:r>
          <w:rPr>
            <w:rStyle w:val="Hyperlink"/>
          </w:rPr>
          <w:t xml:space="preserve">https://academic.oup.com/jaar/article-pdf/81/3/791/2774587/lft047.pdf</w:t>
        </w:r>
      </w:hyperlink>
    </w:p>
    <w:p>
      <w:pPr>
        <w:pStyle w:val="BodyText"/>
      </w:pPr>
      <w:hyperlink r:id="rId87">
        <w:r>
          <w:rPr>
            <w:rStyle w:val="Hyperlink"/>
          </w:rPr>
          <w:t xml:space="preserve">[74]</w:t>
        </w:r>
      </w:hyperlink>
      <w:r>
        <w:t xml:space="preserve"> </w:t>
      </w:r>
      <w:r>
        <w:t xml:space="preserve">https://www.cambridge.org/core/books/islam-beyond-borders/shia-islam-and-the-umma/31B63348089945108698C3F6FC21694C</w:t>
      </w:r>
    </w:p>
    <w:p>
      <w:pPr>
        <w:pStyle w:val="BodyText"/>
      </w:pPr>
      <w:hyperlink r:id="rId87">
        <w:r>
          <w:rPr>
            <w:rStyle w:val="Hyperlink"/>
          </w:rPr>
          <w:t xml:space="preserve">https://www.cambridge.org/core/books/islam-beyond-borders/shia-islam-and-the-umma/31B63348089945108698C3F6FC21694C</w:t>
        </w:r>
      </w:hyperlink>
    </w:p>
    <w:p>
      <w:pPr>
        <w:pStyle w:val="BodyText"/>
      </w:pPr>
      <w:hyperlink r:id="rId88">
        <w:r>
          <w:rPr>
            <w:rStyle w:val="Hyperlink"/>
          </w:rPr>
          <w:t xml:space="preserve">[76]</w:t>
        </w:r>
      </w:hyperlink>
      <w:r>
        <w:t xml:space="preserve"> </w:t>
      </w:r>
      <w:r>
        <w:t xml:space="preserve">https://archive.org/details/McGillLibrary-118807-1421</w:t>
      </w:r>
    </w:p>
    <w:p>
      <w:pPr>
        <w:pStyle w:val="BodyText"/>
      </w:pPr>
      <w:hyperlink r:id="rId88">
        <w:r>
          <w:rPr>
            <w:rStyle w:val="Hyperlink"/>
          </w:rPr>
          <w:t xml:space="preserve">https://archive.org/details/McGillLibrary-118807-1421</w:t>
        </w:r>
      </w:hyperlink>
    </w:p>
    <w:bookmarkEnd w:id="9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0" Target="media/rId30.png" /><Relationship Type="http://schemas.openxmlformats.org/officeDocument/2006/relationships/hyperlink" Id="rId86" Target="https://academic.oup.com/jaar/article-pdf/81/3/791/2774587/lft047.pdf" TargetMode="External" /><Relationship Type="http://schemas.openxmlformats.org/officeDocument/2006/relationships/hyperlink" Id="rId63" Target="https://al-islam.org/ask/are-there-any-infallibles-in-shia-islam-other-than-the-14-members-of-the-ahl-al-bayt-as-all-the-prophets-as-and-lady-maryam-as-is-sayyida-zainab-daughter-of-imam-ali-as-considered-infallible-as-unlike-anyone-else-both-her-parents-are-masoom" TargetMode="External" /><Relationship Type="http://schemas.openxmlformats.org/officeDocument/2006/relationships/hyperlink" Id="rId45" Target="https://al-islam.org/emendation-shiite-creed-shaykh-al-mufid/32-belief-impeccability-al-ismah" TargetMode="External" /><Relationship Type="http://schemas.openxmlformats.org/officeDocument/2006/relationships/hyperlink" Id="rId36" Target="https://al-islam.org/imamate-vicegerency-prophet-s-sayyid-saeed-akhtar-rizvi/part-2-shiite-point-view" TargetMode="External" /><Relationship Type="http://schemas.openxmlformats.org/officeDocument/2006/relationships/hyperlink" Id="rId38" Target="https://al-islam.org/life-fatimah-az-zahra-principal-all-women-study-and-analysis-baqir-sharif-al-qurashi/fatimah-quran" TargetMode="External" /><Relationship Type="http://schemas.openxmlformats.org/officeDocument/2006/relationships/hyperlink" Id="rId35" Target="https://al-islam.org/man-and-universe-murtadha-mutahhari/chapter-36-imamat-quran" TargetMode="External" /><Relationship Type="http://schemas.openxmlformats.org/officeDocument/2006/relationships/hyperlink" Id="rId62" Target="https://al-islam.org/organizations/AalimNetwork/msg00344.html" TargetMode="External" /><Relationship Type="http://schemas.openxmlformats.org/officeDocument/2006/relationships/hyperlink" Id="rId29" Target="https://al-islam.org/printpdf/book/export/html/43197" TargetMode="External" /><Relationship Type="http://schemas.openxmlformats.org/officeDocument/2006/relationships/hyperlink" Id="rId23" Target="https://al-islam.org/printpdf/book/export/html/43976" TargetMode="External" /><Relationship Type="http://schemas.openxmlformats.org/officeDocument/2006/relationships/hyperlink" Id="rId26" Target="https://al-islam.org/shaykh-al-tusis-book-occultation-shaykh-tusi" TargetMode="External" /><Relationship Type="http://schemas.openxmlformats.org/officeDocument/2006/relationships/hyperlink" Id="rId55" Target="https://al-islam.org/shia-political-thought-ahmed-vaezi/what-wilayat-al-faqih" TargetMode="External" /><Relationship Type="http://schemas.openxmlformats.org/officeDocument/2006/relationships/hyperlink" Id="rId21" Target="https://al-islam.org/shiite-creed-shaykh-saduq/concerning-infallibility-isma" TargetMode="External" /><Relationship Type="http://schemas.openxmlformats.org/officeDocument/2006/relationships/hyperlink" Id="rId43" Target="https://al-islam.org/what-true-success-excerpts-peak-eloquence-nahjul-balagha/9-alis-discourses-other-topics" TargetMode="External" /><Relationship Type="http://schemas.openxmlformats.org/officeDocument/2006/relationships/hyperlink" Id="rId88" Target="https://archive.org/details/McGillLibrary-118807-1421" TargetMode="External" /><Relationship Type="http://schemas.openxmlformats.org/officeDocument/2006/relationships/hyperlink" Id="rId83" Target="https://archive.org/details/introductiontosh0000unse_d5k7" TargetMode="External" /><Relationship Type="http://schemas.openxmlformats.org/officeDocument/2006/relationships/hyperlink" Id="rId25" Target="https://books.google.com/books/about/The_Divine_Guide_in_Early_Shi_ism.html?id=Mx93XZnDHxQC" TargetMode="External" /><Relationship Type="http://schemas.openxmlformats.org/officeDocument/2006/relationships/hyperlink" Id="rId67" Target="https://contemporarystudyofislam.org/index.php/jcsi/article/download/102/34" TargetMode="External" /><Relationship Type="http://schemas.openxmlformats.org/officeDocument/2006/relationships/hyperlink" Id="rId59" Target="https://en.wikishia.net/view/Raj%27a" TargetMode="External" /><Relationship Type="http://schemas.openxmlformats.org/officeDocument/2006/relationships/hyperlink" Id="rId46" Target="https://forage.com/book/1368460" TargetMode="External" /><Relationship Type="http://schemas.openxmlformats.org/officeDocument/2006/relationships/hyperlink" Id="rId27" Target="https://lib.eshia.ir/11008/25/392" TargetMode="External" /><Relationship Type="http://schemas.openxmlformats.org/officeDocument/2006/relationships/hyperlink" Id="rId51" Target="https://quranx.com/Tafsir/Kathir/2.124" TargetMode="External" /><Relationship Type="http://schemas.openxmlformats.org/officeDocument/2006/relationships/hyperlink" Id="rId49" Target="https://quranx.com/Tafsirs/33.33" TargetMode="External" /><Relationship Type="http://schemas.openxmlformats.org/officeDocument/2006/relationships/hyperlink" Id="rId50" Target="https://quranx.com/Tafsirs/4.59" TargetMode="External" /><Relationship Type="http://schemas.openxmlformats.org/officeDocument/2006/relationships/hyperlink" Id="rId73" Target="https://seekersguidance.org/answers/islamic-belief/how-are-the-prophets-protected-from-error-and-sin/" TargetMode="External" /><Relationship Type="http://schemas.openxmlformats.org/officeDocument/2006/relationships/hyperlink" Id="rId72" Target="https://shamela.ws/book/11817/853" TargetMode="External" /><Relationship Type="http://schemas.openxmlformats.org/officeDocument/2006/relationships/hyperlink" Id="rId74" Target="https://shamela.ws/book/4137" TargetMode="External" /><Relationship Type="http://schemas.openxmlformats.org/officeDocument/2006/relationships/hyperlink" Id="rId82" Target="https://shamela.ws/book/6520/226" TargetMode="External" /><Relationship Type="http://schemas.openxmlformats.org/officeDocument/2006/relationships/hyperlink" Id="rId52" Target="https://shamela.ws/book/927/3017" TargetMode="External" /><Relationship Type="http://schemas.openxmlformats.org/officeDocument/2006/relationships/hyperlink" Id="rId40" Target="https://sunnah.com/muslim%3A2408a" TargetMode="External" /><Relationship Type="http://schemas.openxmlformats.org/officeDocument/2006/relationships/hyperlink" Id="rId65" Target="https://sunnah.com/muslim%3A2424" TargetMode="External" /><Relationship Type="http://schemas.openxmlformats.org/officeDocument/2006/relationships/hyperlink" Id="rId78" Target="https://sunnah.com/tirmidhi%3A3787" TargetMode="External" /><Relationship Type="http://schemas.openxmlformats.org/officeDocument/2006/relationships/hyperlink" Id="rId76" Target="https://sunnah.com/tirmidhi%3A3788" TargetMode="External" /><Relationship Type="http://schemas.openxmlformats.org/officeDocument/2006/relationships/hyperlink" Id="rId41" Target="https://thaqalayn.net/chapter/1/4/53" TargetMode="External" /><Relationship Type="http://schemas.openxmlformats.org/officeDocument/2006/relationships/hyperlink" Id="rId47" Target="https://thaqalayn.net/chapter/27/1/4" TargetMode="External" /><Relationship Type="http://schemas.openxmlformats.org/officeDocument/2006/relationships/hyperlink" Id="rId42" Target="https://thaqalayn.net/chapter/28/1/64" TargetMode="External" /><Relationship Type="http://schemas.openxmlformats.org/officeDocument/2006/relationships/hyperlink" Id="rId37" Target="https://thaqalayn.net/hadith/1/4/15/1" TargetMode="External" /><Relationship Type="http://schemas.openxmlformats.org/officeDocument/2006/relationships/hyperlink" Id="rId85" Target="https://www.cambridge.org/core/books/agents-of-the-hidden-imam/creation-of-an-envoy/E6A233FD855C63A79EE0A199CB1E4D48" TargetMode="External" /><Relationship Type="http://schemas.openxmlformats.org/officeDocument/2006/relationships/hyperlink" Id="rId69" Target="https://www.cambridge.org/core/books/ahmad-qabel-and-contemporary-islamic-thought/superstition/FA3C3E6DBD32AA6ABDBA944CBCF31F34" TargetMode="External" /><Relationship Type="http://schemas.openxmlformats.org/officeDocument/2006/relationships/hyperlink" Id="rId87" Target="https://www.cambridge.org/core/books/islam-beyond-borders/shia-islam-and-the-umma/31B63348089945108698C3F6FC21694C" TargetMode="External" /><Relationship Type="http://schemas.openxmlformats.org/officeDocument/2006/relationships/hyperlink" Id="rId84" Target="https://www.hup.harvard.edu/books/9780674737075" TargetMode="External" /><Relationship Type="http://schemas.openxmlformats.org/officeDocument/2006/relationships/hyperlink" Id="rId68" Target="https://www.simonandschuster.com/books/Shii-Islam/Moojan-Momen/Beginners-Guides/9781780747873" TargetMode="External" /><Relationship Type="http://schemas.openxmlformats.org/officeDocument/2006/relationships/hyperlink" Id="rId57" Target="https://www.sistani.org/english/book/48/2284/" TargetMode="External" /></Relationships>
</file>

<file path=word/_rels/footnotes.xml.rels><?xml version="1.0" encoding="UTF-8"?><Relationships xmlns="http://schemas.openxmlformats.org/package/2006/relationships"><Relationship Type="http://schemas.openxmlformats.org/officeDocument/2006/relationships/hyperlink" Id="rId86" Target="https://academic.oup.com/jaar/article-pdf/81/3/791/2774587/lft047.pdf" TargetMode="External" /><Relationship Type="http://schemas.openxmlformats.org/officeDocument/2006/relationships/hyperlink" Id="rId63" Target="https://al-islam.org/ask/are-there-any-infallibles-in-shia-islam-other-than-the-14-members-of-the-ahl-al-bayt-as-all-the-prophets-as-and-lady-maryam-as-is-sayyida-zainab-daughter-of-imam-ali-as-considered-infallible-as-unlike-anyone-else-both-her-parents-are-masoom" TargetMode="External" /><Relationship Type="http://schemas.openxmlformats.org/officeDocument/2006/relationships/hyperlink" Id="rId45" Target="https://al-islam.org/emendation-shiite-creed-shaykh-al-mufid/32-belief-impeccability-al-ismah" TargetMode="External" /><Relationship Type="http://schemas.openxmlformats.org/officeDocument/2006/relationships/hyperlink" Id="rId36" Target="https://al-islam.org/imamate-vicegerency-prophet-s-sayyid-saeed-akhtar-rizvi/part-2-shiite-point-view" TargetMode="External" /><Relationship Type="http://schemas.openxmlformats.org/officeDocument/2006/relationships/hyperlink" Id="rId38" Target="https://al-islam.org/life-fatimah-az-zahra-principal-all-women-study-and-analysis-baqir-sharif-al-qurashi/fatimah-quran" TargetMode="External" /><Relationship Type="http://schemas.openxmlformats.org/officeDocument/2006/relationships/hyperlink" Id="rId35" Target="https://al-islam.org/man-and-universe-murtadha-mutahhari/chapter-36-imamat-quran" TargetMode="External" /><Relationship Type="http://schemas.openxmlformats.org/officeDocument/2006/relationships/hyperlink" Id="rId62" Target="https://al-islam.org/organizations/AalimNetwork/msg00344.html" TargetMode="External" /><Relationship Type="http://schemas.openxmlformats.org/officeDocument/2006/relationships/hyperlink" Id="rId29" Target="https://al-islam.org/printpdf/book/export/html/43197" TargetMode="External" /><Relationship Type="http://schemas.openxmlformats.org/officeDocument/2006/relationships/hyperlink" Id="rId23" Target="https://al-islam.org/printpdf/book/export/html/43976" TargetMode="External" /><Relationship Type="http://schemas.openxmlformats.org/officeDocument/2006/relationships/hyperlink" Id="rId26" Target="https://al-islam.org/shaykh-al-tusis-book-occultation-shaykh-tusi" TargetMode="External" /><Relationship Type="http://schemas.openxmlformats.org/officeDocument/2006/relationships/hyperlink" Id="rId55" Target="https://al-islam.org/shia-political-thought-ahmed-vaezi/what-wilayat-al-faqih" TargetMode="External" /><Relationship Type="http://schemas.openxmlformats.org/officeDocument/2006/relationships/hyperlink" Id="rId21" Target="https://al-islam.org/shiite-creed-shaykh-saduq/concerning-infallibility-isma" TargetMode="External" /><Relationship Type="http://schemas.openxmlformats.org/officeDocument/2006/relationships/hyperlink" Id="rId43" Target="https://al-islam.org/what-true-success-excerpts-peak-eloquence-nahjul-balagha/9-alis-discourses-other-topics" TargetMode="External" /><Relationship Type="http://schemas.openxmlformats.org/officeDocument/2006/relationships/hyperlink" Id="rId88" Target="https://archive.org/details/McGillLibrary-118807-1421" TargetMode="External" /><Relationship Type="http://schemas.openxmlformats.org/officeDocument/2006/relationships/hyperlink" Id="rId83" Target="https://archive.org/details/introductiontosh0000unse_d5k7" TargetMode="External" /><Relationship Type="http://schemas.openxmlformats.org/officeDocument/2006/relationships/hyperlink" Id="rId25" Target="https://books.google.com/books/about/The_Divine_Guide_in_Early_Shi_ism.html?id=Mx93XZnDHxQC" TargetMode="External" /><Relationship Type="http://schemas.openxmlformats.org/officeDocument/2006/relationships/hyperlink" Id="rId67" Target="https://contemporarystudyofislam.org/index.php/jcsi/article/download/102/34" TargetMode="External" /><Relationship Type="http://schemas.openxmlformats.org/officeDocument/2006/relationships/hyperlink" Id="rId59" Target="https://en.wikishia.net/view/Raj%27a" TargetMode="External" /><Relationship Type="http://schemas.openxmlformats.org/officeDocument/2006/relationships/hyperlink" Id="rId46" Target="https://forage.com/book/1368460" TargetMode="External" /><Relationship Type="http://schemas.openxmlformats.org/officeDocument/2006/relationships/hyperlink" Id="rId27" Target="https://lib.eshia.ir/11008/25/392" TargetMode="External" /><Relationship Type="http://schemas.openxmlformats.org/officeDocument/2006/relationships/hyperlink" Id="rId51" Target="https://quranx.com/Tafsir/Kathir/2.124" TargetMode="External" /><Relationship Type="http://schemas.openxmlformats.org/officeDocument/2006/relationships/hyperlink" Id="rId49" Target="https://quranx.com/Tafsirs/33.33" TargetMode="External" /><Relationship Type="http://schemas.openxmlformats.org/officeDocument/2006/relationships/hyperlink" Id="rId50" Target="https://quranx.com/Tafsirs/4.59" TargetMode="External" /><Relationship Type="http://schemas.openxmlformats.org/officeDocument/2006/relationships/hyperlink" Id="rId73" Target="https://seekersguidance.org/answers/islamic-belief/how-are-the-prophets-protected-from-error-and-sin/" TargetMode="External" /><Relationship Type="http://schemas.openxmlformats.org/officeDocument/2006/relationships/hyperlink" Id="rId72" Target="https://shamela.ws/book/11817/853" TargetMode="External" /><Relationship Type="http://schemas.openxmlformats.org/officeDocument/2006/relationships/hyperlink" Id="rId74" Target="https://shamela.ws/book/4137" TargetMode="External" /><Relationship Type="http://schemas.openxmlformats.org/officeDocument/2006/relationships/hyperlink" Id="rId82" Target="https://shamela.ws/book/6520/226" TargetMode="External" /><Relationship Type="http://schemas.openxmlformats.org/officeDocument/2006/relationships/hyperlink" Id="rId52" Target="https://shamela.ws/book/927/3017" TargetMode="External" /><Relationship Type="http://schemas.openxmlformats.org/officeDocument/2006/relationships/hyperlink" Id="rId40" Target="https://sunnah.com/muslim%3A2408a" TargetMode="External" /><Relationship Type="http://schemas.openxmlformats.org/officeDocument/2006/relationships/hyperlink" Id="rId65" Target="https://sunnah.com/muslim%3A2424" TargetMode="External" /><Relationship Type="http://schemas.openxmlformats.org/officeDocument/2006/relationships/hyperlink" Id="rId78" Target="https://sunnah.com/tirmidhi%3A3787" TargetMode="External" /><Relationship Type="http://schemas.openxmlformats.org/officeDocument/2006/relationships/hyperlink" Id="rId76" Target="https://sunnah.com/tirmidhi%3A3788" TargetMode="External" /><Relationship Type="http://schemas.openxmlformats.org/officeDocument/2006/relationships/hyperlink" Id="rId41" Target="https://thaqalayn.net/chapter/1/4/53" TargetMode="External" /><Relationship Type="http://schemas.openxmlformats.org/officeDocument/2006/relationships/hyperlink" Id="rId47" Target="https://thaqalayn.net/chapter/27/1/4" TargetMode="External" /><Relationship Type="http://schemas.openxmlformats.org/officeDocument/2006/relationships/hyperlink" Id="rId42" Target="https://thaqalayn.net/chapter/28/1/64" TargetMode="External" /><Relationship Type="http://schemas.openxmlformats.org/officeDocument/2006/relationships/hyperlink" Id="rId37" Target="https://thaqalayn.net/hadith/1/4/15/1" TargetMode="External" /><Relationship Type="http://schemas.openxmlformats.org/officeDocument/2006/relationships/hyperlink" Id="rId85" Target="https://www.cambridge.org/core/books/agents-of-the-hidden-imam/creation-of-an-envoy/E6A233FD855C63A79EE0A199CB1E4D48" TargetMode="External" /><Relationship Type="http://schemas.openxmlformats.org/officeDocument/2006/relationships/hyperlink" Id="rId69" Target="https://www.cambridge.org/core/books/ahmad-qabel-and-contemporary-islamic-thought/superstition/FA3C3E6DBD32AA6ABDBA944CBCF31F34" TargetMode="External" /><Relationship Type="http://schemas.openxmlformats.org/officeDocument/2006/relationships/hyperlink" Id="rId87" Target="https://www.cambridge.org/core/books/islam-beyond-borders/shia-islam-and-the-umma/31B63348089945108698C3F6FC21694C" TargetMode="External" /><Relationship Type="http://schemas.openxmlformats.org/officeDocument/2006/relationships/hyperlink" Id="rId84" Target="https://www.hup.harvard.edu/books/9780674737075" TargetMode="External" /><Relationship Type="http://schemas.openxmlformats.org/officeDocument/2006/relationships/hyperlink" Id="rId68" Target="https://www.simonandschuster.com/books/Shii-Islam/Moojan-Momen/Beginners-Guides/9781780747873" TargetMode="External" /><Relationship Type="http://schemas.openxmlformats.org/officeDocument/2006/relationships/hyperlink" Id="rId57" Target="https://www.sistani.org/english/book/48/228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2026-07-07T15:09:29Z</dcterms:created>
  <dcterms:modified xsi:type="dcterms:W3CDTF">2026-07-07T15:09:29Z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