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20" w:name="header"/>
    <w:bookmarkEnd w:id="20"/>
    <w:bookmarkStart w:id="45" w:name="content"/>
    <w:bookmarkStart w:id="44" w:name="parallels-between-taoism-and-islam"/>
    <w:p>
      <w:pPr>
        <w:pStyle w:val="Heading1"/>
      </w:pPr>
      <w:r>
        <w:t xml:space="preserve">Parallels Between Taoism and Islam</w:t>
      </w:r>
    </w:p>
    <w:bookmarkStart w:id="22" w:name="abstract"/>
    <w:p>
      <w:pPr>
        <w:pStyle w:val="Heading2"/>
      </w:pPr>
      <w:r>
        <w:t xml:space="preserve">Abstract</w:t>
      </w:r>
    </w:p>
    <w:p>
      <w:pPr>
        <w:pStyle w:val="FirstParagraph"/>
      </w:pPr>
      <w:r>
        <w:t xml:space="preserve">The strongest parallels between Taoism and Islam are analogical rather than identical. They appear most clearly in shared pressures toward transcendence of ordinary speech, humility before a reality larger than the ego, suspicion of self-assertive domination, and disciplined inner receptivity. The strongest documented historical contacts are not between early Taoist and early Islamic founders directly, but along the Silk Roads and especially in China, where Muslim merchant communities, late-imperial Chinese Muslim scholars, Sufi networks, and shared sacred geographies placed Islamic thought into sustained contact with Chinese religious worlds that included Taoism. At the same time, the comparison has hard limits: the</w:t>
      </w:r>
      <w:r>
        <w:t xml:space="preserve"> </w:t>
      </w:r>
      <w:r>
        <w:rPr>
          <w:i/>
          <w:iCs/>
        </w:rPr>
        <w:t xml:space="preserve">Dao De Jing</w:t>
      </w:r>
      <w:r>
        <w:t xml:space="preserve"> </w:t>
      </w:r>
      <w:r>
        <w:t xml:space="preserve">and</w:t>
      </w:r>
      <w:r>
        <w:t xml:space="preserve"> </w:t>
      </w:r>
      <w:r>
        <w:rPr>
          <w:i/>
          <w:iCs/>
        </w:rPr>
        <w:t xml:space="preserve">Zhuangzi</w:t>
      </w:r>
      <w:r>
        <w:t xml:space="preserve"> </w:t>
      </w:r>
      <w:r>
        <w:t xml:space="preserve">typically present Dao as an ineffable cosmic process or order, while the Qur’an presents Allah as the one incomparable Creator who speaks, commands, judges, and is named in revelation. This report therefore treats “parallel” as resemblance in theme, metaphor, discipline, or historical encounter—not doctrinal identity. The primary-text quotations below use James Legge and D. C. Lau for the</w:t>
      </w:r>
      <w:r>
        <w:t xml:space="preserve"> </w:t>
      </w:r>
      <w:r>
        <w:rPr>
          <w:i/>
          <w:iCs/>
        </w:rPr>
        <w:t xml:space="preserve">Dao De Jing</w:t>
      </w:r>
      <w:r>
        <w:t xml:space="preserve">, Burton Watson for the</w:t>
      </w:r>
      <w:r>
        <w:t xml:space="preserve"> </w:t>
      </w:r>
      <w:r>
        <w:rPr>
          <w:i/>
          <w:iCs/>
        </w:rPr>
        <w:t xml:space="preserve">Zhuangzi</w:t>
      </w:r>
      <w:r>
        <w:t xml:space="preserve">, Sahih International with occasional comparison to A. J. Arberry and Pickthall for the Qur’an, and the online Sunnah.com translations of Bukhari and Muslim, which identify their translators as Muhsin Khan and Abdul Hamid Siddiqui respectively. Where online pagination is unstable, chapter, verse, or hadith number is used instead of page number.</w:t>
      </w:r>
      <w:r>
        <w:t xml:space="preserve"> </w:t>
      </w:r>
      <w:hyperlink r:id="rId21">
        <w:r>
          <w:rPr>
            <w:rStyle w:val="Hyperlink"/>
          </w:rPr>
          <w:t xml:space="preserve">[1]</w:t>
        </w:r>
      </w:hyperlink>
    </w:p>
    <w:bookmarkEnd w:id="22"/>
    <w:bookmarkStart w:id="26" w:name="executive-summary"/>
    <w:p>
      <w:pPr>
        <w:pStyle w:val="Heading2"/>
      </w:pPr>
      <w:r>
        <w:t xml:space="preserve">Executive Summary</w:t>
      </w:r>
    </w:p>
    <w:p>
      <w:pPr>
        <w:pStyle w:val="FirstParagraph"/>
      </w:pPr>
      <w:r>
        <w:t xml:space="preserve">Historically, the comparison becomes concrete in China. Cambridge scholarship describes maritime trade between Tang China and early Islamic Iraq from the seventh to the tenth centuries and argues that these exchanges were conducive, at least in limited ways, to “transmissions of ideas.” By the Tang and Song periods, Muslim merchant communities were established in Chinese port cities, and Oxford’s overview of Islam in China notes the long arc by which Persian and Arab coastal settlements became a large and geographically dispersed Muslim population. In the seventeenth and eighteenth centuries, Chinese Muslim scholars such as Wang Daiyu and Liu Zhi rendered Islamic teachings into Chinese idioms, while Persian Sufi texts such as</w:t>
      </w:r>
      <w:r>
        <w:t xml:space="preserve"> </w:t>
      </w:r>
      <w:r>
        <w:rPr>
          <w:i/>
          <w:iCs/>
        </w:rPr>
        <w:t xml:space="preserve">Mirṣād al-ʿibād</w:t>
      </w:r>
      <w:r>
        <w:t xml:space="preserve"> </w:t>
      </w:r>
      <w:r>
        <w:t xml:space="preserve">entered Chinese Muslim curricula and Sufi orders spread widely in northwestern and interior China.</w:t>
      </w:r>
      <w:r>
        <w:t xml:space="preserve"> </w:t>
      </w:r>
      <w:hyperlink r:id="rId23">
        <w:r>
          <w:rPr>
            <w:rStyle w:val="Hyperlink"/>
          </w:rPr>
          <w:t xml:space="preserve">[2]</w:t>
        </w:r>
      </w:hyperlink>
    </w:p>
    <w:p>
      <w:pPr>
        <w:pStyle w:val="BodyText"/>
      </w:pPr>
      <w:r>
        <w:t xml:space="preserve">Doctrinally, Taoism and Islam can be placed in productive conversation at several levels. Laozi’s opening line denies that the speakable Dao is the abiding Dao, while the Qur’an insists that God is one and incomparable; both traditions therefore resist reducing ultimate reality to ordinary naming. Daoist chapters on water, lowliness, non-contention, and</w:t>
      </w:r>
      <w:r>
        <w:t xml:space="preserve"> </w:t>
      </w:r>
      <w:r>
        <w:rPr>
          <w:i/>
          <w:iCs/>
        </w:rPr>
        <w:t xml:space="preserve">wu-wei</w:t>
      </w:r>
      <w:r>
        <w:t xml:space="preserve"> </w:t>
      </w:r>
      <w:r>
        <w:t xml:space="preserve">resonate with Qur’anic and hadith emphases on humility, gentleness, remembrance, and trust. Yet the differences are decisive. Qur’anic tawhid is not a diffuse “unity of being” in the simple sense, but the oneness of a personal, naming, willing, merciful Creator; and Islam as “surrender” is not mere passivity but obedient worship, law, and moral striving. Several classical commentaries explicitly protect that difference.</w:t>
      </w:r>
      <w:r>
        <w:t xml:space="preserve"> </w:t>
      </w:r>
      <w:hyperlink r:id="rId24">
        <w:r>
          <w:rPr>
            <w:rStyle w:val="Hyperlink"/>
          </w:rPr>
          <w:t xml:space="preserve">[3]</w:t>
        </w:r>
      </w:hyperlink>
    </w:p>
    <w:p>
      <w:pPr>
        <w:pStyle w:val="BodyText"/>
      </w:pPr>
      <w:r>
        <w:t xml:space="preserve">In the present, the parallel lives on less as a single shared movement than as a field of translation, interfaith exchange, and state-managed religious coexistence. Scholarship on the Arab reception of Laozi records the first Arabic</w:t>
      </w:r>
      <w:r>
        <w:t xml:space="preserve"> </w:t>
      </w:r>
      <w:r>
        <w:rPr>
          <w:i/>
          <w:iCs/>
        </w:rPr>
        <w:t xml:space="preserve">Dao De Jing</w:t>
      </w:r>
      <w:r>
        <w:t xml:space="preserve"> </w:t>
      </w:r>
      <w:r>
        <w:t xml:space="preserve">in 1966 and nineteen Arabic translations by the end of 2020. In China, recent official or semi-official interfaith forums continue to place Taoist and Muslim figures together, but any public dialogue occurs under a political regime of “sinicization” that also regulates both traditions. The best contemporary description, therefore, is not seamless fusion but ongoing comparison under unequal institutional conditions.</w:t>
      </w:r>
      <w:r>
        <w:t xml:space="preserve"> </w:t>
      </w:r>
      <w:hyperlink r:id="rId25">
        <w:r>
          <w:rPr>
            <w:rStyle w:val="Hyperlink"/>
          </w:rPr>
          <w:t xml:space="preserve">[4]</w:t>
        </w:r>
      </w:hyperlink>
    </w:p>
    <w:bookmarkEnd w:id="26"/>
    <w:bookmarkStart w:id="29" w:name="X4be782fb3a1fba68bf2673f3ca870648d140ee6"/>
    <w:p>
      <w:pPr>
        <w:pStyle w:val="Heading2"/>
      </w:pPr>
      <w:r>
        <w:t xml:space="preserve">Historical Contacts and Shared Chinese Contexts</w:t>
      </w:r>
    </w:p>
    <w:p>
      <w:pPr>
        <w:pStyle w:val="FirstParagraph"/>
      </w:pPr>
      <w:r>
        <w:t xml:space="preserve">The earliest defensible setting for Taoist-Islamic comparison is not a direct line from Laozi to the Qur’an, but the long commercial and cultural ecumene of the Silk Roads. Alain George’s study of Tang China and early Islamic Iraq places maritime trade and Muslim merchant communities in Chinese ports between the seventh and tenth centuries and concludes that the resulting patterns of exchange were more systematic than previously assumed and at least somewhat conducive to the transmission of ideas. A review of John Chaffee’s work similarly notes that in the eighth and ninth centuries Muslim merchants were central actors in China’s overseas trade and port communities. Oxford’s recent overview adds that China’s Muslims developed historically from small Persian and Arab settlements on the southeastern coast into a large and dispersed population. These sources establish the infrastructure of encounter, even if they do not prove early theological borrowing between Taoist and Islamic scriptures.</w:t>
      </w:r>
      <w:r>
        <w:t xml:space="preserve"> </w:t>
      </w:r>
      <w:hyperlink r:id="rId23">
        <w:r>
          <w:rPr>
            <w:rStyle w:val="Hyperlink"/>
          </w:rPr>
          <w:t xml:space="preserve">[5]</w:t>
        </w:r>
      </w:hyperlink>
    </w:p>
    <w:p>
      <w:pPr>
        <w:pStyle w:val="BodyText"/>
      </w:pPr>
      <w:r>
        <w:t xml:space="preserve">The specifically Chinese phase of Taoist-Islamic interaction becomes much clearer in the late Ming and Qing. Dror Weil shows that the Persian Sufi work</w:t>
      </w:r>
      <w:r>
        <w:t xml:space="preserve"> </w:t>
      </w:r>
      <w:r>
        <w:rPr>
          <w:i/>
          <w:iCs/>
        </w:rPr>
        <w:t xml:space="preserve">Mirṣād al-ʿibād</w:t>
      </w:r>
      <w:r>
        <w:t xml:space="preserve"> </w:t>
      </w:r>
      <w:r>
        <w:t xml:space="preserve">became a significant text in early modern Chinese Islam and that its incorporation “gave Persian Ṣūfī theology a central place” in Chinese Muslim scholarship. Sachiko Murata’s analysis of Chinese Islamic texts explains why this mattered linguistically: Chinese Muslim scholars had to work through inherited Chinese vocabularies rather than simply reproduce Arabic and Persian concepts untouched. In Murata’s formulation, they used “pre-existing Chinese words to render Islamic ideas,” and she adds that in theoretical Sufism the path to understanding was “much in the Taoist fashion—the emptying of the heart” so that divine inspiration might be received directly. This does not mean Chinese Islam became Taoism; it means that Chinese Muslim intellectuals sometimes discovered in Taoist language a usable set of analogies for Sufi interiority.</w:t>
      </w:r>
      <w:r>
        <w:t xml:space="preserve"> </w:t>
      </w:r>
      <w:hyperlink r:id="rId27">
        <w:r>
          <w:rPr>
            <w:rStyle w:val="Hyperlink"/>
          </w:rPr>
          <w:t xml:space="preserve">[6]</w:t>
        </w:r>
      </w:hyperlink>
    </w:p>
    <w:p>
      <w:pPr>
        <w:pStyle w:val="BodyText"/>
      </w:pPr>
      <w:r>
        <w:t xml:space="preserve">Late-imperial China also produced concrete cases of shared or overlapping sacred geography. Tristan Brown’s study of Panlong or Coiled Dragon Mountain in Sichuan argues that a mountain “long celebrated in Daoism” was transformed during the late seventeenth and eighteenth centuries into an Islamic pilgrimage site centered on the tomb shrine of a Sufi saint, with state and local consent. Brown’s case is especially important because it demonstrates that contact was not only literary or philosophical. It also occurred in shrine patronage, local ritual economies, sacred landscape, and the management of auspicious space.</w:t>
      </w:r>
      <w:r>
        <w:t xml:space="preserve"> </w:t>
      </w:r>
      <w:hyperlink r:id="rId28">
        <w:r>
          <w:rPr>
            <w:rStyle w:val="Hyperlink"/>
          </w:rPr>
          <w:t xml:space="preserve">[7]</w:t>
        </w:r>
      </w:hyperlink>
    </w:p>
    <w:p>
      <w:pPr>
        <w:pStyle w:val="BodyText"/>
      </w:pPr>
      <w:r>
        <w:t xml:space="preserve">The Sufi dimension of Chinese Islam further widened these channels of comparison. Weil shows that Persian Sufi theology moved into Chinese Muslim canons; Ryan Thum’s 2024 study demonstrates that the Naqshbandiyya Mujaddidiyya was present in many regions and “played a role in the development of nearly all major strains of Islam in China proper”; and Petersen’s work on Ma Dexin emphasizes how travel, language, and trans-Asian Islamic learning continued to renew Chinese Islam in the nineteenth century. The historical picture, then, is one of layered contact: trade first, settlement second, Chinese-language Islamic translation third, and then the deep embedding of Sufi lineages and shrines in Chinese religious worlds that also contained Taoist institutions and symbols.</w:t>
      </w:r>
      <w:r>
        <w:t xml:space="preserve"> </w:t>
      </w:r>
      <w:hyperlink r:id="rId27">
        <w:r>
          <w:rPr>
            <w:rStyle w:val="Hyperlink"/>
          </w:rPr>
          <w:t xml:space="preserve">[8]</w:t>
        </w:r>
      </w:hyperlink>
    </w:p>
    <w:p>
      <w:pPr>
        <w:pStyle w:val="BodyText"/>
      </w:pPr>
      <w:r>
        <w:t xml:space="preserve">The following timeline marks documented points of contact and comparison. The dates identify historical intersections, not proven lines of direct doctrinal influence from early Taoist canons to early Islamic revelation.</w:t>
      </w:r>
      <w:r>
        <w:t xml:space="preserve"> </w:t>
      </w:r>
      <w:hyperlink r:id="rId23">
        <w:r>
          <w:rPr>
            <w:rStyle w:val="Hyperlink"/>
          </w:rPr>
          <w:t xml:space="preserve">[9]</w:t>
        </w:r>
      </w:hyperlink>
    </w:p>
    <w:p>
      <w:pPr>
        <w:pStyle w:val="SourceCode"/>
      </w:pPr>
      <w:r>
        <w:rPr>
          <w:rStyle w:val="VerbatimChar"/>
        </w:rPr>
        <w:t xml:space="preserve">timeline</w:t>
      </w:r>
      <w:r>
        <w:br/>
      </w:r>
      <w:r>
        <w:rPr>
          <w:rStyle w:val="VerbatimChar"/>
        </w:rPr>
        <w:t xml:space="preserve">    title Historical contact points between Taoist and Islamic worlds</w:t>
      </w:r>
      <w:r>
        <w:br/>
      </w:r>
      <w:r>
        <w:rPr>
          <w:rStyle w:val="VerbatimChar"/>
        </w:rPr>
        <w:t xml:space="preserve">    7th-10th c. : Maritime trade between Tang China and early Islamic Iraq</w:t>
      </w:r>
      <w:r>
        <w:br/>
      </w:r>
      <w:r>
        <w:rPr>
          <w:rStyle w:val="VerbatimChar"/>
        </w:rPr>
        <w:t xml:space="preserve">                : Muslim merchant communities appear in Chinese ports</w:t>
      </w:r>
      <w:r>
        <w:br/>
      </w:r>
      <w:r>
        <w:rPr>
          <w:rStyle w:val="VerbatimChar"/>
        </w:rPr>
        <w:t xml:space="preserve">    750-1400 : Muslim trade diaspora across premodern China</w:t>
      </w:r>
      <w:r>
        <w:br/>
      </w:r>
      <w:r>
        <w:rPr>
          <w:rStyle w:val="VerbatimChar"/>
        </w:rPr>
        <w:t xml:space="preserve">    17th c. : Wang Daiyu and other Chinese Muslim scholars write in Chinese</w:t>
      </w:r>
      <w:r>
        <w:br/>
      </w:r>
      <w:r>
        <w:rPr>
          <w:rStyle w:val="VerbatimChar"/>
        </w:rPr>
        <w:t xml:space="preserve">             : Islamic ideas increasingly articulated through Chinese categories</w:t>
      </w:r>
      <w:r>
        <w:br/>
      </w:r>
      <w:r>
        <w:rPr>
          <w:rStyle w:val="VerbatimChar"/>
        </w:rPr>
        <w:t xml:space="preserve">    late 17th-18th c. : Coiled Dragon Mountain shifts from Daoist prominence to Islamic pilgrimage patronage in Sichuan</w:t>
      </w:r>
      <w:r>
        <w:br/>
      </w:r>
      <w:r>
        <w:rPr>
          <w:rStyle w:val="VerbatimChar"/>
        </w:rPr>
        <w:t xml:space="preserve">    18th c. : Persian Sufi texts gain centrality in Chinese Muslim curricula</w:t>
      </w:r>
      <w:r>
        <w:br/>
      </w:r>
      <w:r>
        <w:rPr>
          <w:rStyle w:val="VerbatimChar"/>
        </w:rPr>
        <w:t xml:space="preserve">            : Sufi orders spread through northern and northwestern China</w:t>
      </w:r>
      <w:r>
        <w:br/>
      </w:r>
      <w:r>
        <w:rPr>
          <w:rStyle w:val="VerbatimChar"/>
        </w:rPr>
        <w:t xml:space="preserve">    1966 : First Arabic translation of the Dao De Jing published</w:t>
      </w:r>
      <w:r>
        <w:br/>
      </w:r>
      <w:r>
        <w:rPr>
          <w:rStyle w:val="VerbatimChar"/>
        </w:rPr>
        <w:t xml:space="preserve">    by 2020 : Nineteen Arabic Dao De Jing translations documented</w:t>
      </w:r>
      <w:r>
        <w:br/>
      </w:r>
      <w:r>
        <w:rPr>
          <w:rStyle w:val="VerbatimChar"/>
        </w:rPr>
        <w:t xml:space="preserve">    2024-2026 : Interfaith forums in China include Taoist and Muslim representatives</w:t>
      </w:r>
      <w:r>
        <w:br/>
      </w:r>
      <w:r>
        <w:rPr>
          <w:rStyle w:val="VerbatimChar"/>
        </w:rPr>
        <w:t xml:space="preserve">              : Sinicization policies constrain public religious life</w:t>
      </w:r>
    </w:p>
    <w:bookmarkEnd w:id="29"/>
    <w:bookmarkStart w:id="33" w:name="doctrinal-and-metaphysical-parallels"/>
    <w:p>
      <w:pPr>
        <w:pStyle w:val="Heading2"/>
      </w:pPr>
      <w:r>
        <w:t xml:space="preserve">Doctrinal and Metaphysical Parallels</w:t>
      </w:r>
    </w:p>
    <w:p>
      <w:pPr>
        <w:pStyle w:val="FirstParagraph"/>
      </w:pPr>
      <w:r>
        <w:t xml:space="preserve">The most obvious textual parallel is the refusal to let language master the ultimate. Laozi opens chapter 1 by denying that the named Dao is “the enduring and unchanging Dao.” The Qur’an, in a very different idiom, protects divine transcendence through exclusive monotheism: “He is Allah, [who is] One” and “Nor is there to Him any equivalent” (Q 112:1, 112:4, Sahih International). These are not the same move. Laozi destabilizes naming to preserve the mystery of the generative source; the Qur’an names God precisely in order to deny peers, offspring, and rivals. Still, both texts begin comparative theology by warning the reader that ultimate reality exceeds ordinary conceptual capture.</w:t>
      </w:r>
      <w:r>
        <w:t xml:space="preserve"> </w:t>
      </w:r>
      <w:hyperlink r:id="rId24">
        <w:r>
          <w:rPr>
            <w:rStyle w:val="Hyperlink"/>
          </w:rPr>
          <w:t xml:space="preserve">[10]</w:t>
        </w:r>
      </w:hyperlink>
    </w:p>
    <w:p>
      <w:pPr>
        <w:pStyle w:val="BodyText"/>
      </w:pPr>
      <w:r>
        <w:t xml:space="preserve">The semantic field of “way” is where parallels become most concrete. The Qur’an repeatedly describes divine guidance as a path: “the straight path” (Q 1:6), “an ordained way” (Q 45:18), and, in Q 5:48, “a law and a method.” For that reason,</w:t>
      </w:r>
      <w:r>
        <w:t xml:space="preserve"> </w:t>
      </w:r>
      <w:r>
        <w:rPr>
          <w:i/>
          <w:iCs/>
        </w:rPr>
        <w:t xml:space="preserve">Dao</w:t>
      </w:r>
      <w:r>
        <w:t xml:space="preserve"> </w:t>
      </w:r>
      <w:r>
        <w:t xml:space="preserve">as “way” has closer lexical affinity to Islamic</w:t>
      </w:r>
      <w:r>
        <w:t xml:space="preserve"> </w:t>
      </w:r>
      <w:r>
        <w:rPr>
          <w:i/>
          <w:iCs/>
        </w:rPr>
        <w:t xml:space="preserve">ṣirāṭ</w:t>
      </w:r>
      <w:r>
        <w:t xml:space="preserve">,</w:t>
      </w:r>
      <w:r>
        <w:t xml:space="preserve"> </w:t>
      </w:r>
      <w:r>
        <w:rPr>
          <w:i/>
          <w:iCs/>
        </w:rPr>
        <w:t xml:space="preserve">sharīʿa</w:t>
      </w:r>
      <w:r>
        <w:t xml:space="preserve">, and even</w:t>
      </w:r>
      <w:r>
        <w:t xml:space="preserve"> </w:t>
      </w:r>
      <w:r>
        <w:rPr>
          <w:i/>
          <w:iCs/>
        </w:rPr>
        <w:t xml:space="preserve">ṭarīqa</w:t>
      </w:r>
      <w:r>
        <w:t xml:space="preserve"> </w:t>
      </w:r>
      <w:r>
        <w:t xml:space="preserve">than to tawhid itself. Yet users of the comparison often place Dao beside tawhid because Dao in Laozi can function not merely as a path but as the ultimate source and ordering principle of all things. Toshihiko Izutsu’s famous comparative study is therefore useful but also cautionary: it is valuable precisely because it compares traditions that are, as the review notes, “historically unrelated,” yet capable of “fruitful” transhistorical dialogue. The safest conclusion is this: as a linguistic matter, Dao maps most easily onto path-language; as a metaphysical matter, Dao also invites comparison with later Sufi discourse on the Real. That second move is an analogy, not an equation.</w:t>
      </w:r>
      <w:r>
        <w:t xml:space="preserve"> </w:t>
      </w:r>
      <w:hyperlink r:id="rId30">
        <w:r>
          <w:rPr>
            <w:rStyle w:val="Hyperlink"/>
          </w:rPr>
          <w:t xml:space="preserve">[11]</w:t>
        </w:r>
      </w:hyperlink>
    </w:p>
    <w:p>
      <w:pPr>
        <w:pStyle w:val="BodyText"/>
      </w:pPr>
      <w:r>
        <w:t xml:space="preserve">The analogy becomes sharper in passages about unity and polarity. Zhuangzi says that “the ten thousand things are one with me,” and elsewhere that “the Way makes them all into one.” The Qur’an likewise speaks of God as “the First and the Last,” and Arberry renders the same verse as “the Outward and the Inward” (Q 57:3). These are real structural resonances: both traditions deploy paired opposites to point beyond fragmentary human perception. But the gap is crucial. In classical Islamic exegesis, Q 57:3 does not dissolve Creator into creation. Al-Jalalayn glosses God as “preceding everything” and hidden “from the perception of the senses,” while Ibn Kathir treats Q 2:115—“there is the Face of Allah”—in directional and devotional terms, paraphrasing it as “Allah’s direction is wherever you face.” In other words, Qur’anic language of nearness and ubiquity is not permission to collapse God into the cosmos. Taoist and some Sufi metaphysics may draw nearer here than Taoism and mainstream Sunni kalām, but even then the comparison remains contested and partial.</w:t>
      </w:r>
      <w:r>
        <w:t xml:space="preserve"> </w:t>
      </w:r>
      <w:hyperlink r:id="rId31">
        <w:r>
          <w:rPr>
            <w:rStyle w:val="Hyperlink"/>
          </w:rPr>
          <w:t xml:space="preserve">[12]</w:t>
        </w:r>
      </w:hyperlink>
    </w:p>
    <w:p>
      <w:pPr>
        <w:pStyle w:val="BodyText"/>
      </w:pPr>
      <w:r>
        <w:t xml:space="preserve">The conceptual map below summarizes the strongest correspondences and the point at which they stop being equivalents. The arrows indicate analogy, not identity.</w:t>
      </w:r>
      <w:r>
        <w:t xml:space="preserve"> </w:t>
      </w:r>
      <w:hyperlink r:id="rId21">
        <w:r>
          <w:rPr>
            <w:rStyle w:val="Hyperlink"/>
          </w:rPr>
          <w:t xml:space="preserve">[13]</w:t>
        </w:r>
      </w:hyperlink>
    </w:p>
    <w:p>
      <w:pPr>
        <w:pStyle w:val="SourceCode"/>
      </w:pPr>
      <w:r>
        <w:rPr>
          <w:rStyle w:val="VerbatimChar"/>
        </w:rPr>
        <w:t xml:space="preserve">flowchart TD</w:t>
      </w:r>
      <w:r>
        <w:br/>
      </w:r>
      <w:r>
        <w:rPr>
          <w:rStyle w:val="VerbatimChar"/>
        </w:rPr>
        <w:t xml:space="preserve">    A[Dao] --&gt;|analogy| B[Cosmic source and normative order]</w:t>
      </w:r>
      <w:r>
        <w:br/>
      </w:r>
      <w:r>
        <w:rPr>
          <w:rStyle w:val="VerbatimChar"/>
        </w:rPr>
        <w:t xml:space="preserve">    B --&gt; C[Closest Islamic comparands]</w:t>
      </w:r>
      <w:r>
        <w:br/>
      </w:r>
      <w:r>
        <w:rPr>
          <w:rStyle w:val="VerbatimChar"/>
        </w:rPr>
        <w:t xml:space="preserve">    C --&gt; C1[Sirat and Sharia as path]</w:t>
      </w:r>
      <w:r>
        <w:br/>
      </w:r>
      <w:r>
        <w:rPr>
          <w:rStyle w:val="VerbatimChar"/>
        </w:rPr>
        <w:t xml:space="preserve">    C --&gt; C2[Sufi discourse on the Real]</w:t>
      </w:r>
      <w:r>
        <w:br/>
      </w:r>
      <w:r>
        <w:br/>
      </w:r>
      <w:r>
        <w:rPr>
          <w:rStyle w:val="VerbatimChar"/>
        </w:rPr>
        <w:t xml:space="preserve">    D[Wu-wei] --&gt;|partial resonance| E[Non-forcing and receptivity]</w:t>
      </w:r>
      <w:r>
        <w:br/>
      </w:r>
      <w:r>
        <w:rPr>
          <w:rStyle w:val="VerbatimChar"/>
        </w:rPr>
        <w:t xml:space="preserve">    E --&gt; E1[Tawakkul and rida]</w:t>
      </w:r>
      <w:r>
        <w:br/>
      </w:r>
      <w:r>
        <w:rPr>
          <w:rStyle w:val="VerbatimChar"/>
        </w:rPr>
        <w:t xml:space="preserve">    E --&gt; E2[Ihsan and adab]</w:t>
      </w:r>
      <w:r>
        <w:br/>
      </w:r>
      <w:r>
        <w:br/>
      </w:r>
      <w:r>
        <w:rPr>
          <w:rStyle w:val="VerbatimChar"/>
        </w:rPr>
        <w:t xml:space="preserve">    F[Water and lowliness] --&gt; G[Humility and non-contention]</w:t>
      </w:r>
      <w:r>
        <w:br/>
      </w:r>
      <w:r>
        <w:rPr>
          <w:rStyle w:val="VerbatimChar"/>
        </w:rPr>
        <w:t xml:space="preserve">    G --&gt; G1[Rahma and gentleness]</w:t>
      </w:r>
      <w:r>
        <w:br/>
      </w:r>
      <w:r>
        <w:rPr>
          <w:rStyle w:val="VerbatimChar"/>
        </w:rPr>
        <w:t xml:space="preserve">    G --&gt; G2[Anti-kibr]</w:t>
      </w:r>
      <w:r>
        <w:br/>
      </w:r>
      <w:r>
        <w:br/>
      </w:r>
      <w:r>
        <w:rPr>
          <w:rStyle w:val="VerbatimChar"/>
        </w:rPr>
        <w:t xml:space="preserve">    H[Namelessness and paradox] --&gt; I[Tanzih and paired divine names]</w:t>
      </w:r>
      <w:r>
        <w:br/>
      </w:r>
      <w:r>
        <w:rPr>
          <w:rStyle w:val="VerbatimChar"/>
        </w:rPr>
        <w:t xml:space="preserve">    I --&gt; I1[The First and the Last]</w:t>
      </w:r>
      <w:r>
        <w:br/>
      </w:r>
      <w:r>
        <w:rPr>
          <w:rStyle w:val="VerbatimChar"/>
        </w:rPr>
        <w:t xml:space="preserve">    I --&gt; I2[Outward and Inward]</w:t>
      </w:r>
      <w:r>
        <w:br/>
      </w:r>
      <w:r>
        <w:br/>
      </w:r>
      <w:r>
        <w:rPr>
          <w:rStyle w:val="VerbatimChar"/>
        </w:rPr>
        <w:t xml:space="preserve">    J[Methodological limit] --&gt; K[Analogy is not identity]</w:t>
      </w:r>
    </w:p>
    <w:tbl>
      <w:tblPr>
        <w:tblStyle w:val="Table"/>
        <w:tblW w:type="auto" w:w="0"/>
        <w:tblLook w:firstRow="1" w:lastRow="0" w:firstColumn="0" w:lastColumn="0" w:noHBand="0" w:noVBand="0" w:val="0020"/>
      </w:tblPr>
      <w:tblGrid>
        <w:gridCol w:w="1584"/>
        <w:gridCol w:w="1584"/>
        <w:gridCol w:w="1584"/>
        <w:gridCol w:w="1584"/>
        <w:gridCol w:w="1584"/>
      </w:tblGrid>
      <w:tr>
        <w:trPr>
          <w:tblHeader w:val="on"/>
        </w:trPr>
        <w:tc>
          <w:tcPr/>
          <w:p>
            <w:pPr>
              <w:pStyle w:val="Compact"/>
            </w:pPr>
            <w:r>
              <w:t xml:space="preserve">Theme</w:t>
            </w:r>
          </w:p>
        </w:tc>
        <w:tc>
          <w:tcPr/>
          <w:p>
            <w:pPr>
              <w:pStyle w:val="Compact"/>
            </w:pPr>
            <w:r>
              <w:t xml:space="preserve">Taoist material</w:t>
            </w:r>
          </w:p>
        </w:tc>
        <w:tc>
          <w:tcPr/>
          <w:p>
            <w:pPr>
              <w:pStyle w:val="Compact"/>
            </w:pPr>
            <w:r>
              <w:t xml:space="preserve">Islamic material</w:t>
            </w:r>
          </w:p>
        </w:tc>
        <w:tc>
          <w:tcPr/>
          <w:p>
            <w:pPr>
              <w:pStyle w:val="Compact"/>
            </w:pPr>
            <w:r>
              <w:t xml:space="preserve">Most defensible parallel</w:t>
            </w:r>
          </w:p>
        </w:tc>
        <w:tc>
          <w:tcPr/>
          <w:p>
            <w:pPr>
              <w:pStyle w:val="Compact"/>
            </w:pPr>
            <w:r>
              <w:t xml:space="preserve">Decisive difference</w:t>
            </w:r>
          </w:p>
        </w:tc>
      </w:tr>
      <w:tr>
        <w:tc>
          <w:tcPr/>
          <w:p>
            <w:pPr>
              <w:pStyle w:val="Compact"/>
            </w:pPr>
            <w:r>
              <w:t xml:space="preserve">Ultimate reality</w:t>
            </w:r>
          </w:p>
        </w:tc>
        <w:tc>
          <w:tcPr/>
          <w:p>
            <w:pPr>
              <w:pStyle w:val="Compact"/>
            </w:pPr>
            <w:r>
              <w:t xml:space="preserve">Laozi denies final adequacy to ordinary naming; Zhuangzi stresses encompassing unity.</w:t>
            </w:r>
          </w:p>
        </w:tc>
        <w:tc>
          <w:tcPr/>
          <w:p>
            <w:pPr>
              <w:pStyle w:val="Compact"/>
            </w:pPr>
            <w:r>
              <w:t xml:space="preserve">The Qur’an asserts divine oneness, incomparability, and lordship.</w:t>
            </w:r>
          </w:p>
        </w:tc>
        <w:tc>
          <w:tcPr/>
          <w:p>
            <w:pPr>
              <w:pStyle w:val="Compact"/>
            </w:pPr>
            <w:r>
              <w:t xml:space="preserve">Both press toward an ultimate that exceeds crude literalism.</w:t>
            </w:r>
          </w:p>
        </w:tc>
        <w:tc>
          <w:tcPr/>
          <w:p>
            <w:pPr>
              <w:pStyle w:val="Compact"/>
            </w:pPr>
            <w:r>
              <w:t xml:space="preserve">Dao is often presented as impersonal or transpersonal; Allah is the one personal Creator with “the best names.”</w:t>
            </w:r>
            <w:r>
              <w:t xml:space="preserve"> </w:t>
            </w:r>
            <w:hyperlink r:id="rId24">
              <w:r>
                <w:rPr>
                  <w:rStyle w:val="Hyperlink"/>
                </w:rPr>
                <w:t xml:space="preserve">[14]</w:t>
              </w:r>
            </w:hyperlink>
          </w:p>
        </w:tc>
      </w:tr>
      <w:tr>
        <w:tc>
          <w:tcPr/>
          <w:p>
            <w:pPr>
              <w:pStyle w:val="Compact"/>
            </w:pPr>
            <w:r>
              <w:t xml:space="preserve">Way and path</w:t>
            </w:r>
          </w:p>
        </w:tc>
        <w:tc>
          <w:tcPr/>
          <w:p>
            <w:pPr>
              <w:pStyle w:val="Compact"/>
            </w:pPr>
            <w:r>
              <w:rPr>
                <w:i/>
                <w:iCs/>
              </w:rPr>
              <w:t xml:space="preserve">Dao</w:t>
            </w:r>
            <w:r>
              <w:t xml:space="preserve"> </w:t>
            </w:r>
            <w:r>
              <w:t xml:space="preserve">is the “way” of reality.</w:t>
            </w:r>
          </w:p>
        </w:tc>
        <w:tc>
          <w:tcPr/>
          <w:p>
            <w:pPr>
              <w:pStyle w:val="Compact"/>
            </w:pPr>
            <w:r>
              <w:t xml:space="preserve">Qur’an speaks of “the straight path,” “an ordained way,” and “a law and a method.”</w:t>
            </w:r>
          </w:p>
        </w:tc>
        <w:tc>
          <w:tcPr/>
          <w:p>
            <w:pPr>
              <w:pStyle w:val="Compact"/>
            </w:pPr>
            <w:r>
              <w:t xml:space="preserve">Strong lexical and practical comparison around alignment with a path.</w:t>
            </w:r>
          </w:p>
        </w:tc>
        <w:tc>
          <w:tcPr/>
          <w:p>
            <w:pPr>
              <w:pStyle w:val="Compact"/>
            </w:pPr>
            <w:r>
              <w:t xml:space="preserve">Islamic path-language is revealed and normatively commanded; Dao is not identical to revealed law.</w:t>
            </w:r>
            <w:r>
              <w:t xml:space="preserve"> </w:t>
            </w:r>
            <w:hyperlink r:id="rId30">
              <w:r>
                <w:rPr>
                  <w:rStyle w:val="Hyperlink"/>
                </w:rPr>
                <w:t xml:space="preserve">[11]</w:t>
              </w:r>
            </w:hyperlink>
          </w:p>
        </w:tc>
      </w:tr>
      <w:tr>
        <w:tc>
          <w:tcPr/>
          <w:p>
            <w:pPr>
              <w:pStyle w:val="Compact"/>
            </w:pPr>
            <w:r>
              <w:t xml:space="preserve">Non-action and surrender</w:t>
            </w:r>
          </w:p>
        </w:tc>
        <w:tc>
          <w:tcPr/>
          <w:p>
            <w:pPr>
              <w:pStyle w:val="Compact"/>
            </w:pPr>
            <w:r>
              <w:t xml:space="preserve">Laozi’s</w:t>
            </w:r>
            <w:r>
              <w:t xml:space="preserve"> </w:t>
            </w:r>
            <w:r>
              <w:rPr>
                <w:i/>
                <w:iCs/>
              </w:rPr>
              <w:t xml:space="preserve">wu-wei</w:t>
            </w:r>
            <w:r>
              <w:t xml:space="preserve"> </w:t>
            </w:r>
            <w:r>
              <w:t xml:space="preserve">means non-coercive action; Zhuangzi radicalizes receptivity.</w:t>
            </w:r>
          </w:p>
        </w:tc>
        <w:tc>
          <w:tcPr/>
          <w:p>
            <w:pPr>
              <w:pStyle w:val="Compact"/>
            </w:pPr>
            <w:r>
              <w:t xml:space="preserve">Islam literally signifies “surrender,” but scripture binds that surrender to worship, law, and moral action.</w:t>
            </w:r>
          </w:p>
        </w:tc>
        <w:tc>
          <w:tcPr/>
          <w:p>
            <w:pPr>
              <w:pStyle w:val="Compact"/>
            </w:pPr>
            <w:r>
              <w:t xml:space="preserve">Both criticize egoic forcing and self-sovereignty.</w:t>
            </w:r>
          </w:p>
        </w:tc>
        <w:tc>
          <w:tcPr/>
          <w:p>
            <w:pPr>
              <w:pStyle w:val="Compact"/>
            </w:pPr>
            <w:r>
              <w:rPr>
                <w:i/>
                <w:iCs/>
              </w:rPr>
              <w:t xml:space="preserve">Wu-wei</w:t>
            </w:r>
            <w:r>
              <w:t xml:space="preserve"> </w:t>
            </w:r>
            <w:r>
              <w:t xml:space="preserve">is not identical to Islamic obedience; Islam includes commanded ritual and juridical life.</w:t>
            </w:r>
            <w:r>
              <w:t xml:space="preserve"> </w:t>
            </w:r>
            <w:hyperlink r:id="rId32">
              <w:r>
                <w:rPr>
                  <w:rStyle w:val="Hyperlink"/>
                </w:rPr>
                <w:t xml:space="preserve">[15]</w:t>
              </w:r>
            </w:hyperlink>
          </w:p>
        </w:tc>
      </w:tr>
      <w:tr>
        <w:tc>
          <w:tcPr/>
          <w:p>
            <w:pPr>
              <w:pStyle w:val="Compact"/>
            </w:pPr>
            <w:r>
              <w:t xml:space="preserve">Unity and multiplicity</w:t>
            </w:r>
          </w:p>
        </w:tc>
        <w:tc>
          <w:tcPr/>
          <w:p>
            <w:pPr>
              <w:pStyle w:val="Compact"/>
            </w:pPr>
            <w:r>
              <w:t xml:space="preserve">Zhuangzi can treat distinctions as provisional and things as one.</w:t>
            </w:r>
          </w:p>
        </w:tc>
        <w:tc>
          <w:tcPr/>
          <w:p>
            <w:pPr>
              <w:pStyle w:val="Compact"/>
            </w:pPr>
            <w:r>
              <w:t xml:space="preserve">Qur’an presents divine transcendence while also using comprehensive paired names.</w:t>
            </w:r>
          </w:p>
        </w:tc>
        <w:tc>
          <w:tcPr/>
          <w:p>
            <w:pPr>
              <w:pStyle w:val="Compact"/>
            </w:pPr>
            <w:r>
              <w:t xml:space="preserve">Both can speak in metaphors of encompassing totality.</w:t>
            </w:r>
          </w:p>
        </w:tc>
        <w:tc>
          <w:tcPr/>
          <w:p>
            <w:pPr>
              <w:pStyle w:val="Compact"/>
            </w:pPr>
            <w:r>
              <w:t xml:space="preserve">Classical tafsir resists pantheistic readings and preserves Creator-creature distinction.</w:t>
            </w:r>
            <w:r>
              <w:t xml:space="preserve"> </w:t>
            </w:r>
            <w:hyperlink r:id="rId31">
              <w:r>
                <w:rPr>
                  <w:rStyle w:val="Hyperlink"/>
                </w:rPr>
                <w:t xml:space="preserve">[16]</w:t>
              </w:r>
            </w:hyperlink>
          </w:p>
        </w:tc>
      </w:tr>
      <w:tr>
        <w:tc>
          <w:tcPr/>
          <w:p>
            <w:pPr>
              <w:pStyle w:val="Compact"/>
            </w:pPr>
            <w:r>
              <w:t xml:space="preserve">Language and naming</w:t>
            </w:r>
          </w:p>
        </w:tc>
        <w:tc>
          <w:tcPr/>
          <w:p>
            <w:pPr>
              <w:pStyle w:val="Compact"/>
            </w:pPr>
            <w:r>
              <w:t xml:space="preserve">Dao is beyond final naming.</w:t>
            </w:r>
          </w:p>
        </w:tc>
        <w:tc>
          <w:tcPr/>
          <w:p>
            <w:pPr>
              <w:pStyle w:val="Compact"/>
            </w:pPr>
            <w:r>
              <w:t xml:space="preserve">God is named and praised in revelation.</w:t>
            </w:r>
          </w:p>
        </w:tc>
        <w:tc>
          <w:tcPr/>
          <w:p>
            <w:pPr>
              <w:pStyle w:val="Compact"/>
            </w:pPr>
            <w:r>
              <w:t xml:space="preserve">Both know that language about ultimacy is difficult.</w:t>
            </w:r>
          </w:p>
        </w:tc>
        <w:tc>
          <w:tcPr/>
          <w:p>
            <w:pPr>
              <w:pStyle w:val="Compact"/>
            </w:pPr>
            <w:r>
              <w:t xml:space="preserve">Taoism privileges namelessness; Qur’an authorizes many divine names and rejects equivalence, not naming itself.</w:t>
            </w:r>
            <w:r>
              <w:t xml:space="preserve"> </w:t>
            </w:r>
            <w:hyperlink r:id="rId24">
              <w:r>
                <w:rPr>
                  <w:rStyle w:val="Hyperlink"/>
                </w:rPr>
                <w:t xml:space="preserve">[17]</w:t>
              </w:r>
            </w:hyperlink>
          </w:p>
        </w:tc>
      </w:tr>
      <w:tr>
        <w:tc>
          <w:tcPr/>
          <w:p>
            <w:pPr>
              <w:pStyle w:val="Compact"/>
            </w:pPr>
            <w:r>
              <w:t xml:space="preserve">Contemplative discipline</w:t>
            </w:r>
          </w:p>
        </w:tc>
        <w:tc>
          <w:tcPr/>
          <w:p>
            <w:pPr>
              <w:pStyle w:val="Compact"/>
            </w:pPr>
            <w:r>
              <w:t xml:space="preserve">Zhuangzi’s “fasting of the mind” and later Daoist meditation/internal alchemy.</w:t>
            </w:r>
          </w:p>
        </w:tc>
        <w:tc>
          <w:tcPr/>
          <w:p>
            <w:pPr>
              <w:pStyle w:val="Compact"/>
            </w:pPr>
            <w:r>
              <w:t xml:space="preserve">Dhikr, ihsan, remembrance, inward excellence, and Sufi heart-discipline.</w:t>
            </w:r>
          </w:p>
        </w:tc>
        <w:tc>
          <w:tcPr/>
          <w:p>
            <w:pPr>
              <w:pStyle w:val="Compact"/>
            </w:pPr>
            <w:r>
              <w:t xml:space="preserve">Strongest parallel lies in ego-emptying and attentive inwardness.</w:t>
            </w:r>
          </w:p>
        </w:tc>
        <w:tc>
          <w:tcPr/>
          <w:p>
            <w:pPr>
              <w:pStyle w:val="Compact"/>
            </w:pPr>
            <w:r>
              <w:t xml:space="preserve">Daoist internal alchemy includes qi-based body-cosmos cultivation; Sufism remains oriented to God through remembrance and worship.</w:t>
            </w:r>
            <w:r>
              <w:t xml:space="preserve"> </w:t>
            </w:r>
            <w:hyperlink r:id="rId31">
              <w:r>
                <w:rPr>
                  <w:rStyle w:val="Hyperlink"/>
                </w:rPr>
                <w:t xml:space="preserve">[18]</w:t>
              </w:r>
            </w:hyperlink>
          </w:p>
        </w:tc>
      </w:tr>
      <w:tr>
        <w:tc>
          <w:tcPr/>
          <w:p>
            <w:pPr>
              <w:pStyle w:val="Compact"/>
            </w:pPr>
            <w:r>
              <w:t xml:space="preserve">Historical encounter</w:t>
            </w:r>
          </w:p>
        </w:tc>
        <w:tc>
          <w:tcPr/>
          <w:p>
            <w:pPr>
              <w:pStyle w:val="Compact"/>
            </w:pPr>
            <w:r>
              <w:t xml:space="preserve">Taoism forms part of the Chinese religious field into which Islam enters.</w:t>
            </w:r>
          </w:p>
        </w:tc>
        <w:tc>
          <w:tcPr/>
          <w:p>
            <w:pPr>
              <w:pStyle w:val="Compact"/>
            </w:pPr>
            <w:r>
              <w:t xml:space="preserve">Chinese Islam develops through trade, translation, and Sufi networks.</w:t>
            </w:r>
          </w:p>
        </w:tc>
        <w:tc>
          <w:tcPr/>
          <w:p>
            <w:pPr>
              <w:pStyle w:val="Compact"/>
            </w:pPr>
            <w:r>
              <w:t xml:space="preserve">Chinese history creates real zones of Taoist-Islamic contact.</w:t>
            </w:r>
          </w:p>
        </w:tc>
        <w:tc>
          <w:tcPr/>
          <w:p>
            <w:pPr>
              <w:pStyle w:val="Compact"/>
            </w:pPr>
            <w:r>
              <w:t xml:space="preserve">The most direct borrowings in the Han Kitab are often more Confucian than Taoist, even when Taoist analogies are present.</w:t>
            </w:r>
            <w:r>
              <w:t xml:space="preserve"> </w:t>
            </w:r>
            <w:hyperlink r:id="rId23">
              <w:r>
                <w:rPr>
                  <w:rStyle w:val="Hyperlink"/>
                </w:rPr>
                <w:t xml:space="preserve">[19]</w:t>
              </w:r>
            </w:hyperlink>
          </w:p>
        </w:tc>
      </w:tr>
    </w:tbl>
    <w:bookmarkEnd w:id="33"/>
    <w:bookmarkStart w:id="36" w:name="Xd09ff68b6bf71c992bd6ed37fe48fcf98103722"/>
    <w:p>
      <w:pPr>
        <w:pStyle w:val="Heading2"/>
      </w:pPr>
      <w:r>
        <w:t xml:space="preserve">Ethics, Virtue, and the Moral Shape of Humility</w:t>
      </w:r>
    </w:p>
    <w:p>
      <w:pPr>
        <w:pStyle w:val="FirstParagraph"/>
      </w:pPr>
      <w:r>
        <w:t xml:space="preserve">The ethical parallels are more persuasive than the metaphysical ones. In D. C. Lau’s translation,</w:t>
      </w:r>
      <w:r>
        <w:t xml:space="preserve"> </w:t>
      </w:r>
      <w:r>
        <w:rPr>
          <w:i/>
          <w:iCs/>
        </w:rPr>
        <w:t xml:space="preserve">Dao De Jing</w:t>
      </w:r>
      <w:r>
        <w:t xml:space="preserve"> </w:t>
      </w:r>
      <w:r>
        <w:t xml:space="preserve">8 says, “Highest good is like water,” because water benefits things without contention and settles in low places. Chapter 67 adds, in Legge’s rendering, “The first is gentleness; the second is economy; and the third is shrinking from taking precedence of others.” These are not accidental details. They describe a moral style: softness over hardness, lowliness over display, restraint over domination.</w:t>
      </w:r>
      <w:r>
        <w:t xml:space="preserve"> </w:t>
      </w:r>
      <w:hyperlink r:id="rId32">
        <w:r>
          <w:rPr>
            <w:rStyle w:val="Hyperlink"/>
          </w:rPr>
          <w:t xml:space="preserve">[20]</w:t>
        </w:r>
      </w:hyperlink>
    </w:p>
    <w:p>
      <w:pPr>
        <w:pStyle w:val="BodyText"/>
      </w:pPr>
      <w:r>
        <w:t xml:space="preserve">The Qur’an and hadith supply close ethical analogues. The Qur’an praises the servants of the Merciful as those who “walk upon the earth easily” and answer provocation with “words of peace” (Q 25:63). Sahih Muslim 2593 states, “Allah is kind and He loves kindness,” and Sahih Muslim 91c warns that one who has the “weight of a mustard seed of pride” will not enter Paradise. These texts converge strongly with Laozi on humility, gentleness, and anti-arrogance. The underlying logic, however, differs. In Taoism, humility is fitting because it aligns with the deep grain of reality; in Islam, humility is fitting because the human is servant, not lord, before the one God.</w:t>
      </w:r>
      <w:r>
        <w:t xml:space="preserve"> </w:t>
      </w:r>
      <w:hyperlink r:id="rId34">
        <w:r>
          <w:rPr>
            <w:rStyle w:val="Hyperlink"/>
          </w:rPr>
          <w:t xml:space="preserve">[21]</w:t>
        </w:r>
      </w:hyperlink>
    </w:p>
    <w:p>
      <w:pPr>
        <w:pStyle w:val="BodyText"/>
      </w:pPr>
      <w:r>
        <w:t xml:space="preserve">That difference matters for the comparison between</w:t>
      </w:r>
      <w:r>
        <w:t xml:space="preserve"> </w:t>
      </w:r>
      <w:r>
        <w:rPr>
          <w:i/>
          <w:iCs/>
        </w:rPr>
        <w:t xml:space="preserve">wu-wei</w:t>
      </w:r>
      <w:r>
        <w:t xml:space="preserve"> </w:t>
      </w:r>
      <w:r>
        <w:t xml:space="preserve">and submission. Laozi can say, “The way never acts, yet nothing is left undone,” and he can praise the person who “does not show himself.” The Qur’an, by contrast, does not reduce surrender to quiescence. Q 5:48 links divine guidance to practical responsibility by giving communities “a law and a method” and commanding them to “race to [all that is] good.” Islam therefore shares Taoism’s suspicion of vanity and aggression, but not a blanket suspicion of active striving. The nearest Islamic analogue to</w:t>
      </w:r>
      <w:r>
        <w:t xml:space="preserve"> </w:t>
      </w:r>
      <w:r>
        <w:rPr>
          <w:i/>
          <w:iCs/>
        </w:rPr>
        <w:t xml:space="preserve">wu-wei</w:t>
      </w:r>
      <w:r>
        <w:t xml:space="preserve"> </w:t>
      </w:r>
      <w:r>
        <w:t xml:space="preserve">is not “Islam” in the broadest sense, but spiritual states such as trust, contentment, and non-egoic excellence within Islam. That is an analytical inference from the texts, not a direct lexical identity.</w:t>
      </w:r>
      <w:r>
        <w:t xml:space="preserve"> </w:t>
      </w:r>
      <w:hyperlink r:id="rId32">
        <w:r>
          <w:rPr>
            <w:rStyle w:val="Hyperlink"/>
          </w:rPr>
          <w:t xml:space="preserve">[22]</w:t>
        </w:r>
      </w:hyperlink>
    </w:p>
    <w:p>
      <w:pPr>
        <w:pStyle w:val="BodyText"/>
      </w:pPr>
      <w:r>
        <w:t xml:space="preserve">Classical commentary reinforces the ethical reading. Ibn Kathir glosses Q 25:63 by explaining that the faithful walk “with dignity and humility, not with arrogance and pride,” and he interprets their peaceful response as refusing to answer insult with insult. That is not far from Laozi’s water-like refusal of contention. Yet Qur’anic humility remains morally accountable and socially actionable, not merely naturalistic.</w:t>
      </w:r>
      <w:r>
        <w:t xml:space="preserve"> </w:t>
      </w:r>
      <w:hyperlink r:id="rId35">
        <w:r>
          <w:rPr>
            <w:rStyle w:val="Hyperlink"/>
          </w:rPr>
          <w:t xml:space="preserve">[23]</w:t>
        </w:r>
      </w:hyperlink>
    </w:p>
    <w:bookmarkEnd w:id="36"/>
    <w:bookmarkStart w:id="39" w:name="X0ac67dfdbdf72f403153421f4d6f627c0e9e2fc"/>
    <w:p>
      <w:pPr>
        <w:pStyle w:val="Heading2"/>
      </w:pPr>
      <w:r>
        <w:t xml:space="preserve">Mysticism, Practice, and Embodied Discipline</w:t>
      </w:r>
    </w:p>
    <w:p>
      <w:pPr>
        <w:pStyle w:val="FirstParagraph"/>
      </w:pPr>
      <w:r>
        <w:t xml:space="preserve">The deepest practical parallels arise in contemplative anthropology. In the</w:t>
      </w:r>
      <w:r>
        <w:t xml:space="preserve"> </w:t>
      </w:r>
      <w:r>
        <w:rPr>
          <w:i/>
          <w:iCs/>
        </w:rPr>
        <w:t xml:space="preserve">Zhuangzi</w:t>
      </w:r>
      <w:r>
        <w:t xml:space="preserve">, Confucius describes “the fasting of the mind” and says, “The Way gathers in emptiness alone.” Elsewhere, Watson’s translation describes the sage-like “True Man” whose life is not driven by anxious grasping, and even says, in the same chapter, “The True Man breathes with his heels.” These passages point toward stillness, de-centering of ordinary cognition, and receptivity to a larger order. They are not yet the full later system of Daoist internal alchemy, but they establish the style of inward discipline from which many later Daoist practices drew nourishment.</w:t>
      </w:r>
      <w:r>
        <w:t xml:space="preserve"> </w:t>
      </w:r>
      <w:hyperlink r:id="rId31">
        <w:r>
          <w:rPr>
            <w:rStyle w:val="Hyperlink"/>
          </w:rPr>
          <w:t xml:space="preserve">[24]</w:t>
        </w:r>
      </w:hyperlink>
    </w:p>
    <w:p>
      <w:pPr>
        <w:pStyle w:val="BodyText"/>
      </w:pPr>
      <w:r>
        <w:t xml:space="preserve">Islamic mysticism offers a strong but not identical analogue. In Sahih al-Bukhari 50, ihsan is “To worship Allah as if you see Him,” and in Sahih al-Bukhari 6407 the one who remembers God is compared to “a living creature,” while the forgetful one is spiritually dead. Murata’s summary of Chinese Islamic thought is especially relevant here: on pages 14–15 she writes that Islam has dimensions of “submission to God’s will,” faith, and</w:t>
      </w:r>
      <w:r>
        <w:t xml:space="preserve"> </w:t>
      </w:r>
      <w:r>
        <w:rPr>
          <w:i/>
          <w:iCs/>
        </w:rPr>
        <w:t xml:space="preserve">ihsan</w:t>
      </w:r>
      <w:r>
        <w:t xml:space="preserve">, and that for Sufi authorities the key to understanding is, “much in the Taoist fashion—the emptying of the heart.” That observation does not erase differences, but it identifies a real meeting point between Zhuangzian emptying and Sufi purification of the heart.</w:t>
      </w:r>
      <w:r>
        <w:t xml:space="preserve"> </w:t>
      </w:r>
      <w:hyperlink r:id="rId37">
        <w:r>
          <w:rPr>
            <w:rStyle w:val="Hyperlink"/>
          </w:rPr>
          <w:t xml:space="preserve">[25]</w:t>
        </w:r>
      </w:hyperlink>
    </w:p>
    <w:p>
      <w:pPr>
        <w:pStyle w:val="BodyText"/>
      </w:pPr>
      <w:r>
        <w:t xml:space="preserve">The historical embedding of Sufism in China makes the parallel more than theoretical. Weil shows that Persian Sufi theology became central to Chinese Muslim scholarship, and Thum demonstrates that the Mujaddidiyya influenced many major forms of Chinese Islam. Later Chinese Muslim scholars such as Ma Dexin also modeled religious authority through travel and trans-Asian learning. This means that Chinese Muslim engagement with contemplative inwardness developed inside a Chinese civilizational environment where Taoist concepts of stillness, emptiness, inward cultivation, and subtle efficacy were already familiar in the intellectual atmosphere.</w:t>
      </w:r>
      <w:r>
        <w:t xml:space="preserve"> </w:t>
      </w:r>
      <w:hyperlink r:id="rId27">
        <w:r>
          <w:rPr>
            <w:rStyle w:val="Hyperlink"/>
          </w:rPr>
          <w:t xml:space="preserve">[8]</w:t>
        </w:r>
      </w:hyperlink>
    </w:p>
    <w:p>
      <w:pPr>
        <w:pStyle w:val="BodyText"/>
      </w:pPr>
      <w:r>
        <w:t xml:space="preserve">Still, the techniques and ultimate aims diverge. Stanford’s entry on religious Daoism notes that Quanzhen practice includes “meditation and Internal Alchemy,” and Oxford’s guide to the</w:t>
      </w:r>
      <w:r>
        <w:t xml:space="preserve"> </w:t>
      </w:r>
      <w:r>
        <w:rPr>
          <w:i/>
          <w:iCs/>
        </w:rPr>
        <w:t xml:space="preserve">Daode jing</w:t>
      </w:r>
      <w:r>
        <w:t xml:space="preserve"> </w:t>
      </w:r>
      <w:r>
        <w:t xml:space="preserve">reminds readers that Daoism includes “health cultivation practices” such as deep breathing, gentle movement, and meditation. By contrast, the hadith of Gabriel ties Islamic excellence to worship of Allah, and the same hadith defines faith partly through belief in resurrection. Daoist internal alchemy often aims at subtle body transformation, longevity, or forms of realized immortality, whereas Islamic spirituality remains oriented toward remembrance, obedience, divine nearness, and the eschatological horizon of resurrection and judgment. Any close comparison must preserve that difference.</w:t>
      </w:r>
      <w:r>
        <w:t xml:space="preserve"> </w:t>
      </w:r>
      <w:hyperlink r:id="rId38">
        <w:r>
          <w:rPr>
            <w:rStyle w:val="Hyperlink"/>
          </w:rPr>
          <w:t xml:space="preserve">[26]</w:t>
        </w:r>
      </w:hyperlink>
    </w:p>
    <w:bookmarkEnd w:id="39"/>
    <w:bookmarkStart w:id="42" w:name="X667759050c0edc5b9bfc6cf723c153f4f046cd1"/>
    <w:p>
      <w:pPr>
        <w:pStyle w:val="Heading2"/>
      </w:pPr>
      <w:r>
        <w:t xml:space="preserve">Language, Metaphor, and Contemporary Dialogue</w:t>
      </w:r>
    </w:p>
    <w:p>
      <w:pPr>
        <w:pStyle w:val="FirstParagraph"/>
      </w:pPr>
      <w:r>
        <w:t xml:space="preserve">Taoist and Islamic texts are both intensely metaphorical, but their speech habits differ. Laozi prefers water, valley, softness, reversal, namelessness, and the “uncarved block.” Chapter 40 in Legge’s version says the movement of Dao “by contraries proceeds,” and chapter 1 resists final naming. The Qur’an also uses polarity-rich language—God is “the First and the Last,” in Arberry’s version “the Outward and the Inward”—but it couples this with authorized praise and naming: “to Him belong the best names” (Q 59:24). In short, both traditions rely on metaphors that exceed ordinary literalism, but Taoism tends to thin out naming while Islam thickens it. That is one of the cleanest counterpoints in the comparison.</w:t>
      </w:r>
      <w:r>
        <w:t xml:space="preserve"> </w:t>
      </w:r>
      <w:hyperlink r:id="rId24">
        <w:r>
          <w:rPr>
            <w:rStyle w:val="Hyperlink"/>
          </w:rPr>
          <w:t xml:space="preserve">[27]</w:t>
        </w:r>
      </w:hyperlink>
    </w:p>
    <w:p>
      <w:pPr>
        <w:pStyle w:val="BodyText"/>
      </w:pPr>
      <w:r>
        <w:t xml:space="preserve">In the contemporary world, one major zone of dialogue is translation. A 2022 peer-reviewed study of Laozi in the Arab world documents the first Arabic</w:t>
      </w:r>
      <w:r>
        <w:t xml:space="preserve"> </w:t>
      </w:r>
      <w:r>
        <w:rPr>
          <w:i/>
          <w:iCs/>
        </w:rPr>
        <w:t xml:space="preserve">Dao De Jing</w:t>
      </w:r>
      <w:r>
        <w:t xml:space="preserve"> </w:t>
      </w:r>
      <w:r>
        <w:t xml:space="preserve">in 1966 and nineteen Arabic translations by the end of 2020, adding that some Arab intellectuals integrated Laozi’s ideas with Islamic philosophy. This is not evidence of mass syncretism, but it is strong evidence of living comparative engagement in Arabic-reading Muslim contexts. Outside China, that appears to be the main contemporary form of Taoist-Islamic encounter: translation, comparative philosophy, and interreligious reflection more than durable mixed devotional communities.</w:t>
      </w:r>
      <w:r>
        <w:t xml:space="preserve"> </w:t>
      </w:r>
      <w:hyperlink r:id="rId25">
        <w:r>
          <w:rPr>
            <w:rStyle w:val="Hyperlink"/>
          </w:rPr>
          <w:t xml:space="preserve">[28]</w:t>
        </w:r>
      </w:hyperlink>
    </w:p>
    <w:p>
      <w:pPr>
        <w:pStyle w:val="BodyText"/>
      </w:pPr>
      <w:r>
        <w:t xml:space="preserve">Inside China, present-day dialogue is real but institutionally constrained. The CECC’s 2024 report states that Taoism and Islam are among the five state-recognized religions and that authorities continued both the “sinicization” of Taoism and pressure on Muslim communities, including mosque redesign and tightened control of religious life. Recent forum coverage nonetheless shows Taoist and Muslim participation in multi-faith settings: Religions for Peace Europe reports that the 2026 Boao Forum’s sub-forum on “Religious Harmony and Mutual Learning Among Civilizations” included Buddhism, Taoism, and Islam, and a March 2026 release likewise reported Taoist and Islamic participation. Cambridge scholarship on Muslim ritual practice in China adds that religious ideas in Hui and Uyghur communities are often integrated into “religious pluralism” in daily life. The contemporary scene, then, is double-edged: there is dialogue, coexistence, and continuing local layering, but also a strong regulatory framework that shapes what can be publicly said and done.</w:t>
      </w:r>
      <w:r>
        <w:t xml:space="preserve"> </w:t>
      </w:r>
      <w:hyperlink r:id="rId40">
        <w:r>
          <w:rPr>
            <w:rStyle w:val="Hyperlink"/>
          </w:rPr>
          <w:t xml:space="preserve">[29]</w:t>
        </w:r>
      </w:hyperlink>
    </w:p>
    <w:p>
      <w:pPr>
        <w:pStyle w:val="BodyText"/>
      </w:pPr>
      <w:r>
        <w:t xml:space="preserve">A final present-day nuance is worth stating explicitly. Recent Chinese public discourse seems to pair Islam more often with Confucianism than with Taoism in dedicated bilateral dialogue formats; Taoism more commonly appears beside Islam in broad multifaith settings. That is an inference from the 2026 Boao multi-faith reporting and contemporaneous Islam-Confucianism dialogue coverage, and it suggests that the Taoism-Islam comparison today is often intellectually and historically rich but institutionally less formalized than some other Chinese-Muslim civilizational pairings.</w:t>
      </w:r>
      <w:r>
        <w:t xml:space="preserve"> </w:t>
      </w:r>
      <w:hyperlink r:id="rId41">
        <w:r>
          <w:rPr>
            <w:rStyle w:val="Hyperlink"/>
          </w:rPr>
          <w:t xml:space="preserve">[30]</w:t>
        </w:r>
      </w:hyperlink>
    </w:p>
    <w:bookmarkEnd w:id="42"/>
    <w:bookmarkStart w:id="43" w:name="thematic-epilogue"/>
    <w:p>
      <w:pPr>
        <w:pStyle w:val="Heading2"/>
      </w:pPr>
      <w:r>
        <w:t xml:space="preserve">Thematic Epilogue</w:t>
      </w:r>
    </w:p>
    <w:p>
      <w:pPr>
        <w:pStyle w:val="FirstParagraph"/>
      </w:pPr>
      <w:r>
        <w:t xml:space="preserve">The most illuminating way to compare Taoism and Islam is to let each tradition sharpen the other without forcing equivalence. Taoism is at its most suggestive for Muslim comparison when it teaches water-like softness, release of egoic forcing, and the discipline by which “the Way gathers in emptiness alone.” Islam is at its most suggestive for Taoist comparison when it binds surrender to humility, mercy, and excellence before the One who is “the First and the Last,” yet “has no equivalent.” Both traditions know that grasping, pride, and domination deform the human being. Both praise forms of lowliness that are not weakness but a higher strength.</w:t>
      </w:r>
      <w:r>
        <w:t xml:space="preserve"> </w:t>
      </w:r>
      <w:hyperlink r:id="rId32">
        <w:r>
          <w:rPr>
            <w:rStyle w:val="Hyperlink"/>
          </w:rPr>
          <w:t xml:space="preserve">[31]</w:t>
        </w:r>
      </w:hyperlink>
    </w:p>
    <w:p>
      <w:pPr>
        <w:pStyle w:val="BodyText"/>
      </w:pPr>
      <w:r>
        <w:t xml:space="preserve">But the report’s larger conclusion is also a limit. Dao is not simply Allah under another name;</w:t>
      </w:r>
      <w:r>
        <w:t xml:space="preserve"> </w:t>
      </w:r>
      <w:r>
        <w:rPr>
          <w:i/>
          <w:iCs/>
        </w:rPr>
        <w:t xml:space="preserve">wu-wei</w:t>
      </w:r>
      <w:r>
        <w:t xml:space="preserve"> </w:t>
      </w:r>
      <w:r>
        <w:t xml:space="preserve">is not simply Islam; Zhuangzi’s dissolving of categories is not the same as Qur’anic revelation as criterion; and Daoist internal alchemy is not Sufi dhikr in Chinese dress. The historical record in China shows something subtler and more interesting than sameness: a durable human capacity for bilingual religious intelligence. Chinese Muslims, Arab translators of Laozi, comparative philosophers such as Izutsu, and even shrine communities on mountains shared with older Chinese traditions all testify that serious comparison does not erase difference. It learns to dwell in it fruitfully.</w:t>
      </w:r>
      <w:r>
        <w:t xml:space="preserve"> </w:t>
      </w:r>
      <w:hyperlink r:id="rId31">
        <w:r>
          <w:rPr>
            <w:rStyle w:val="Hyperlink"/>
          </w:rPr>
          <w:t xml:space="preserve">[32]</w:t>
        </w:r>
      </w:hyperlink>
    </w:p>
    <w:bookmarkEnd w:id="43"/>
    <w:bookmarkEnd w:id="44"/>
    <w:bookmarkEnd w:id="45"/>
    <w:p>
      <w:r>
        <w:pict>
          <v:rect style="width:0;height:1.5pt" o:hralign="center" o:hrstd="t" o:hr="t"/>
        </w:pict>
      </w:r>
    </w:p>
    <w:bookmarkStart w:id="46" w:name="citations"/>
    <w:p>
      <w:pPr>
        <w:pStyle w:val="FirstParagraph"/>
      </w:pPr>
      <w:hyperlink r:id="rId21">
        <w:r>
          <w:rPr>
            <w:rStyle w:val="Hyperlink"/>
          </w:rPr>
          <w:t xml:space="preserve">[1]</w:t>
        </w:r>
      </w:hyperlink>
      <w:r>
        <w:t xml:space="preserve"> </w:t>
      </w:r>
      <w:hyperlink r:id="rId21">
        <w:r>
          <w:rPr>
            <w:rStyle w:val="Hyperlink"/>
          </w:rPr>
          <w:t xml:space="preserve">[13]</w:t>
        </w:r>
      </w:hyperlink>
      <w:r>
        <w:t xml:space="preserve"> </w:t>
      </w:r>
      <w:r>
        <w:t xml:space="preserve">https://philpapers.org/rec/IZUSAT</w:t>
      </w:r>
    </w:p>
    <w:p>
      <w:pPr>
        <w:pStyle w:val="BodyText"/>
      </w:pPr>
      <w:hyperlink r:id="rId21">
        <w:r>
          <w:rPr>
            <w:rStyle w:val="Hyperlink"/>
          </w:rPr>
          <w:t xml:space="preserve">https://philpapers.org/rec/IZUSAT</w:t>
        </w:r>
      </w:hyperlink>
    </w:p>
    <w:p>
      <w:pPr>
        <w:pStyle w:val="BodyText"/>
      </w:pPr>
      <w:hyperlink r:id="rId23">
        <w:r>
          <w:rPr>
            <w:rStyle w:val="Hyperlink"/>
          </w:rPr>
          <w:t xml:space="preserve">[2]</w:t>
        </w:r>
      </w:hyperlink>
      <w:r>
        <w:t xml:space="preserve"> </w:t>
      </w:r>
      <w:hyperlink r:id="rId23">
        <w:r>
          <w:rPr>
            <w:rStyle w:val="Hyperlink"/>
          </w:rPr>
          <w:t xml:space="preserve">[5]</w:t>
        </w:r>
      </w:hyperlink>
      <w:r>
        <w:t xml:space="preserve"> </w:t>
      </w:r>
      <w:hyperlink r:id="rId23">
        <w:r>
          <w:rPr>
            <w:rStyle w:val="Hyperlink"/>
          </w:rPr>
          <w:t xml:space="preserve">[9]</w:t>
        </w:r>
      </w:hyperlink>
      <w:r>
        <w:t xml:space="preserve"> </w:t>
      </w:r>
      <w:hyperlink r:id="rId23">
        <w:r>
          <w:rPr>
            <w:rStyle w:val="Hyperlink"/>
          </w:rPr>
          <w:t xml:space="preserve">[19]</w:t>
        </w:r>
      </w:hyperlink>
      <w:r>
        <w:t xml:space="preserve"> </w:t>
      </w:r>
      <w:r>
        <w:t xml:space="preserve">https://www.cambridge.org/core/journals/journal-of-the-royal-asiatic-society/article/direct-sea-trade-between-early-islamic-iraq-and-tang-china-from-the-exchange-of-goods-to-the-transmission-of-ideas/7B68C789C7535E5BEF4C9E63CDFA9408</w:t>
      </w:r>
    </w:p>
    <w:p>
      <w:pPr>
        <w:pStyle w:val="BodyText"/>
      </w:pPr>
      <w:hyperlink r:id="rId23">
        <w:r>
          <w:rPr>
            <w:rStyle w:val="Hyperlink"/>
          </w:rPr>
          <w:t xml:space="preserve">https://www.cambridge.org/core/journals/journal-of-the-royal-asiatic-society/article/direct-sea-trade-between-early-islamic-iraq-and-tang-china-from-the-exchange-of-goods-to-the-transmission-of-ideas/7B68C789C7535E5BEF4C9E63CDFA9408</w:t>
        </w:r>
      </w:hyperlink>
    </w:p>
    <w:p>
      <w:pPr>
        <w:pStyle w:val="BodyText"/>
      </w:pPr>
      <w:hyperlink r:id="rId24">
        <w:r>
          <w:rPr>
            <w:rStyle w:val="Hyperlink"/>
          </w:rPr>
          <w:t xml:space="preserve">[3]</w:t>
        </w:r>
      </w:hyperlink>
      <w:r>
        <w:t xml:space="preserve"> </w:t>
      </w:r>
      <w:hyperlink r:id="rId24">
        <w:r>
          <w:rPr>
            <w:rStyle w:val="Hyperlink"/>
          </w:rPr>
          <w:t xml:space="preserve">[10]</w:t>
        </w:r>
      </w:hyperlink>
      <w:r>
        <w:t xml:space="preserve"> </w:t>
      </w:r>
      <w:hyperlink r:id="rId24">
        <w:r>
          <w:rPr>
            <w:rStyle w:val="Hyperlink"/>
          </w:rPr>
          <w:t xml:space="preserve">[14]</w:t>
        </w:r>
      </w:hyperlink>
      <w:r>
        <w:t xml:space="preserve"> </w:t>
      </w:r>
      <w:hyperlink r:id="rId24">
        <w:r>
          <w:rPr>
            <w:rStyle w:val="Hyperlink"/>
          </w:rPr>
          <w:t xml:space="preserve">[17]</w:t>
        </w:r>
      </w:hyperlink>
      <w:r>
        <w:t xml:space="preserve"> </w:t>
      </w:r>
      <w:hyperlink r:id="rId24">
        <w:r>
          <w:rPr>
            <w:rStyle w:val="Hyperlink"/>
          </w:rPr>
          <w:t xml:space="preserve">[27]</w:t>
        </w:r>
      </w:hyperlink>
      <w:r>
        <w:t xml:space="preserve"> </w:t>
      </w:r>
      <w:r>
        <w:t xml:space="preserve">https://ctext.org/dao-de-jing</w:t>
      </w:r>
    </w:p>
    <w:p>
      <w:pPr>
        <w:pStyle w:val="BodyText"/>
      </w:pPr>
      <w:hyperlink r:id="rId24">
        <w:r>
          <w:rPr>
            <w:rStyle w:val="Hyperlink"/>
          </w:rPr>
          <w:t xml:space="preserve">https://ctext.org/dao-de-jing</w:t>
        </w:r>
      </w:hyperlink>
    </w:p>
    <w:p>
      <w:pPr>
        <w:pStyle w:val="BodyText"/>
      </w:pPr>
      <w:hyperlink r:id="rId25">
        <w:r>
          <w:rPr>
            <w:rStyle w:val="Hyperlink"/>
          </w:rPr>
          <w:t xml:space="preserve">[4]</w:t>
        </w:r>
      </w:hyperlink>
      <w:r>
        <w:t xml:space="preserve"> </w:t>
      </w:r>
      <w:hyperlink r:id="rId25">
        <w:r>
          <w:rPr>
            <w:rStyle w:val="Hyperlink"/>
          </w:rPr>
          <w:t xml:space="preserve">[28]</w:t>
        </w:r>
      </w:hyperlink>
      <w:r>
        <w:t xml:space="preserve"> </w:t>
      </w:r>
      <w:r>
        <w:t xml:space="preserve">https://www.mdpi.com/2077-1444/13/12/1177</w:t>
      </w:r>
    </w:p>
    <w:p>
      <w:pPr>
        <w:pStyle w:val="BodyText"/>
      </w:pPr>
      <w:hyperlink r:id="rId25">
        <w:r>
          <w:rPr>
            <w:rStyle w:val="Hyperlink"/>
          </w:rPr>
          <w:t xml:space="preserve">https://www.mdpi.com/2077-1444/13/12/1177</w:t>
        </w:r>
      </w:hyperlink>
    </w:p>
    <w:p>
      <w:pPr>
        <w:pStyle w:val="BodyText"/>
      </w:pPr>
      <w:hyperlink r:id="rId27">
        <w:r>
          <w:rPr>
            <w:rStyle w:val="Hyperlink"/>
          </w:rPr>
          <w:t xml:space="preserve">[6]</w:t>
        </w:r>
      </w:hyperlink>
      <w:r>
        <w:t xml:space="preserve"> </w:t>
      </w:r>
      <w:hyperlink r:id="rId27">
        <w:r>
          <w:rPr>
            <w:rStyle w:val="Hyperlink"/>
          </w:rPr>
          <w:t xml:space="preserve">[8]</w:t>
        </w:r>
      </w:hyperlink>
      <w:r>
        <w:t xml:space="preserve"> </w:t>
      </w:r>
      <w:r>
        <w:t xml:space="preserve">https://www.cambridge.org/core/journals/international-journal-of-asian-studies/article/crossing-boundaries-reading-mirsad-alibad-in-early-modern-china-redrawing-and-straddling-borders/4E6DEFAC30D5CC39472149AA529D8FEF</w:t>
      </w:r>
    </w:p>
    <w:p>
      <w:pPr>
        <w:pStyle w:val="BodyText"/>
      </w:pPr>
      <w:hyperlink r:id="rId27">
        <w:r>
          <w:rPr>
            <w:rStyle w:val="Hyperlink"/>
          </w:rPr>
          <w:t xml:space="preserve">https://www.cambridge.org/core/journals/international-journal-of-asian-studies/article/crossing-boundaries-reading-mirsad-alibad-in-early-modern-china-redrawing-and-straddling-borders/4E6DEFAC30D5CC39472149AA529D8FEF</w:t>
        </w:r>
      </w:hyperlink>
    </w:p>
    <w:p>
      <w:pPr>
        <w:pStyle w:val="BodyText"/>
      </w:pPr>
      <w:hyperlink r:id="rId28">
        <w:r>
          <w:rPr>
            <w:rStyle w:val="Hyperlink"/>
          </w:rPr>
          <w:t xml:space="preserve">[7]</w:t>
        </w:r>
      </w:hyperlink>
      <w:r>
        <w:t xml:space="preserve"> </w:t>
      </w:r>
      <w:r>
        <w:t xml:space="preserve">https://www.themathesontrust.org/papers/fareasternreligions/Brown-A_Mountain_of_Saints.pdf</w:t>
      </w:r>
    </w:p>
    <w:p>
      <w:pPr>
        <w:pStyle w:val="BodyText"/>
      </w:pPr>
      <w:hyperlink r:id="rId28">
        <w:r>
          <w:rPr>
            <w:rStyle w:val="Hyperlink"/>
          </w:rPr>
          <w:t xml:space="preserve">https://www.themathesontrust.org/papers/fareasternreligions/Brown-A_Mountain_of_Saints.pdf</w:t>
        </w:r>
      </w:hyperlink>
    </w:p>
    <w:p>
      <w:pPr>
        <w:pStyle w:val="BodyText"/>
      </w:pPr>
      <w:hyperlink r:id="rId30">
        <w:r>
          <w:rPr>
            <w:rStyle w:val="Hyperlink"/>
          </w:rPr>
          <w:t xml:space="preserve">[11]</w:t>
        </w:r>
      </w:hyperlink>
      <w:r>
        <w:t xml:space="preserve"> </w:t>
      </w:r>
      <w:r>
        <w:t xml:space="preserve">https://legacy.quran.com/1/6</w:t>
      </w:r>
    </w:p>
    <w:p>
      <w:pPr>
        <w:pStyle w:val="BodyText"/>
      </w:pPr>
      <w:hyperlink r:id="rId30">
        <w:r>
          <w:rPr>
            <w:rStyle w:val="Hyperlink"/>
          </w:rPr>
          <w:t xml:space="preserve">https://legacy.quran.com/1/6</w:t>
        </w:r>
      </w:hyperlink>
    </w:p>
    <w:p>
      <w:pPr>
        <w:pStyle w:val="BodyText"/>
      </w:pPr>
      <w:hyperlink r:id="rId31">
        <w:r>
          <w:rPr>
            <w:rStyle w:val="Hyperlink"/>
          </w:rPr>
          <w:t xml:space="preserve">[12]</w:t>
        </w:r>
      </w:hyperlink>
      <w:r>
        <w:t xml:space="preserve"> </w:t>
      </w:r>
      <w:hyperlink r:id="rId31">
        <w:r>
          <w:rPr>
            <w:rStyle w:val="Hyperlink"/>
          </w:rPr>
          <w:t xml:space="preserve">[16]</w:t>
        </w:r>
      </w:hyperlink>
      <w:r>
        <w:t xml:space="preserve"> </w:t>
      </w:r>
      <w:hyperlink r:id="rId31">
        <w:r>
          <w:rPr>
            <w:rStyle w:val="Hyperlink"/>
          </w:rPr>
          <w:t xml:space="preserve">[18]</w:t>
        </w:r>
      </w:hyperlink>
      <w:r>
        <w:t xml:space="preserve"> </w:t>
      </w:r>
      <w:hyperlink r:id="rId31">
        <w:r>
          <w:rPr>
            <w:rStyle w:val="Hyperlink"/>
          </w:rPr>
          <w:t xml:space="preserve">[24]</w:t>
        </w:r>
      </w:hyperlink>
      <w:r>
        <w:t xml:space="preserve"> </w:t>
      </w:r>
      <w:hyperlink r:id="rId31">
        <w:r>
          <w:rPr>
            <w:rStyle w:val="Hyperlink"/>
          </w:rPr>
          <w:t xml:space="preserve">[32]</w:t>
        </w:r>
      </w:hyperlink>
      <w:r>
        <w:t xml:space="preserve"> </w:t>
      </w:r>
      <w:r>
        <w:t xml:space="preserve">https://terebess.hu/english/chuangtzu.html</w:t>
      </w:r>
    </w:p>
    <w:p>
      <w:pPr>
        <w:pStyle w:val="BodyText"/>
      </w:pPr>
      <w:hyperlink r:id="rId31">
        <w:r>
          <w:rPr>
            <w:rStyle w:val="Hyperlink"/>
          </w:rPr>
          <w:t xml:space="preserve">https://terebess.hu/english/chuangtzu.html</w:t>
        </w:r>
      </w:hyperlink>
    </w:p>
    <w:p>
      <w:pPr>
        <w:pStyle w:val="BodyText"/>
      </w:pPr>
      <w:hyperlink r:id="rId32">
        <w:r>
          <w:rPr>
            <w:rStyle w:val="Hyperlink"/>
          </w:rPr>
          <w:t xml:space="preserve">[15]</w:t>
        </w:r>
      </w:hyperlink>
      <w:r>
        <w:t xml:space="preserve"> </w:t>
      </w:r>
      <w:hyperlink r:id="rId32">
        <w:r>
          <w:rPr>
            <w:rStyle w:val="Hyperlink"/>
          </w:rPr>
          <w:t xml:space="preserve">[20]</w:t>
        </w:r>
      </w:hyperlink>
      <w:r>
        <w:t xml:space="preserve"> </w:t>
      </w:r>
      <w:hyperlink r:id="rId32">
        <w:r>
          <w:rPr>
            <w:rStyle w:val="Hyperlink"/>
          </w:rPr>
          <w:t xml:space="preserve">[22]</w:t>
        </w:r>
      </w:hyperlink>
      <w:r>
        <w:t xml:space="preserve"> </w:t>
      </w:r>
      <w:hyperlink r:id="rId32">
        <w:r>
          <w:rPr>
            <w:rStyle w:val="Hyperlink"/>
          </w:rPr>
          <w:t xml:space="preserve">[31]</w:t>
        </w:r>
      </w:hyperlink>
      <w:r>
        <w:t xml:space="preserve"> </w:t>
      </w:r>
      <w:r>
        <w:t xml:space="preserve">https://terebess.hu/english/tao/lau.html</w:t>
      </w:r>
    </w:p>
    <w:p>
      <w:pPr>
        <w:pStyle w:val="BodyText"/>
      </w:pPr>
      <w:hyperlink r:id="rId32">
        <w:r>
          <w:rPr>
            <w:rStyle w:val="Hyperlink"/>
          </w:rPr>
          <w:t xml:space="preserve">https://terebess.hu/english/tao/lau.html</w:t>
        </w:r>
      </w:hyperlink>
    </w:p>
    <w:p>
      <w:pPr>
        <w:pStyle w:val="BodyText"/>
      </w:pPr>
      <w:hyperlink r:id="rId34">
        <w:r>
          <w:rPr>
            <w:rStyle w:val="Hyperlink"/>
          </w:rPr>
          <w:t xml:space="preserve">[21]</w:t>
        </w:r>
      </w:hyperlink>
      <w:r>
        <w:t xml:space="preserve"> </w:t>
      </w:r>
      <w:r>
        <w:t xml:space="preserve">https://legacy.quran.com/25/63</w:t>
      </w:r>
    </w:p>
    <w:p>
      <w:pPr>
        <w:pStyle w:val="BodyText"/>
      </w:pPr>
      <w:hyperlink r:id="rId34">
        <w:r>
          <w:rPr>
            <w:rStyle w:val="Hyperlink"/>
          </w:rPr>
          <w:t xml:space="preserve">https://legacy.quran.com/25/63</w:t>
        </w:r>
      </w:hyperlink>
    </w:p>
    <w:p>
      <w:pPr>
        <w:pStyle w:val="BodyText"/>
      </w:pPr>
      <w:hyperlink r:id="rId35">
        <w:r>
          <w:rPr>
            <w:rStyle w:val="Hyperlink"/>
          </w:rPr>
          <w:t xml:space="preserve">[23]</w:t>
        </w:r>
      </w:hyperlink>
      <w:r>
        <w:t xml:space="preserve"> </w:t>
      </w:r>
      <w:r>
        <w:t xml:space="preserve">https://surahquran.com/tafsir-english-aya-63-sora-25.html</w:t>
      </w:r>
    </w:p>
    <w:p>
      <w:pPr>
        <w:pStyle w:val="BodyText"/>
      </w:pPr>
      <w:hyperlink r:id="rId35">
        <w:r>
          <w:rPr>
            <w:rStyle w:val="Hyperlink"/>
          </w:rPr>
          <w:t xml:space="preserve">https://surahquran.com/tafsir-english-aya-63-sora-25.html</w:t>
        </w:r>
      </w:hyperlink>
    </w:p>
    <w:p>
      <w:pPr>
        <w:pStyle w:val="BodyText"/>
      </w:pPr>
      <w:hyperlink r:id="rId37">
        <w:r>
          <w:rPr>
            <w:rStyle w:val="Hyperlink"/>
          </w:rPr>
          <w:t xml:space="preserve">[25]</w:t>
        </w:r>
      </w:hyperlink>
      <w:r>
        <w:t xml:space="preserve"> </w:t>
      </w:r>
      <w:r>
        <w:t xml:space="preserve">https://sunnah.com/bukhari%3A50</w:t>
      </w:r>
    </w:p>
    <w:p>
      <w:pPr>
        <w:pStyle w:val="BodyText"/>
      </w:pPr>
      <w:hyperlink r:id="rId37">
        <w:r>
          <w:rPr>
            <w:rStyle w:val="Hyperlink"/>
          </w:rPr>
          <w:t xml:space="preserve">https://sunnah.com/bukhari%3A50</w:t>
        </w:r>
      </w:hyperlink>
    </w:p>
    <w:p>
      <w:pPr>
        <w:pStyle w:val="BodyText"/>
      </w:pPr>
      <w:hyperlink r:id="rId38">
        <w:r>
          <w:rPr>
            <w:rStyle w:val="Hyperlink"/>
          </w:rPr>
          <w:t xml:space="preserve">[26]</w:t>
        </w:r>
      </w:hyperlink>
      <w:r>
        <w:t xml:space="preserve"> </w:t>
      </w:r>
      <w:r>
        <w:t xml:space="preserve">https://plato.stanford.edu/entries/daoism-religion/</w:t>
      </w:r>
    </w:p>
    <w:p>
      <w:pPr>
        <w:pStyle w:val="BodyText"/>
      </w:pPr>
      <w:hyperlink r:id="rId38">
        <w:r>
          <w:rPr>
            <w:rStyle w:val="Hyperlink"/>
          </w:rPr>
          <w:t xml:space="preserve">https://plato.stanford.edu/entries/daoism-religion/</w:t>
        </w:r>
      </w:hyperlink>
    </w:p>
    <w:p>
      <w:pPr>
        <w:pStyle w:val="BodyText"/>
      </w:pPr>
      <w:hyperlink r:id="rId40">
        <w:r>
          <w:rPr>
            <w:rStyle w:val="Hyperlink"/>
          </w:rPr>
          <w:t xml:space="preserve">[29]</w:t>
        </w:r>
      </w:hyperlink>
      <w:r>
        <w:t xml:space="preserve"> </w:t>
      </w:r>
      <w:r>
        <w:t xml:space="preserve">cecc.gov</w:t>
      </w:r>
    </w:p>
    <w:p>
      <w:pPr>
        <w:pStyle w:val="BodyText"/>
      </w:pPr>
      <w:hyperlink r:id="rId40">
        <w:r>
          <w:rPr>
            <w:rStyle w:val="Hyperlink"/>
          </w:rPr>
          <w:t xml:space="preserve">https://www.cecc.gov/sites/evo-subsites/cecc.house.gov/files/2024-12/2024-CH3-Freedom-of-Religion.pdf</w:t>
        </w:r>
      </w:hyperlink>
    </w:p>
    <w:p>
      <w:pPr>
        <w:pStyle w:val="BodyText"/>
      </w:pPr>
      <w:hyperlink r:id="rId41">
        <w:r>
          <w:rPr>
            <w:rStyle w:val="Hyperlink"/>
          </w:rPr>
          <w:t xml:space="preserve">[30]</w:t>
        </w:r>
      </w:hyperlink>
      <w:r>
        <w:t xml:space="preserve"> </w:t>
      </w:r>
      <w:r>
        <w:t xml:space="preserve">RfP Europe highlights Interfaith Dialogue at Boao Forum for Asia 2026 – Religions for Peace Europe</w:t>
      </w:r>
    </w:p>
    <w:p>
      <w:pPr>
        <w:pStyle w:val="BodyText"/>
      </w:pPr>
      <w:hyperlink r:id="rId41">
        <w:r>
          <w:rPr>
            <w:rStyle w:val="Hyperlink"/>
          </w:rPr>
          <w:t xml:space="preserve">https://rfpeurope.org/rfp-europe-highlights-interfaith-dialogue-at-boao-forum-for-asia-2026/</w:t>
        </w:r>
      </w:hyperlink>
    </w:p>
    <w:bookmarkEnd w:id="46"/>
    <w:sectPr>
      <w:footnotePr>
        <w:numRestart w:val="eachSect"/>
      </w:footnotePr>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0000A990"/>
    <w:multiLevelType w:val="multilevel"/>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num w:numId="1000">
    <w:abstractNumId w:val="990"/>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00"/>
  <w:embedSystemFonts/>
  <w:proofState w:grammar="clean" w:spelling="clean"/>
  <w:stylePaneFormatFilter w:val="0004"/>
  <w:doNotTrackMoves/>
  <w:defaultTabStop w:val="720"/>
  <w:drawingGridHorizontalSpacing w:val="360"/>
  <w:drawingGridVerticalSpacing w:val="360"/>
  <w:displayHorizontalDrawingGridEvery w:val="0"/>
  <w:displayVerticalDrawingGridEvery w:val="0"/>
  <w:characterSpacingControl w:val="doNotCompress"/>
  <w:savePreviewPicture/>
  <w:rsids>
  </w:rsids>
  <w:themeFontLang w:val="en-US"/>
  <w:clrSchemeMapping w:accent1="accent1" w:accent2="accent2" w:accent3="accent3" w:accent4="accent4" w:accent5="accent5" w:accent6="accent6" w:bg1="light1" w:bg2="light2" w:followedHyperlink="followedHyperlink" w:hyperlink="hyperlink" w:t1="dark1" w:t2="dark2"/>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qFormat/>
    <w:pPr>
      <w:spacing w:after="180" w:before="180"/>
    </w:pPr>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link w:val="TitleChar"/>
    <w:uiPriority w:val="10"/>
    <w:qFormat/>
    <w:rsid w:val="00A10FD9"/>
    <w:pPr>
      <w:spacing w:after="80" w:line="240" w:lineRule="auto"/>
      <w:contextualSpacing/>
      <w:jc w:val="center"/>
    </w:pPr>
    <w:rPr>
      <w:rFonts w:asciiTheme="majorHAnsi" w:cstheme="majorBidi" w:eastAsiaTheme="majorEastAsia" w:hAnsiTheme="majorHAnsi"/>
      <w:spacing w:val="-10"/>
      <w:kern w:val="28"/>
      <w:sz w:val="56"/>
      <w:szCs w:val="56"/>
    </w:rPr>
  </w:style>
  <w:style w:customStyle="1" w:styleId="TitleChar" w:type="character">
    <w:name w:val="Title Char"/>
    <w:basedOn w:val="DefaultParagraphFont"/>
    <w:link w:val="Title"/>
    <w:uiPriority w:val="10"/>
    <w:rsid w:val="00A10FD9"/>
    <w:rPr>
      <w:rFonts w:asciiTheme="majorHAnsi" w:cstheme="majorBidi" w:eastAsiaTheme="majorEastAsia" w:hAnsiTheme="majorHAnsi"/>
      <w:spacing w:val="-10"/>
      <w:kern w:val="28"/>
      <w:sz w:val="56"/>
      <w:szCs w:val="56"/>
    </w:rPr>
  </w:style>
  <w:style w:styleId="Subtitle" w:type="paragraph">
    <w:name w:val="Subtitle"/>
    <w:basedOn w:val="Title"/>
    <w:next w:val="BodyText"/>
    <w:link w:val="SubtitleChar"/>
    <w:uiPriority w:val="11"/>
    <w:qFormat/>
    <w:rsid w:val="00A10FD9"/>
    <w:pPr>
      <w:numPr>
        <w:ilvl w:val="1"/>
      </w:numPr>
    </w:pPr>
    <w:rPr>
      <w:rFonts w:cstheme="majorBidi" w:eastAsiaTheme="majorEastAsia"/>
      <w:spacing w:val="15"/>
      <w:sz w:val="28"/>
      <w:szCs w:val="28"/>
    </w:rPr>
  </w:style>
  <w:style w:customStyle="1" w:styleId="SubtitleChar" w:type="character">
    <w:name w:val="Subtitle Char"/>
    <w:basedOn w:val="DefaultParagraphFont"/>
    <w:link w:val="Subtitle"/>
    <w:uiPriority w:val="11"/>
    <w:rsid w:val="00A10FD9"/>
    <w:rPr>
      <w:rFonts w:cstheme="majorBidi" w:eastAsiaTheme="majorEastAsia"/>
      <w:color w:themeColor="text1" w:themeTint="A6" w:val="595959"/>
      <w:spacing w:val="15"/>
      <w:sz w:val="28"/>
      <w:szCs w:val="28"/>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Title" w:type="paragraph">
    <w:name w:val="Abstract Title"/>
    <w:basedOn w:val="Normal"/>
    <w:next w:val="Abstract"/>
    <w:qFormat/>
    <w:pPr>
      <w:keepNext/>
      <w:keepLines/>
      <w:spacing w:after="0" w:before="300"/>
      <w:jc w:val="center"/>
    </w:pPr>
    <w:rPr>
      <w:b/>
      <w:sz w:val="20"/>
      <w:szCs w:val="20"/>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link w:val="Heading1Char"/>
    <w:uiPriority w:val="9"/>
    <w:qFormat/>
    <w:rsid w:val="00A10FD9"/>
    <w:pPr>
      <w:keepNext/>
      <w:keepLines/>
      <w:spacing w:after="80" w:before="360"/>
      <w:outlineLvl w:val="0"/>
    </w:pPr>
    <w:rPr>
      <w:rFonts w:asciiTheme="majorHAnsi" w:cstheme="majorBidi" w:eastAsiaTheme="majorEastAsia" w:hAnsiTheme="majorHAnsi"/>
      <w:color w:themeColor="accent1" w:themeShade="BF" w:val="0F4761"/>
      <w:sz w:val="40"/>
      <w:szCs w:val="40"/>
    </w:rPr>
  </w:style>
  <w:style w:styleId="Heading2" w:type="paragraph">
    <w:name w:val="heading 2"/>
    <w:basedOn w:val="Normal"/>
    <w:next w:val="BodyText"/>
    <w:link w:val="Heading2Char"/>
    <w:uiPriority w:val="9"/>
    <w:semiHidden/>
    <w:unhideWhenUsed/>
    <w:qFormat/>
    <w:rsid w:val="00A10FD9"/>
    <w:pPr>
      <w:keepNext/>
      <w:keepLines/>
      <w:spacing w:after="80" w:before="160"/>
      <w:outlineLvl w:val="1"/>
    </w:pPr>
    <w:rPr>
      <w:rFonts w:asciiTheme="majorHAnsi" w:cstheme="majorBidi" w:eastAsiaTheme="majorEastAsia" w:hAnsiTheme="majorHAnsi"/>
      <w:color w:themeColor="accent1" w:themeShade="BF" w:val="0F4761"/>
      <w:sz w:val="32"/>
      <w:szCs w:val="32"/>
    </w:rPr>
  </w:style>
  <w:style w:styleId="Heading3" w:type="paragraph">
    <w:name w:val="heading 3"/>
    <w:basedOn w:val="Normal"/>
    <w:next w:val="BodyText"/>
    <w:link w:val="Heading3Char"/>
    <w:uiPriority w:val="9"/>
    <w:semiHidden/>
    <w:unhideWhenUsed/>
    <w:qFormat/>
    <w:rsid w:val="00A10FD9"/>
    <w:pPr>
      <w:keepNext/>
      <w:keepLines/>
      <w:spacing w:after="80" w:before="160"/>
      <w:outlineLvl w:val="2"/>
    </w:pPr>
    <w:rPr>
      <w:rFonts w:cstheme="majorBidi" w:eastAsiaTheme="majorEastAsia"/>
      <w:color w:themeColor="accent1" w:themeShade="BF" w:val="0F4761"/>
      <w:sz w:val="28"/>
      <w:szCs w:val="28"/>
    </w:rPr>
  </w:style>
  <w:style w:styleId="Heading4" w:type="paragraph">
    <w:name w:val="heading 4"/>
    <w:basedOn w:val="Normal"/>
    <w:next w:val="BodyText"/>
    <w:link w:val="Heading4Char"/>
    <w:uiPriority w:val="9"/>
    <w:semiHidden/>
    <w:unhideWhenUsed/>
    <w:qFormat/>
    <w:rsid w:val="00A10FD9"/>
    <w:pPr>
      <w:keepNext/>
      <w:keepLines/>
      <w:spacing w:after="40" w:before="80"/>
      <w:outlineLvl w:val="3"/>
    </w:pPr>
    <w:rPr>
      <w:rFonts w:cstheme="majorBidi" w:eastAsiaTheme="majorEastAsia"/>
      <w:i/>
      <w:iCs/>
      <w:color w:themeColor="accent1" w:themeShade="BF" w:val="0F4761"/>
    </w:rPr>
  </w:style>
  <w:style w:styleId="Heading5" w:type="paragraph">
    <w:name w:val="heading 5"/>
    <w:basedOn w:val="Normal"/>
    <w:next w:val="BodyText"/>
    <w:link w:val="Heading5Char"/>
    <w:uiPriority w:val="9"/>
    <w:semiHidden/>
    <w:unhideWhenUsed/>
    <w:qFormat/>
    <w:rsid w:val="00A10FD9"/>
    <w:pPr>
      <w:keepNext/>
      <w:keepLines/>
      <w:spacing w:after="40" w:before="80"/>
      <w:outlineLvl w:val="4"/>
    </w:pPr>
    <w:rPr>
      <w:rFonts w:cstheme="majorBidi" w:eastAsiaTheme="majorEastAsia"/>
      <w:color w:themeColor="accent1" w:themeShade="BF" w:val="0F4761"/>
    </w:rPr>
  </w:style>
  <w:style w:styleId="Heading6" w:type="paragraph">
    <w:name w:val="heading 6"/>
    <w:basedOn w:val="Normal"/>
    <w:next w:val="BodyText"/>
    <w:link w:val="Heading6Char"/>
    <w:uiPriority w:val="9"/>
    <w:semiHidden/>
    <w:unhideWhenUsed/>
    <w:qFormat/>
    <w:rsid w:val="00A10FD9"/>
    <w:pPr>
      <w:keepNext/>
      <w:keepLines/>
      <w:spacing w:after="0" w:before="40"/>
      <w:outlineLvl w:val="5"/>
    </w:pPr>
    <w:rPr>
      <w:rFonts w:cstheme="majorBidi" w:eastAsiaTheme="majorEastAsia"/>
      <w:i/>
      <w:iCs/>
      <w:color w:themeColor="text1" w:themeTint="A6" w:val="595959"/>
    </w:rPr>
  </w:style>
  <w:style w:styleId="Heading7" w:type="paragraph">
    <w:name w:val="heading 7"/>
    <w:basedOn w:val="Normal"/>
    <w:next w:val="BodyText"/>
    <w:link w:val="Heading7Char"/>
    <w:uiPriority w:val="9"/>
    <w:semiHidden/>
    <w:unhideWhenUsed/>
    <w:qFormat/>
    <w:rsid w:val="00A10FD9"/>
    <w:pPr>
      <w:keepNext/>
      <w:keepLines/>
      <w:spacing w:after="0" w:before="40"/>
      <w:outlineLvl w:val="6"/>
    </w:pPr>
    <w:rPr>
      <w:rFonts w:cstheme="majorBidi" w:eastAsiaTheme="majorEastAsia"/>
      <w:color w:themeColor="text1" w:themeTint="A6" w:val="595959"/>
    </w:rPr>
  </w:style>
  <w:style w:styleId="Heading8" w:type="paragraph">
    <w:name w:val="heading 8"/>
    <w:basedOn w:val="Normal"/>
    <w:next w:val="BodyText"/>
    <w:link w:val="Heading8Char"/>
    <w:uiPriority w:val="9"/>
    <w:semiHidden/>
    <w:unhideWhenUsed/>
    <w:qFormat/>
    <w:rsid w:val="00A10FD9"/>
    <w:pPr>
      <w:keepNext/>
      <w:keepLines/>
      <w:spacing w:after="0"/>
      <w:outlineLvl w:val="7"/>
    </w:pPr>
    <w:rPr>
      <w:rFonts w:cstheme="majorBidi" w:eastAsiaTheme="majorEastAsia"/>
      <w:i/>
      <w:iCs/>
      <w:color w:themeColor="text1" w:themeTint="D8" w:val="272727"/>
    </w:rPr>
  </w:style>
  <w:style w:styleId="Heading9" w:type="paragraph">
    <w:name w:val="heading 9"/>
    <w:basedOn w:val="Normal"/>
    <w:next w:val="BodyText"/>
    <w:link w:val="Heading9Char"/>
    <w:uiPriority w:val="9"/>
    <w:semiHidden/>
    <w:unhideWhenUsed/>
    <w:qFormat/>
    <w:rsid w:val="00A10FD9"/>
    <w:pPr>
      <w:keepNext/>
      <w:keepLines/>
      <w:spacing w:after="0"/>
      <w:outlineLvl w:val="8"/>
    </w:pPr>
    <w:rPr>
      <w:rFonts w:cstheme="majorBidi" w:eastAsiaTheme="majorEastAsia"/>
      <w:color w:themeColor="text1" w:themeTint="D8" w:val="272727"/>
    </w:rPr>
  </w:style>
  <w:style w:customStyle="1" w:styleId="Heading1Char" w:type="character">
    <w:name w:val="Heading 1 Char"/>
    <w:basedOn w:val="DefaultParagraphFont"/>
    <w:link w:val="Heading1"/>
    <w:uiPriority w:val="9"/>
    <w:rsid w:val="00A10FD9"/>
    <w:rPr>
      <w:rFonts w:asciiTheme="majorHAnsi" w:cstheme="majorBidi" w:eastAsiaTheme="majorEastAsia" w:hAnsiTheme="majorHAnsi"/>
      <w:color w:themeColor="accent1" w:themeShade="BF" w:val="0F4761"/>
      <w:sz w:val="40"/>
      <w:szCs w:val="40"/>
    </w:rPr>
  </w:style>
  <w:style w:customStyle="1" w:styleId="Heading2Char" w:type="character">
    <w:name w:val="Heading 2 Char"/>
    <w:basedOn w:val="DefaultParagraphFont"/>
    <w:link w:val="Heading2"/>
    <w:uiPriority w:val="9"/>
    <w:semiHidden/>
    <w:rsid w:val="00A10FD9"/>
    <w:rPr>
      <w:rFonts w:asciiTheme="majorHAnsi" w:cstheme="majorBidi" w:eastAsiaTheme="majorEastAsia" w:hAnsiTheme="majorHAnsi"/>
      <w:color w:themeColor="accent1" w:themeShade="BF" w:val="0F4761"/>
      <w:sz w:val="32"/>
      <w:szCs w:val="32"/>
    </w:rPr>
  </w:style>
  <w:style w:customStyle="1" w:styleId="Heading3Char" w:type="character">
    <w:name w:val="Heading 3 Char"/>
    <w:basedOn w:val="DefaultParagraphFont"/>
    <w:link w:val="Heading3"/>
    <w:uiPriority w:val="9"/>
    <w:semiHidden/>
    <w:rsid w:val="00A10FD9"/>
    <w:rPr>
      <w:rFonts w:cstheme="majorBidi" w:eastAsiaTheme="majorEastAsia"/>
      <w:color w:themeColor="accent1" w:themeShade="BF" w:val="0F4761"/>
      <w:sz w:val="28"/>
      <w:szCs w:val="28"/>
    </w:rPr>
  </w:style>
  <w:style w:customStyle="1" w:styleId="Heading4Char" w:type="character">
    <w:name w:val="Heading 4 Char"/>
    <w:basedOn w:val="DefaultParagraphFont"/>
    <w:link w:val="Heading4"/>
    <w:uiPriority w:val="9"/>
    <w:semiHidden/>
    <w:rsid w:val="00A10FD9"/>
    <w:rPr>
      <w:rFonts w:cstheme="majorBidi" w:eastAsiaTheme="majorEastAsia"/>
      <w:i/>
      <w:iCs/>
      <w:color w:themeColor="accent1" w:themeShade="BF" w:val="0F4761"/>
    </w:rPr>
  </w:style>
  <w:style w:customStyle="1" w:styleId="Heading5Char" w:type="character">
    <w:name w:val="Heading 5 Char"/>
    <w:basedOn w:val="DefaultParagraphFont"/>
    <w:link w:val="Heading5"/>
    <w:uiPriority w:val="9"/>
    <w:semiHidden/>
    <w:rsid w:val="00A10FD9"/>
    <w:rPr>
      <w:rFonts w:cstheme="majorBidi" w:eastAsiaTheme="majorEastAsia"/>
      <w:color w:themeColor="accent1" w:themeShade="BF" w:val="0F4761"/>
    </w:rPr>
  </w:style>
  <w:style w:customStyle="1" w:styleId="Heading6Char" w:type="character">
    <w:name w:val="Heading 6 Char"/>
    <w:basedOn w:val="DefaultParagraphFont"/>
    <w:link w:val="Heading6"/>
    <w:uiPriority w:val="9"/>
    <w:semiHidden/>
    <w:rsid w:val="00A10FD9"/>
    <w:rPr>
      <w:rFonts w:cstheme="majorBidi" w:eastAsiaTheme="majorEastAsia"/>
      <w:i/>
      <w:iCs/>
      <w:color w:themeColor="text1" w:themeTint="A6" w:val="595959"/>
    </w:rPr>
  </w:style>
  <w:style w:customStyle="1" w:styleId="Heading7Char" w:type="character">
    <w:name w:val="Heading 7 Char"/>
    <w:basedOn w:val="DefaultParagraphFont"/>
    <w:link w:val="Heading7"/>
    <w:uiPriority w:val="9"/>
    <w:semiHidden/>
    <w:rsid w:val="00A10FD9"/>
    <w:rPr>
      <w:rFonts w:cstheme="majorBidi" w:eastAsiaTheme="majorEastAsia"/>
      <w:color w:themeColor="text1" w:themeTint="A6" w:val="595959"/>
    </w:rPr>
  </w:style>
  <w:style w:customStyle="1" w:styleId="Heading8Char" w:type="character">
    <w:name w:val="Heading 8 Char"/>
    <w:basedOn w:val="DefaultParagraphFont"/>
    <w:link w:val="Heading8"/>
    <w:uiPriority w:val="9"/>
    <w:semiHidden/>
    <w:rsid w:val="00A10FD9"/>
    <w:rPr>
      <w:rFonts w:cstheme="majorBidi" w:eastAsiaTheme="majorEastAsia"/>
      <w:i/>
      <w:iCs/>
      <w:color w:themeColor="text1" w:themeTint="D8" w:val="272727"/>
    </w:rPr>
  </w:style>
  <w:style w:customStyle="1" w:styleId="Heading9Char" w:type="character">
    <w:name w:val="Heading 9 Char"/>
    <w:basedOn w:val="DefaultParagraphFont"/>
    <w:link w:val="Heading9"/>
    <w:uiPriority w:val="9"/>
    <w:semiHidden/>
    <w:rsid w:val="00A10FD9"/>
    <w:rPr>
      <w:rFonts w:cstheme="majorBidi" w:eastAsiaTheme="majorEastAsia"/>
      <w:color w:themeColor="text1" w:themeTint="D8" w:val="272727"/>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styleId="FootnoteBlockText" w:type="paragraph">
    <w:name w:val="Footnote Block Text"/>
    <w:basedOn w:val="FootnoteText"/>
    <w:next w:val="FootnoteText"/>
    <w:uiPriority w:val="9"/>
    <w:unhideWhenUsed/>
    <w:qFormat/>
    <w:pPr>
      <w:spacing w:after="100" w:before="100"/>
      <w:ind w:firstLine="0" w:left="480" w:right="480"/>
    </w:pPr>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tcBorders>
          <w:bottom w:val="single"/>
        </w:tcBorders>
        <w:vAlign w:val="bottom"/>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b/>
      <w:color w:val="007020"/>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b/>
      <w:color w:val="008000"/>
    </w:rPr>
  </w:style>
  <w:style w:type="character" w:customStyle="1" w:styleId="CommentTok">
    <w:name w:val="CommentTok"/>
    <w:basedOn w:val="VerbatimChar"/>
    <w:rPr>
      <w:i/>
      <w:color w:val="60a0b0"/>
    </w:rPr>
  </w:style>
  <w:style w:type="character" w:customStyle="1" w:styleId="DocumentationTok">
    <w:name w:val="DocumentationTok"/>
    <w:basedOn w:val="VerbatimChar"/>
    <w:rPr>
      <w:i/>
      <w:color w:val="ba2121"/>
    </w:rPr>
  </w:style>
  <w:style w:type="character" w:customStyle="1" w:styleId="AnnotationTok">
    <w:name w:val="AnnotationTok"/>
    <w:basedOn w:val="VerbatimChar"/>
    <w:rPr>
      <w:b/>
      <w:i/>
      <w:color w:val="60a0b0"/>
    </w:rPr>
  </w:style>
  <w:style w:type="character" w:customStyle="1" w:styleId="CommentVarTok">
    <w:name w:val="CommentVarTok"/>
    <w:basedOn w:val="VerbatimChar"/>
    <w:rPr>
      <w:b/>
      <w:i/>
      <w:color w:val="60a0b0"/>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b/>
      <w:color w:val="007020"/>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b/>
      <w:i/>
      <w:color w:val="60a0b0"/>
    </w:rPr>
  </w:style>
  <w:style w:type="character" w:customStyle="1" w:styleId="WarningTok">
    <w:name w:val="WarningTok"/>
    <w:basedOn w:val="VerbatimChar"/>
    <w:rPr>
      <w:b/>
      <w:i/>
      <w:color w:val="60a0b0"/>
    </w:rPr>
  </w:style>
  <w:style w:type="character" w:customStyle="1" w:styleId="AlertTok">
    <w:name w:val="AlertTok"/>
    <w:basedOn w:val="VerbatimChar"/>
    <w:rPr>
      <w:b/>
      <w:color w:val="ff0000"/>
    </w:rPr>
  </w:style>
  <w:style w:type="character" w:customStyle="1" w:styleId="ErrorTok">
    <w:name w:val="ErrorTok"/>
    <w:basedOn w:val="VerbatimChar"/>
    <w:rPr>
      <w:b/>
      <w:color w:val="ff0000"/>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Type="http://schemas.openxmlformats.org/officeDocument/2006/relationships/hyperlink" Id="rId24" Target="https://ctext.org/dao-de-jing" TargetMode="External" /><Relationship Type="http://schemas.openxmlformats.org/officeDocument/2006/relationships/hyperlink" Id="rId30" Target="https://legacy.quran.com/1/6" TargetMode="External" /><Relationship Type="http://schemas.openxmlformats.org/officeDocument/2006/relationships/hyperlink" Id="rId34" Target="https://legacy.quran.com/25/63" TargetMode="External" /><Relationship Type="http://schemas.openxmlformats.org/officeDocument/2006/relationships/hyperlink" Id="rId21" Target="https://philpapers.org/rec/IZUSAT" TargetMode="External" /><Relationship Type="http://schemas.openxmlformats.org/officeDocument/2006/relationships/hyperlink" Id="rId38" Target="https://plato.stanford.edu/entries/daoism-religion/" TargetMode="External" /><Relationship Type="http://schemas.openxmlformats.org/officeDocument/2006/relationships/hyperlink" Id="rId41" Target="https://rfpeurope.org/rfp-europe-highlights-interfaith-dialogue-at-boao-forum-for-asia-2026/" TargetMode="External" /><Relationship Type="http://schemas.openxmlformats.org/officeDocument/2006/relationships/hyperlink" Id="rId37" Target="https://sunnah.com/bukhari%3A50" TargetMode="External" /><Relationship Type="http://schemas.openxmlformats.org/officeDocument/2006/relationships/hyperlink" Id="rId35" Target="https://surahquran.com/tafsir-english-aya-63-sora-25.html" TargetMode="External" /><Relationship Type="http://schemas.openxmlformats.org/officeDocument/2006/relationships/hyperlink" Id="rId31" Target="https://terebess.hu/english/chuangtzu.html" TargetMode="External" /><Relationship Type="http://schemas.openxmlformats.org/officeDocument/2006/relationships/hyperlink" Id="rId32" Target="https://terebess.hu/english/tao/lau.html" TargetMode="External" /><Relationship Type="http://schemas.openxmlformats.org/officeDocument/2006/relationships/hyperlink" Id="rId27" Target="https://www.cambridge.org/core/journals/international-journal-of-asian-studies/article/crossing-boundaries-reading-mirsad-alibad-in-early-modern-china-redrawing-and-straddling-borders/4E6DEFAC30D5CC39472149AA529D8FEF" TargetMode="External" /><Relationship Type="http://schemas.openxmlformats.org/officeDocument/2006/relationships/hyperlink" Id="rId23" Target="https://www.cambridge.org/core/journals/journal-of-the-royal-asiatic-society/article/direct-sea-trade-between-early-islamic-iraq-and-tang-china-from-the-exchange-of-goods-to-the-transmission-of-ideas/7B68C789C7535E5BEF4C9E63CDFA9408" TargetMode="External" /><Relationship Type="http://schemas.openxmlformats.org/officeDocument/2006/relationships/hyperlink" Id="rId40" Target="https://www.cecc.gov/sites/evo-subsites/cecc.house.gov/files/2024-12/2024-CH3-Freedom-of-Religion.pdf" TargetMode="External" /><Relationship Type="http://schemas.openxmlformats.org/officeDocument/2006/relationships/hyperlink" Id="rId25" Target="https://www.mdpi.com/2077-1444/13/12/1177" TargetMode="External" /><Relationship Type="http://schemas.openxmlformats.org/officeDocument/2006/relationships/hyperlink" Id="rId28" Target="https://www.themathesontrust.org/papers/fareasternreligions/Brown-A_Mountain_of_Saints.pdf" TargetMode="External" /></Relationships>
</file>

<file path=word/_rels/footnotes.xml.rels><?xml version="1.0" encoding="UTF-8"?><Relationships xmlns="http://schemas.openxmlformats.org/package/2006/relationships"><Relationship Type="http://schemas.openxmlformats.org/officeDocument/2006/relationships/hyperlink" Id="rId24" Target="https://ctext.org/dao-de-jing" TargetMode="External" /><Relationship Type="http://schemas.openxmlformats.org/officeDocument/2006/relationships/hyperlink" Id="rId30" Target="https://legacy.quran.com/1/6" TargetMode="External" /><Relationship Type="http://schemas.openxmlformats.org/officeDocument/2006/relationships/hyperlink" Id="rId34" Target="https://legacy.quran.com/25/63" TargetMode="External" /><Relationship Type="http://schemas.openxmlformats.org/officeDocument/2006/relationships/hyperlink" Id="rId21" Target="https://philpapers.org/rec/IZUSAT" TargetMode="External" /><Relationship Type="http://schemas.openxmlformats.org/officeDocument/2006/relationships/hyperlink" Id="rId38" Target="https://plato.stanford.edu/entries/daoism-religion/" TargetMode="External" /><Relationship Type="http://schemas.openxmlformats.org/officeDocument/2006/relationships/hyperlink" Id="rId41" Target="https://rfpeurope.org/rfp-europe-highlights-interfaith-dialogue-at-boao-forum-for-asia-2026/" TargetMode="External" /><Relationship Type="http://schemas.openxmlformats.org/officeDocument/2006/relationships/hyperlink" Id="rId37" Target="https://sunnah.com/bukhari%3A50" TargetMode="External" /><Relationship Type="http://schemas.openxmlformats.org/officeDocument/2006/relationships/hyperlink" Id="rId35" Target="https://surahquran.com/tafsir-english-aya-63-sora-25.html" TargetMode="External" /><Relationship Type="http://schemas.openxmlformats.org/officeDocument/2006/relationships/hyperlink" Id="rId31" Target="https://terebess.hu/english/chuangtzu.html" TargetMode="External" /><Relationship Type="http://schemas.openxmlformats.org/officeDocument/2006/relationships/hyperlink" Id="rId32" Target="https://terebess.hu/english/tao/lau.html" TargetMode="External" /><Relationship Type="http://schemas.openxmlformats.org/officeDocument/2006/relationships/hyperlink" Id="rId27" Target="https://www.cambridge.org/core/journals/international-journal-of-asian-studies/article/crossing-boundaries-reading-mirsad-alibad-in-early-modern-china-redrawing-and-straddling-borders/4E6DEFAC30D5CC39472149AA529D8FEF" TargetMode="External" /><Relationship Type="http://schemas.openxmlformats.org/officeDocument/2006/relationships/hyperlink" Id="rId23" Target="https://www.cambridge.org/core/journals/journal-of-the-royal-asiatic-society/article/direct-sea-trade-between-early-islamic-iraq-and-tang-china-from-the-exchange-of-goods-to-the-transmission-of-ideas/7B68C789C7535E5BEF4C9E63CDFA9408" TargetMode="External" /><Relationship Type="http://schemas.openxmlformats.org/officeDocument/2006/relationships/hyperlink" Id="rId40" Target="https://www.cecc.gov/sites/evo-subsites/cecc.house.gov/files/2024-12/2024-CH3-Freedom-of-Religion.pdf" TargetMode="External" /><Relationship Type="http://schemas.openxmlformats.org/officeDocument/2006/relationships/hyperlink" Id="rId25" Target="https://www.mdpi.com/2077-1444/13/12/1177" TargetMode="External" /><Relationship Type="http://schemas.openxmlformats.org/officeDocument/2006/relationships/hyperlink" Id="rId28" Target="https://www.themathesontrust.org/papers/fareasternreligions/Brown-A_Mountain_of_Saints.pdf"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dc:language>en</dc:language>
  <cp:keywords/>
  <dcterms:created xsi:type="dcterms:W3CDTF">2026-05-13T21:11:42Z</dcterms:created>
  <dcterms:modified xsi:type="dcterms:W3CDTF">2026-05-13T21:11:42Z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