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7" w:name="content"/>
    <w:bookmarkStart w:id="56" w:name="Xe6e68a18e7f48a481be111d19571787d293f724"/>
    <w:p>
      <w:pPr>
        <w:pStyle w:val="Heading1"/>
      </w:pPr>
      <w:r>
        <w:t xml:space="preserve">Commentary on Qur’an 37:99–111 – The Abrahamic Sacrifice</w:t>
      </w:r>
    </w:p>
    <w:p>
      <w:pPr>
        <w:pStyle w:val="FirstParagraph"/>
      </w:pPr>
      <w:r>
        <w:rPr>
          <w:b/>
          <w:bCs/>
        </w:rPr>
        <w:t xml:space="preserve">Abstract:</w:t>
      </w:r>
      <w:r>
        <w:t xml:space="preserve"> </w:t>
      </w:r>
      <w:r>
        <w:t xml:space="preserve">Qur’ān 37:99–111 narrates Prophet Abraham’s (Ibrāhīm’s) willingness to sacrifice his son in submission to God. This passage, central to Islamic faith, highlights themes of divine testing, resolute obedience, and God’s mercy. We explore the</w:t>
      </w:r>
      <w:r>
        <w:t xml:space="preserve"> </w:t>
      </w:r>
      <w:r>
        <w:rPr>
          <w:b/>
          <w:bCs/>
        </w:rPr>
        <w:t xml:space="preserve">historical context</w:t>
      </w:r>
      <w:r>
        <w:t xml:space="preserve"> </w:t>
      </w:r>
      <w:r>
        <w:t xml:space="preserve">of these verses, their</w:t>
      </w:r>
      <w:r>
        <w:t xml:space="preserve"> </w:t>
      </w:r>
      <w:r>
        <w:rPr>
          <w:b/>
          <w:bCs/>
        </w:rPr>
        <w:t xml:space="preserve">philosophical and theological</w:t>
      </w:r>
      <w:r>
        <w:t xml:space="preserve"> </w:t>
      </w:r>
      <w:r>
        <w:t xml:space="preserve">meanings, and how they connect to the Biblical narrative. The commentary also discusses</w:t>
      </w:r>
      <w:r>
        <w:t xml:space="preserve"> </w:t>
      </w:r>
      <w:r>
        <w:rPr>
          <w:b/>
          <w:bCs/>
        </w:rPr>
        <w:t xml:space="preserve">Eid al-Adha</w:t>
      </w:r>
      <w:r>
        <w:t xml:space="preserve">, the festival commemorating Abraham’s sacrifice, and emphasizes that Islam</w:t>
      </w:r>
      <w:r>
        <w:t xml:space="preserve"> </w:t>
      </w:r>
      <w:r>
        <w:rPr>
          <w:i/>
          <w:iCs/>
        </w:rPr>
        <w:t xml:space="preserve">rejects human sacrifice</w:t>
      </w:r>
      <w:r>
        <w:t xml:space="preserve">, underscoring instead the</w:t>
      </w:r>
      <w:r>
        <w:t xml:space="preserve"> </w:t>
      </w:r>
      <w:r>
        <w:rPr>
          <w:b/>
          <w:bCs/>
        </w:rPr>
        <w:t xml:space="preserve">sanctity of life</w:t>
      </w:r>
      <w:r>
        <w:t xml:space="preserve"> </w:t>
      </w:r>
      <w:r>
        <w:t xml:space="preserve">(cf. Qur’an 5:32</w:t>
      </w:r>
      <w:hyperlink r:id="rId21">
        <w:r>
          <w:rPr>
            <w:rStyle w:val="Hyperlink"/>
          </w:rPr>
          <w:t xml:space="preserve">[1]</w:t>
        </w:r>
      </w:hyperlink>
      <w:r>
        <w:t xml:space="preserve">). Throughout, references from the Bible are noted (with the Qur’ān’s version accepted as authoritative here) to enrich understanding of the shared Abrahamic heritage.</w:t>
      </w:r>
    </w:p>
    <w:bookmarkStart w:id="26" w:name="Xd775a8233d328f74780d321ef10d2c3eeaedf9f"/>
    <w:p>
      <w:pPr>
        <w:pStyle w:val="Heading2"/>
      </w:pPr>
      <w:r>
        <w:t xml:space="preserve">Abraham’s Journey and the Promise of a Son (37:99–101)</w:t>
      </w:r>
    </w:p>
    <w:p>
      <w:pPr>
        <w:pStyle w:val="FirstParagraph"/>
      </w:pPr>
      <w:r>
        <w:t xml:space="preserve">The passage opens with Abraham declaring,</w:t>
      </w:r>
      <w:r>
        <w:t xml:space="preserve"> </w:t>
      </w:r>
      <w:r>
        <w:rPr>
          <w:i/>
          <w:iCs/>
        </w:rPr>
        <w:t xml:space="preserve">“Indeed, I will go to [where I am ordered by] my Lord; He will guide me.”</w:t>
      </w:r>
      <w:hyperlink r:id="rId22">
        <w:r>
          <w:rPr>
            <w:rStyle w:val="Hyperlink"/>
          </w:rPr>
          <w:t xml:space="preserve">[2]</w:t>
        </w:r>
      </w:hyperlink>
      <w:r>
        <w:t xml:space="preserve"> </w:t>
      </w:r>
      <w:r>
        <w:t xml:space="preserve">At this point he leaves his homeland in search of faith and guidance. He prays, “My Lord, grant me [a child] from among the righteous”</w:t>
      </w:r>
      <w:hyperlink r:id="rId23">
        <w:r>
          <w:rPr>
            <w:rStyle w:val="Hyperlink"/>
          </w:rPr>
          <w:t xml:space="preserve">[3]</w:t>
        </w:r>
      </w:hyperlink>
      <w:r>
        <w:t xml:space="preserve">. God responds,</w:t>
      </w:r>
      <w:r>
        <w:t xml:space="preserve"> </w:t>
      </w:r>
      <w:r>
        <w:rPr>
          <w:b/>
          <w:bCs/>
        </w:rPr>
        <w:t xml:space="preserve">“So We gave him good tidings of a forbearing boy.”</w:t>
      </w:r>
      <w:hyperlink r:id="rId24">
        <w:r>
          <w:rPr>
            <w:rStyle w:val="Hyperlink"/>
          </w:rPr>
          <w:t xml:space="preserve">[4]</w:t>
        </w:r>
      </w:hyperlink>
      <w:r>
        <w:t xml:space="preserve"> </w:t>
      </w:r>
      <w:r>
        <w:t xml:space="preserve">Islamic tradition identifies this child with Ishmael (Ismā‘īl). This is distinguished from the Biblical account (Genesis 21:1–3), where Isaac is promised to Abraham and Sarah. However, the Qur’an’s narrative emphasizes Ishmael as the son of Hagar born in Abraham’s old age, fulfilling God’s promise</w:t>
      </w:r>
      <w:hyperlink r:id="rId25">
        <w:r>
          <w:rPr>
            <w:rStyle w:val="Hyperlink"/>
          </w:rPr>
          <w:t xml:space="preserve">[5]</w:t>
        </w:r>
      </w:hyperlink>
      <w:r>
        <w:t xml:space="preserve">.</w:t>
      </w:r>
    </w:p>
    <w:p>
      <w:pPr>
        <w:pStyle w:val="BodyText"/>
      </w:pPr>
      <w:r>
        <w:t xml:space="preserve">In both scriptures, this long-awaited son is described as “forbearing” or patient. The Qur’an later lists Ishmael among those of</w:t>
      </w:r>
      <w:r>
        <w:t xml:space="preserve"> </w:t>
      </w:r>
      <w:r>
        <w:rPr>
          <w:b/>
          <w:bCs/>
        </w:rPr>
        <w:t xml:space="preserve">“constancy and patience”</w:t>
      </w:r>
      <w:r>
        <w:t xml:space="preserve"> </w:t>
      </w:r>
      <w:r>
        <w:t xml:space="preserve">(Qur’an 21:85), mirroring Isaac’s portrayal. By “glad tidings of a boy,” the Qur’an underscores God’s blessing in granting Abraham a righteous heir</w:t>
      </w:r>
      <w:hyperlink r:id="rId24">
        <w:r>
          <w:rPr>
            <w:rStyle w:val="Hyperlink"/>
          </w:rPr>
          <w:t xml:space="preserve">[4]</w:t>
        </w:r>
      </w:hyperlink>
      <w:r>
        <w:t xml:space="preserve">. This establishes Ishmael’s special status – he is to be Abraham’s devoted companion and co-heir of divine mission.</w:t>
      </w:r>
    </w:p>
    <w:bookmarkEnd w:id="26"/>
    <w:bookmarkStart w:id="31" w:name="the-divine-test-37102106"/>
    <w:p>
      <w:pPr>
        <w:pStyle w:val="Heading2"/>
      </w:pPr>
      <w:r>
        <w:t xml:space="preserve">The Divine Test (37:102–106)</w:t>
      </w:r>
    </w:p>
    <w:p>
      <w:pPr>
        <w:pStyle w:val="FirstParagraph"/>
      </w:pPr>
      <w:r>
        <w:t xml:space="preserve">When Ishmael was grown, Abraham relates a</w:t>
      </w:r>
      <w:r>
        <w:t xml:space="preserve"> </w:t>
      </w:r>
      <w:r>
        <w:rPr>
          <w:b/>
          <w:bCs/>
        </w:rPr>
        <w:t xml:space="preserve">vision</w:t>
      </w:r>
      <w:r>
        <w:t xml:space="preserve"> </w:t>
      </w:r>
      <w:r>
        <w:t xml:space="preserve">to him:</w:t>
      </w:r>
      <w:r>
        <w:t xml:space="preserve"> </w:t>
      </w:r>
      <w:r>
        <w:rPr>
          <w:i/>
          <w:iCs/>
        </w:rPr>
        <w:t xml:space="preserve">“I have seen in a dream that I [must] sacrifice you; so see what you think.”</w:t>
      </w:r>
      <w:hyperlink r:id="rId27">
        <w:r>
          <w:rPr>
            <w:rStyle w:val="Hyperlink"/>
          </w:rPr>
          <w:t xml:space="preserve">[6]</w:t>
        </w:r>
      </w:hyperlink>
      <w:r>
        <w:t xml:space="preserve"> </w:t>
      </w:r>
      <w:r>
        <w:t xml:space="preserve">Ishmael’s reply,</w:t>
      </w:r>
      <w:r>
        <w:t xml:space="preserve"> </w:t>
      </w:r>
      <w:r>
        <w:rPr>
          <w:i/>
          <w:iCs/>
        </w:rPr>
        <w:t xml:space="preserve">“O my father, do as you are commanded; you will find me, if Allah wills, of the steadfast.”</w:t>
      </w:r>
      <w:hyperlink r:id="rId27">
        <w:r>
          <w:rPr>
            <w:rStyle w:val="Hyperlink"/>
          </w:rPr>
          <w:t xml:space="preserve">[6]</w:t>
        </w:r>
      </w:hyperlink>
      <w:r>
        <w:t xml:space="preserve">, reflects his full submission to God. According to Islamic belief, a prophet’s dream is a form of revelation, so Abraham understood this as God’s command (via angelic vision)</w:t>
      </w:r>
      <w:hyperlink r:id="rId28">
        <w:r>
          <w:rPr>
            <w:rStyle w:val="Hyperlink"/>
          </w:rPr>
          <w:t xml:space="preserve">[7]</w:t>
        </w:r>
      </w:hyperlink>
      <w:r>
        <w:t xml:space="preserve">. Both father and son submit:</w:t>
      </w:r>
      <w:r>
        <w:t xml:space="preserve"> </w:t>
      </w:r>
      <w:r>
        <w:rPr>
          <w:i/>
          <w:iCs/>
        </w:rPr>
        <w:t xml:space="preserve">“when they had both submitted, and he put him down upon his forehead”</w:t>
      </w:r>
      <w:hyperlink r:id="rId22">
        <w:r>
          <w:rPr>
            <w:rStyle w:val="Hyperlink"/>
          </w:rPr>
          <w:t xml:space="preserve">[8]</w:t>
        </w:r>
      </w:hyperlink>
      <w:r>
        <w:t xml:space="preserve">, preparing to carry out the sacrifice.</w:t>
      </w:r>
    </w:p>
    <w:p>
      <w:pPr>
        <w:pStyle w:val="BodyText"/>
      </w:pPr>
      <w:r>
        <w:t xml:space="preserve">Importantly, the Qur’an calls this event</w:t>
      </w:r>
      <w:r>
        <w:t xml:space="preserve"> </w:t>
      </w:r>
      <w:r>
        <w:rPr>
          <w:i/>
          <w:iCs/>
        </w:rPr>
        <w:t xml:space="preserve">“the clear trial”</w:t>
      </w:r>
      <w:hyperlink r:id="rId22">
        <w:r>
          <w:rPr>
            <w:rStyle w:val="Hyperlink"/>
          </w:rPr>
          <w:t xml:space="preserve">[9]</w:t>
        </w:r>
      </w:hyperlink>
      <w:r>
        <w:t xml:space="preserve">. It is a test of faith, not an endorsement of human sacrifice. Islamic commentators note God did not truly intend the child’s death; instead, Abraham’s obedience to prepare for the sacrifice was the crux of the trial</w:t>
      </w:r>
      <w:hyperlink r:id="rId29">
        <w:r>
          <w:rPr>
            <w:rStyle w:val="Hyperlink"/>
          </w:rPr>
          <w:t xml:space="preserve">[10]</w:t>
        </w:r>
      </w:hyperlink>
      <w:r>
        <w:t xml:space="preserve">. The story thus powerfully illustrates</w:t>
      </w:r>
      <w:r>
        <w:t xml:space="preserve"> </w:t>
      </w:r>
      <w:r>
        <w:rPr>
          <w:b/>
          <w:bCs/>
        </w:rPr>
        <w:t xml:space="preserve">submission (islām)</w:t>
      </w:r>
      <w:r>
        <w:t xml:space="preserve">: Abraham’s faith in God is so complete that he and his son willingly endure the ordeal, trusting God’s mercy. In the Bible (Genesis 22), Abraham too is stopped by an angel as he raises the knife, confirming that God “will provide the lamb” (22:8). The Qur’an similarly intervenes: an angel cries out,</w:t>
      </w:r>
      <w:r>
        <w:t xml:space="preserve"> </w:t>
      </w:r>
      <w:r>
        <w:rPr>
          <w:b/>
          <w:bCs/>
        </w:rPr>
        <w:t xml:space="preserve">“O Abraham! … You have fulfilled the vision.”</w:t>
      </w:r>
      <w:hyperlink r:id="rId22">
        <w:r>
          <w:rPr>
            <w:rStyle w:val="Hyperlink"/>
          </w:rPr>
          <w:t xml:space="preserve">[11]</w:t>
        </w:r>
      </w:hyperlink>
      <w:r>
        <w:t xml:space="preserve"> </w:t>
      </w:r>
      <w:r>
        <w:t xml:space="preserve">Abraham’s test is complete, and God honors them</w:t>
      </w:r>
      <w:r>
        <w:t xml:space="preserve"> </w:t>
      </w:r>
      <w:r>
        <w:rPr>
          <w:i/>
          <w:iCs/>
        </w:rPr>
        <w:t xml:space="preserve">“thus indeed do We reward the doers of good.”</w:t>
      </w:r>
      <w:hyperlink r:id="rId30">
        <w:r>
          <w:rPr>
            <w:rStyle w:val="Hyperlink"/>
          </w:rPr>
          <w:t xml:space="preserve">[12]</w:t>
        </w:r>
      </w:hyperlink>
      <w:r>
        <w:t xml:space="preserve">.</w:t>
      </w:r>
    </w:p>
    <w:bookmarkEnd w:id="31"/>
    <w:bookmarkStart w:id="35" w:name="Xed91d6a936cece8980b16c485735077b5d20da4"/>
    <w:p>
      <w:pPr>
        <w:pStyle w:val="Heading2"/>
      </w:pPr>
      <w:r>
        <w:t xml:space="preserve">God’s Mercy and the Sacrifice of the Ram (37:106–108)</w:t>
      </w:r>
    </w:p>
    <w:p>
      <w:pPr>
        <w:pStyle w:val="FirstParagraph"/>
      </w:pPr>
      <w:r>
        <w:t xml:space="preserve">Immediately after the vision is fulfilled, the Qur’an states</w:t>
      </w:r>
      <w:r>
        <w:t xml:space="preserve"> </w:t>
      </w:r>
      <w:r>
        <w:rPr>
          <w:i/>
          <w:iCs/>
        </w:rPr>
        <w:t xml:space="preserve">“Indeed, this was the clear trial”</w:t>
      </w:r>
      <w:hyperlink r:id="rId22">
        <w:r>
          <w:rPr>
            <w:rStyle w:val="Hyperlink"/>
          </w:rPr>
          <w:t xml:space="preserve">[9]</w:t>
        </w:r>
      </w:hyperlink>
      <w:r>
        <w:t xml:space="preserve">. God then</w:t>
      </w:r>
      <w:r>
        <w:t xml:space="preserve"> </w:t>
      </w:r>
      <w:r>
        <w:rPr>
          <w:b/>
          <w:bCs/>
        </w:rPr>
        <w:t xml:space="preserve">“ransomed him with a great sacrifice”</w:t>
      </w:r>
      <w:hyperlink r:id="rId32">
        <w:r>
          <w:rPr>
            <w:rStyle w:val="Hyperlink"/>
          </w:rPr>
          <w:t xml:space="preserve">[13]</w:t>
        </w:r>
      </w:hyperlink>
      <w:r>
        <w:t xml:space="preserve"> </w:t>
      </w:r>
      <w:r>
        <w:t xml:space="preserve">– commonly understood to mean a ram or sheep is provided in place of Ishmael (as in Genesis 22:13–14). The sacrifice of an animal in Ishmael’s stead (qurbān) becomes the model for later ritual practice. The text concludes that Abraham’s name endures honor,</w:t>
      </w:r>
      <w:r>
        <w:t xml:space="preserve"> </w:t>
      </w:r>
      <w:r>
        <w:rPr>
          <w:i/>
          <w:iCs/>
        </w:rPr>
        <w:t xml:space="preserve">“Peace upon Abraham. Indeed, he was of Our believing servants.”</w:t>
      </w:r>
      <w:hyperlink r:id="rId33">
        <w:r>
          <w:rPr>
            <w:rStyle w:val="Hyperlink"/>
          </w:rPr>
          <w:t xml:space="preserve">[14]</w:t>
        </w:r>
      </w:hyperlink>
      <w:hyperlink r:id="rId34">
        <w:r>
          <w:rPr>
            <w:rStyle w:val="Hyperlink"/>
          </w:rPr>
          <w:t xml:space="preserve">[15]</w:t>
        </w:r>
      </w:hyperlink>
      <w:r>
        <w:t xml:space="preserve">. The emphasis is that Abraham’s legacy is one of faith and obedience, spanning generations.</w:t>
      </w:r>
    </w:p>
    <w:p>
      <w:pPr>
        <w:pStyle w:val="BodyText"/>
      </w:pPr>
      <w:r>
        <w:t xml:space="preserve">Notably, verse 106 frames the narrative:</w:t>
      </w:r>
      <w:r>
        <w:t xml:space="preserve"> </w:t>
      </w:r>
      <w:r>
        <w:rPr>
          <w:i/>
          <w:iCs/>
        </w:rPr>
        <w:t xml:space="preserve">“For this was a clear trial”</w:t>
      </w:r>
      <w:hyperlink r:id="rId22">
        <w:r>
          <w:rPr>
            <w:rStyle w:val="Hyperlink"/>
          </w:rPr>
          <w:t xml:space="preserve">[9]</w:t>
        </w:r>
      </w:hyperlink>
      <w:r>
        <w:t xml:space="preserve">. The lesson is not the taking of a human life, but demonstrating total trust in God. As one tafsīr explains, God’s intention was never to have Ishmael actually killed; rather Abraham was told to prepare for it, illustrating perfect submission without any doubt</w:t>
      </w:r>
      <w:hyperlink r:id="rId29">
        <w:r>
          <w:rPr>
            <w:rStyle w:val="Hyperlink"/>
          </w:rPr>
          <w:t xml:space="preserve">[10]</w:t>
        </w:r>
      </w:hyperlink>
      <w:r>
        <w:t xml:space="preserve">. This difference underscores Islam’s rejection of human sacrifice – the Divine intervention makes explicit that life is ultimately sacred and protected by God’s mercy.</w:t>
      </w:r>
    </w:p>
    <w:bookmarkEnd w:id="35"/>
    <w:bookmarkStart w:id="41" w:name="X4feb96ed5bda1a5cc3a5b9c22a22d9314456cac"/>
    <w:p>
      <w:pPr>
        <w:pStyle w:val="Heading2"/>
      </w:pPr>
      <w:r>
        <w:t xml:space="preserve">Biblical Parallels: Abraham’s Sacrifice of His Son</w:t>
      </w:r>
    </w:p>
    <w:p>
      <w:pPr>
        <w:pStyle w:val="FirstParagraph"/>
      </w:pPr>
      <w:r>
        <w:t xml:space="preserve">The Qur’an’s account parallels the</w:t>
      </w:r>
      <w:r>
        <w:t xml:space="preserve"> </w:t>
      </w:r>
      <w:r>
        <w:rPr>
          <w:b/>
          <w:bCs/>
        </w:rPr>
        <w:t xml:space="preserve">Akedah</w:t>
      </w:r>
      <w:r>
        <w:t xml:space="preserve"> </w:t>
      </w:r>
      <w:r>
        <w:t xml:space="preserve">(“binding of Isaac”) in Genesis 22, though with Ishmael in place of Isaac</w:t>
      </w:r>
      <w:hyperlink r:id="rId25">
        <w:r>
          <w:rPr>
            <w:rStyle w:val="Hyperlink"/>
          </w:rPr>
          <w:t xml:space="preserve">[5]</w:t>
        </w:r>
      </w:hyperlink>
      <w:r>
        <w:t xml:space="preserve">. In Genesis, God commands Abraham to offer</w:t>
      </w:r>
      <w:r>
        <w:t xml:space="preserve"> </w:t>
      </w:r>
      <w:r>
        <w:rPr>
          <w:i/>
          <w:iCs/>
        </w:rPr>
        <w:t xml:space="preserve">“your only son Isaac”</w:t>
      </w:r>
      <w:r>
        <w:t xml:space="preserve"> </w:t>
      </w:r>
      <w:r>
        <w:t xml:space="preserve">as a burnt offering</w:t>
      </w:r>
      <w:hyperlink r:id="rId36">
        <w:r>
          <w:rPr>
            <w:rStyle w:val="Hyperlink"/>
          </w:rPr>
          <w:t xml:space="preserve">[16]</w:t>
        </w:r>
      </w:hyperlink>
      <w:r>
        <w:t xml:space="preserve">, then stops him at the last moment by angelic intervention</w:t>
      </w:r>
      <w:hyperlink r:id="rId37">
        <w:r>
          <w:rPr>
            <w:rStyle w:val="Hyperlink"/>
          </w:rPr>
          <w:t xml:space="preserve">[17]</w:t>
        </w:r>
      </w:hyperlink>
      <w:r>
        <w:t xml:space="preserve">. Afterward, Abraham is provided a ram caught in a thicket to sacrifice instead</w:t>
      </w:r>
      <w:hyperlink r:id="rId38">
        <w:r>
          <w:rPr>
            <w:rStyle w:val="Hyperlink"/>
          </w:rPr>
          <w:t xml:space="preserve">[18]</w:t>
        </w:r>
      </w:hyperlink>
      <w:r>
        <w:t xml:space="preserve">, and is blessed for his faithfulness.</w:t>
      </w:r>
    </w:p>
    <w:p>
      <w:pPr>
        <w:pStyle w:val="BodyText"/>
      </w:pPr>
      <w:r>
        <w:t xml:space="preserve">While the Qur’an does not explicitly name the son, Islamic tradition (and internal clues) identify him as Ishmael</w:t>
      </w:r>
      <w:hyperlink r:id="rId25">
        <w:r>
          <w:rPr>
            <w:rStyle w:val="Hyperlink"/>
          </w:rPr>
          <w:t xml:space="preserve">[5]</w:t>
        </w:r>
      </w:hyperlink>
      <w:r>
        <w:t xml:space="preserve">. We accept the Qur’anic narrative at face value: Abraham’s intended victim is Ishmael. The thematic content, however, remains aligned with the Biblical version: an ultimate test of loyalty to God that ends with divine mercy. Thus, Christians and Jews revere Abraham’s readiness to sacrifice Isaac, and Muslims revere his willingness to sacrifice Ishmael – in both cases God commemorates the faith shown.</w:t>
      </w:r>
    </w:p>
    <w:p>
      <w:pPr>
        <w:pStyle w:val="BodyText"/>
      </w:pPr>
      <w:r>
        <w:t xml:space="preserve">By referring to Genesis (but accepting Ishmael as Quranic), we emphasize a shared heritage: a father’s faith saves his son through God’s provision. For example, Genesis 22:2–10 describes Abraham telling Isaac,</w:t>
      </w:r>
      <w:r>
        <w:t xml:space="preserve"> </w:t>
      </w:r>
      <w:r>
        <w:rPr>
          <w:i/>
          <w:iCs/>
        </w:rPr>
        <w:t xml:space="preserve">“God himself will provide the lamb for the burnt offering”</w:t>
      </w:r>
      <w:hyperlink r:id="rId39">
        <w:r>
          <w:rPr>
            <w:rStyle w:val="Hyperlink"/>
          </w:rPr>
          <w:t xml:space="preserve">[19]</w:t>
        </w:r>
      </w:hyperlink>
      <w:r>
        <w:t xml:space="preserve">, mirroring Abraham’s statement to Ishmael (“see what you think” and Ishmael’s response)</w:t>
      </w:r>
      <w:hyperlink r:id="rId27">
        <w:r>
          <w:rPr>
            <w:rStyle w:val="Hyperlink"/>
          </w:rPr>
          <w:t xml:space="preserve">[6]</w:t>
        </w:r>
      </w:hyperlink>
      <w:r>
        <w:t xml:space="preserve">. Both narratives conclude that God blesses Abraham abundantly for his unwavering obedience (Genesis 22:16–18</w:t>
      </w:r>
      <w:hyperlink r:id="rId40">
        <w:r>
          <w:rPr>
            <w:rStyle w:val="Hyperlink"/>
          </w:rPr>
          <w:t xml:space="preserve">[20]</w:t>
        </w:r>
      </w:hyperlink>
      <w:r>
        <w:t xml:space="preserve">; Qur’an 37:108–111</w:t>
      </w:r>
      <w:hyperlink r:id="rId32">
        <w:r>
          <w:rPr>
            <w:rStyle w:val="Hyperlink"/>
          </w:rPr>
          <w:t xml:space="preserve">[21]</w:t>
        </w:r>
      </w:hyperlink>
      <w:hyperlink r:id="rId34">
        <w:r>
          <w:rPr>
            <w:rStyle w:val="Hyperlink"/>
          </w:rPr>
          <w:t xml:space="preserve">[22]</w:t>
        </w:r>
      </w:hyperlink>
      <w:r>
        <w:t xml:space="preserve">).</w:t>
      </w:r>
    </w:p>
    <w:bookmarkEnd w:id="41"/>
    <w:bookmarkStart w:id="47" w:name="eid-al-adha-the-feast-of-sacrifice"/>
    <w:p>
      <w:pPr>
        <w:pStyle w:val="Heading2"/>
      </w:pPr>
      <w:r>
        <w:rPr>
          <w:b/>
          <w:bCs/>
        </w:rPr>
        <w:t xml:space="preserve">Eid al-Adha – The Feast of Sacrifice</w:t>
      </w:r>
    </w:p>
    <w:p>
      <w:pPr>
        <w:pStyle w:val="FirstParagraph"/>
      </w:pPr>
      <w:r>
        <w:t xml:space="preserve">Eid al-Adha (Festival of Sacrifice) is the annual Islamic celebration rooted directly in this story. It begins on the 10th of Dhū al-Ḥijjah (last month of Islamic calendar) at the culmination of Ḥajj. As Britannica notes,</w:t>
      </w:r>
      <w:r>
        <w:t xml:space="preserve"> </w:t>
      </w:r>
      <w:r>
        <w:rPr>
          <w:i/>
          <w:iCs/>
        </w:rPr>
        <w:t xml:space="preserve">“Eid al-Adha… commemorates Abraham’s willingness to sacrifice his son Ishmael as an act of obedience to God.”</w:t>
      </w:r>
      <w:hyperlink r:id="rId42">
        <w:r>
          <w:rPr>
            <w:rStyle w:val="Hyperlink"/>
          </w:rPr>
          <w:t xml:space="preserve">[23]</w:t>
        </w:r>
      </w:hyperlink>
      <w:r>
        <w:t xml:space="preserve"> </w:t>
      </w:r>
      <w:r>
        <w:t xml:space="preserve">During Eid, Muslims perform a special morning prayer and then slaughter a ritually allowed animal (sheep, goat, cow, or camel) as a symbolic substitute for the son</w:t>
      </w:r>
      <w:hyperlink r:id="rId43">
        <w:r>
          <w:rPr>
            <w:rStyle w:val="Hyperlink"/>
          </w:rPr>
          <w:t xml:space="preserve">[24]</w:t>
        </w:r>
      </w:hyperlink>
      <w:r>
        <w:t xml:space="preserve">. One third of the meat is kept by the family, and two thirds are given to relatives and the poor</w:t>
      </w:r>
      <w:hyperlink r:id="rId44">
        <w:r>
          <w:rPr>
            <w:rStyle w:val="Hyperlink"/>
          </w:rPr>
          <w:t xml:space="preserve">[25]</w:t>
        </w:r>
      </w:hyperlink>
      <w:r>
        <w:t xml:space="preserve"> </w:t>
      </w:r>
      <w:r>
        <w:t xml:space="preserve">– emphasizing charity and community. The sacrifice (qurbānī) thus reenacts Abraham’s story: a ram is sacrificed</w:t>
      </w:r>
      <w:r>
        <w:t xml:space="preserve"> </w:t>
      </w:r>
      <w:r>
        <w:rPr>
          <w:i/>
          <w:iCs/>
        </w:rPr>
        <w:t xml:space="preserve">instead of</w:t>
      </w:r>
      <w:r>
        <w:t xml:space="preserve"> </w:t>
      </w:r>
      <w:r>
        <w:t xml:space="preserve">the child.</w:t>
      </w:r>
    </w:p>
    <w:p>
      <w:pPr>
        <w:pStyle w:val="BodyText"/>
      </w:pPr>
      <w:r>
        <w:t xml:space="preserve">Eid al-Adha also includes stoning the devil (ramy al-jamarāt) in Mecca (symbolizing Abraham and Ishmael repelling Satan’s temptations), hair cutting, and festive gatherings. The common greeting “Eid Mubarak” and gift-giving celebrate the belief that God provided a worthy offering and spared human life. In all, Eid combines solemn remembrance of Abraham’s trial with joyful thanksgiving that God’s command was fulfilled through compassion.</w:t>
      </w:r>
    </w:p>
    <w:p>
      <w:pPr>
        <w:pStyle w:val="BodyText"/>
      </w:pPr>
      <w:r>
        <w:t xml:space="preserve">Britannica summarizes:</w:t>
      </w:r>
      <w:r>
        <w:t xml:space="preserve"> </w:t>
      </w:r>
      <w:r>
        <w:rPr>
          <w:i/>
          <w:iCs/>
        </w:rPr>
        <w:t xml:space="preserve">“Eid al-Adha commemorates this important moment of divine testing and submission to God”</w:t>
      </w:r>
      <w:hyperlink r:id="rId45">
        <w:r>
          <w:rPr>
            <w:rStyle w:val="Hyperlink"/>
          </w:rPr>
          <w:t xml:space="preserve">[26]</w:t>
        </w:r>
      </w:hyperlink>
      <w:r>
        <w:t xml:space="preserve">. It binds the Muslim community worldwide in remembering that, like Abraham and Ishmael, true faith involves surrendering one’s will to God, who “provides” mercy. The narrative’s shift from human sacrifice to animal sacrifice at Eid underscores the belief that “Allah forbade blood sacrifice from Abraham” (as one Facebook summary put it) – that is, God did not desire the death of Ishmael</w:t>
      </w:r>
      <w:hyperlink r:id="rId46">
        <w:r>
          <w:rPr>
            <w:rStyle w:val="Hyperlink"/>
          </w:rPr>
          <w:t xml:space="preserve">[27]</w:t>
        </w:r>
      </w:hyperlink>
      <w:hyperlink r:id="rId29">
        <w:r>
          <w:rPr>
            <w:rStyle w:val="Hyperlink"/>
          </w:rPr>
          <w:t xml:space="preserve">[10]</w:t>
        </w:r>
      </w:hyperlink>
      <w:r>
        <w:t xml:space="preserve">.</w:t>
      </w:r>
    </w:p>
    <w:p>
      <w:pPr>
        <w:pStyle w:val="BlockText"/>
      </w:pPr>
      <w:r>
        <w:rPr>
          <w:b/>
          <w:bCs/>
        </w:rPr>
        <w:t xml:space="preserve">Eid al-Adha highlights:</w:t>
      </w:r>
      <w:r>
        <w:t xml:space="preserve"> </w:t>
      </w:r>
      <w:r>
        <w:t xml:space="preserve">communal prayer, animal sacrifice (qurbānī), sharing meat with the needy, family meals and celebration</w:t>
      </w:r>
      <w:hyperlink r:id="rId43">
        <w:r>
          <w:rPr>
            <w:rStyle w:val="Hyperlink"/>
          </w:rPr>
          <w:t xml:space="preserve">[24]</w:t>
        </w:r>
      </w:hyperlink>
      <w:hyperlink r:id="rId44">
        <w:r>
          <w:rPr>
            <w:rStyle w:val="Hyperlink"/>
          </w:rPr>
          <w:t xml:space="preserve">[25]</w:t>
        </w:r>
      </w:hyperlink>
      <w:r>
        <w:t xml:space="preserve">. The sacrifice symbolizes Abraham’s devotion; the act of charity reflects Islam’s emphasis on caring for life and community.</w:t>
      </w:r>
    </w:p>
    <w:bookmarkEnd w:id="47"/>
    <w:bookmarkStart w:id="49" w:name="human-life-and-islamic-ethics"/>
    <w:p>
      <w:pPr>
        <w:pStyle w:val="Heading2"/>
      </w:pPr>
      <w:r>
        <w:t xml:space="preserve">Human Life and Islamic Ethics</w:t>
      </w:r>
    </w:p>
    <w:p>
      <w:pPr>
        <w:pStyle w:val="FirstParagraph"/>
      </w:pPr>
      <w:r>
        <w:t xml:space="preserve">A crucial theological point:</w:t>
      </w:r>
      <w:r>
        <w:t xml:space="preserve"> </w:t>
      </w:r>
      <w:r>
        <w:rPr>
          <w:b/>
          <w:bCs/>
        </w:rPr>
        <w:t xml:space="preserve">Islam forbids human sacrifice</w:t>
      </w:r>
      <w:r>
        <w:t xml:space="preserve"> </w:t>
      </w:r>
      <w:r>
        <w:t xml:space="preserve">and indeed elevates human life to a sacred status. The Abrahamic story is</w:t>
      </w:r>
      <w:r>
        <w:t xml:space="preserve"> </w:t>
      </w:r>
      <w:r>
        <w:rPr>
          <w:i/>
          <w:iCs/>
        </w:rPr>
        <w:t xml:space="preserve">used to forbid</w:t>
      </w:r>
      <w:r>
        <w:t xml:space="preserve">, not endorse, the killing of innocents. After all, the very moment Abraham obeyed, God immediately provided a ram, illustrating</w:t>
      </w:r>
      <w:r>
        <w:t xml:space="preserve"> </w:t>
      </w:r>
      <w:r>
        <w:rPr>
          <w:i/>
          <w:iCs/>
        </w:rPr>
        <w:t xml:space="preserve">“peace upon Abraham”</w:t>
      </w:r>
      <w:r>
        <w:t xml:space="preserve"> </w:t>
      </w:r>
      <w:r>
        <w:t xml:space="preserve">rather than approval of bloodshed</w:t>
      </w:r>
      <w:hyperlink r:id="rId48">
        <w:r>
          <w:rPr>
            <w:rStyle w:val="Hyperlink"/>
          </w:rPr>
          <w:t xml:space="preserve">[28]</w:t>
        </w:r>
      </w:hyperlink>
      <w:r>
        <w:t xml:space="preserve">.</w:t>
      </w:r>
    </w:p>
    <w:p>
      <w:pPr>
        <w:pStyle w:val="BodyText"/>
      </w:pPr>
      <w:r>
        <w:t xml:space="preserve">This principle is echoed elsewhere in the Qur’an. Famously, Qur’an 5:32 declares (as part of a divine law given to the Children of Israel):</w:t>
      </w:r>
      <w:r>
        <w:t xml:space="preserve"> </w:t>
      </w:r>
      <w:r>
        <w:rPr>
          <w:i/>
          <w:iCs/>
        </w:rPr>
        <w:t xml:space="preserve">“Whoever kills a soul… it is as if he had slain mankind entirely; and whoever saves one – it is as if he had saved mankind entirely.”</w:t>
      </w:r>
      <w:hyperlink r:id="rId21">
        <w:r>
          <w:rPr>
            <w:rStyle w:val="Hyperlink"/>
          </w:rPr>
          <w:t xml:space="preserve">[1]</w:t>
        </w:r>
      </w:hyperlink>
      <w:r>
        <w:t xml:space="preserve"> </w:t>
      </w:r>
      <w:r>
        <w:t xml:space="preserve">By contrast, the Binding story teaches the exact opposite of human sacrifice: that God requires life to be spared whenever possible. The sacrifice of the ram (and ritual animal offerings) symbolize gratitude for life, not a precedent to take life.</w:t>
      </w:r>
    </w:p>
    <w:p>
      <w:pPr>
        <w:pStyle w:val="BodyText"/>
      </w:pPr>
      <w:r>
        <w:t xml:space="preserve">Islamic tradition also stresses that no prophet ever demanded human sacrifice – indeed, Allah tests prophets to show that He accepts</w:t>
      </w:r>
      <w:r>
        <w:t xml:space="preserve"> </w:t>
      </w:r>
      <w:r>
        <w:rPr>
          <w:b/>
          <w:bCs/>
        </w:rPr>
        <w:t xml:space="preserve">only animal sacrifice</w:t>
      </w:r>
      <w:r>
        <w:t xml:space="preserve"> </w:t>
      </w:r>
      <w:r>
        <w:t xml:space="preserve">as ritual (Qur’an 37:107</w:t>
      </w:r>
      <w:hyperlink r:id="rId32">
        <w:r>
          <w:rPr>
            <w:rStyle w:val="Hyperlink"/>
          </w:rPr>
          <w:t xml:space="preserve">[13]</w:t>
        </w:r>
      </w:hyperlink>
      <w:r>
        <w:t xml:space="preserve"> </w:t>
      </w:r>
      <w:r>
        <w:t xml:space="preserve">uses the term “great sacrifice” meaning a ram). After the intended sacrifice, Allah tells Abraham through an angel: “You have already fulfilled the vision”</w:t>
      </w:r>
      <w:hyperlink r:id="rId22">
        <w:r>
          <w:rPr>
            <w:rStyle w:val="Hyperlink"/>
          </w:rPr>
          <w:t xml:space="preserve">[11]</w:t>
        </w:r>
      </w:hyperlink>
      <w:r>
        <w:t xml:space="preserve"> </w:t>
      </w:r>
      <w:r>
        <w:t xml:space="preserve">and immediately forbids any human slaughter. Thus the story ends in a reaffirmation of life’s sanctity.</w:t>
      </w:r>
    </w:p>
    <w:p>
      <w:pPr>
        <w:pStyle w:val="BodyText"/>
      </w:pPr>
      <w:r>
        <w:rPr>
          <w:b/>
          <w:bCs/>
        </w:rPr>
        <w:t xml:space="preserve">Key Ethical Lesson:</w:t>
      </w:r>
      <w:r>
        <w:t xml:space="preserve"> </w:t>
      </w:r>
      <w:r>
        <w:t xml:space="preserve">The test of Abraham was to</w:t>
      </w:r>
      <w:r>
        <w:t xml:space="preserve"> </w:t>
      </w:r>
      <w:r>
        <w:rPr>
          <w:i/>
          <w:iCs/>
        </w:rPr>
        <w:t xml:space="preserve">submit his will entirely</w:t>
      </w:r>
      <w:r>
        <w:t xml:space="preserve"> </w:t>
      </w:r>
      <w:r>
        <w:t xml:space="preserve">to God. It was never to encourage killing. The Qur’an states clearly: the outcome was a trial and then a reward, not a tragedy. Even the Biblical account (Genesis 22:11–13) emphasizes that God “sees” faith and is “the Lord will provide” – life is given back, not taken. Muslims are meant to see in Abraham’s story the supreme respect for life and the rejection of unwarranted killing.</w:t>
      </w:r>
    </w:p>
    <w:bookmarkEnd w:id="49"/>
    <w:bookmarkStart w:id="55" w:name="epilogue-submission-sacrifice-and-mercy"/>
    <w:p>
      <w:pPr>
        <w:pStyle w:val="Heading2"/>
      </w:pPr>
      <w:r>
        <w:rPr>
          <w:b/>
          <w:bCs/>
        </w:rPr>
        <w:t xml:space="preserve">Epilogue: Submission, Sacrifice, and Mercy</w:t>
      </w:r>
    </w:p>
    <w:p>
      <w:pPr>
        <w:pStyle w:val="FirstParagraph"/>
      </w:pPr>
      <w:r>
        <w:t xml:space="preserve">The narrative of Abraham and his son in Qur’an 37:99–111 weaves together profound themes.</w:t>
      </w:r>
      <w:r>
        <w:t xml:space="preserve"> </w:t>
      </w:r>
      <w:r>
        <w:rPr>
          <w:b/>
          <w:bCs/>
        </w:rPr>
        <w:t xml:space="preserve">Submission to God</w:t>
      </w:r>
      <w:r>
        <w:t xml:space="preserve"> </w:t>
      </w:r>
      <w:r>
        <w:t xml:space="preserve">is paramount: Abraham and Ishmael both say “do as you are commanded,” embodying true</w:t>
      </w:r>
      <w:r>
        <w:t xml:space="preserve"> </w:t>
      </w:r>
      <w:r>
        <w:rPr>
          <w:i/>
          <w:iCs/>
        </w:rPr>
        <w:t xml:space="preserve">islām</w:t>
      </w:r>
      <w:r>
        <w:t xml:space="preserve"> </w:t>
      </w:r>
      <w:r>
        <w:t xml:space="preserve">(submission)</w:t>
      </w:r>
      <w:hyperlink r:id="rId27">
        <w:r>
          <w:rPr>
            <w:rStyle w:val="Hyperlink"/>
          </w:rPr>
          <w:t xml:space="preserve">[6]</w:t>
        </w:r>
      </w:hyperlink>
      <w:r>
        <w:t xml:space="preserve">. The incident illustrates the meaning of faith: trust that God’s wisdom surpasses human understanding. Philosophically, it confronts the hardest question of obedience versus love of life – and shows that loving God above all does not mean despising His gifts, but validating them.</w:t>
      </w:r>
    </w:p>
    <w:p>
      <w:pPr>
        <w:pStyle w:val="BodyText"/>
      </w:pPr>
      <w:r>
        <w:t xml:space="preserve">Historically, this story roots Muslims in the legacy of Abraham and Ishmael as progenitors of the Arab and Muslim community. It connects Islam to the Judeo-Christian tradition, while distinguishing its own interpretation. Qur’ānic verses themselves highlight that Muhammad’s revelation</w:t>
      </w:r>
      <w:r>
        <w:t xml:space="preserve"> </w:t>
      </w:r>
      <w:r>
        <w:rPr>
          <w:b/>
          <w:bCs/>
        </w:rPr>
        <w:t xml:space="preserve">“confirms what came before it”</w:t>
      </w:r>
      <w:hyperlink r:id="rId50">
        <w:r>
          <w:rPr>
            <w:rStyle w:val="Hyperlink"/>
          </w:rPr>
          <w:t xml:space="preserve">[29]</w:t>
        </w:r>
      </w:hyperlink>
      <w:r>
        <w:t xml:space="preserve"> </w:t>
      </w:r>
      <w:r>
        <w:t xml:space="preserve">– with Ishmael’s role standing as a special mark of Islamic teaching.</w:t>
      </w:r>
    </w:p>
    <w:p>
      <w:pPr>
        <w:pStyle w:val="BodyText"/>
      </w:pPr>
      <w:r>
        <w:t xml:space="preserve">Finally, the festival of</w:t>
      </w:r>
      <w:r>
        <w:t xml:space="preserve"> </w:t>
      </w:r>
      <w:r>
        <w:rPr>
          <w:b/>
          <w:bCs/>
        </w:rPr>
        <w:t xml:space="preserve">Eid al-Adha</w:t>
      </w:r>
      <w:r>
        <w:t xml:space="preserve"> </w:t>
      </w:r>
      <w:r>
        <w:t xml:space="preserve">turns this poignant story into action: the sacrifice of an animal in place of a child, the communal prayers at dawn, and the sharing of meat with the poor all remind believers that God’s mercy triumphs over the raw letter of command. As Britannica observes, Eid al-Adha</w:t>
      </w:r>
      <w:r>
        <w:t xml:space="preserve"> </w:t>
      </w:r>
      <w:r>
        <w:rPr>
          <w:i/>
          <w:iCs/>
        </w:rPr>
        <w:t xml:space="preserve">“marks the culmination of the hajj pilgrimage”</w:t>
      </w:r>
      <w:r>
        <w:t xml:space="preserve"> </w:t>
      </w:r>
      <w:r>
        <w:t xml:space="preserve">and</w:t>
      </w:r>
      <w:r>
        <w:t xml:space="preserve"> </w:t>
      </w:r>
      <w:r>
        <w:rPr>
          <w:i/>
          <w:iCs/>
        </w:rPr>
        <w:t xml:space="preserve">“brings all Muslims together in celebrating Hajj, a reminder of the Abrahamic sacrifice”</w:t>
      </w:r>
      <w:hyperlink r:id="rId51">
        <w:r>
          <w:rPr>
            <w:rStyle w:val="Hyperlink"/>
          </w:rPr>
          <w:t xml:space="preserve">[30]</w:t>
        </w:r>
      </w:hyperlink>
      <w:hyperlink r:id="rId44">
        <w:r>
          <w:rPr>
            <w:rStyle w:val="Hyperlink"/>
          </w:rPr>
          <w:t xml:space="preserve">[25]</w:t>
        </w:r>
      </w:hyperlink>
      <w:r>
        <w:t xml:space="preserve">.</w:t>
      </w:r>
    </w:p>
    <w:p>
      <w:pPr>
        <w:pStyle w:val="BodyText"/>
      </w:pPr>
      <w:r>
        <w:t xml:space="preserve">In summary, Qur’an 37:99–111 presents not a prescription of sacrifice but a</w:t>
      </w:r>
      <w:r>
        <w:t xml:space="preserve"> </w:t>
      </w:r>
      <w:r>
        <w:rPr>
          <w:b/>
          <w:bCs/>
        </w:rPr>
        <w:t xml:space="preserve">vindication of life</w:t>
      </w:r>
      <w:r>
        <w:t xml:space="preserve"> </w:t>
      </w:r>
      <w:r>
        <w:t xml:space="preserve">through submission. Abraham’s trial and deliverance show that Islam is a faith of</w:t>
      </w:r>
      <w:r>
        <w:t xml:space="preserve"> </w:t>
      </w:r>
      <w:r>
        <w:rPr>
          <w:i/>
          <w:iCs/>
        </w:rPr>
        <w:t xml:space="preserve">total surrender</w:t>
      </w:r>
      <w:r>
        <w:t xml:space="preserve"> </w:t>
      </w:r>
      <w:r>
        <w:t xml:space="preserve">to God, yet of</w:t>
      </w:r>
      <w:r>
        <w:t xml:space="preserve"> </w:t>
      </w:r>
      <w:r>
        <w:rPr>
          <w:i/>
          <w:iCs/>
        </w:rPr>
        <w:t xml:space="preserve">utmost compassion</w:t>
      </w:r>
      <w:r>
        <w:t xml:space="preserve"> </w:t>
      </w:r>
      <w:r>
        <w:t xml:space="preserve">for humanity. The sacredness of life – implied in Qur’an 5:32 and exemplified by the ram’s substitution – shines through this narrative. Thus, instead of human sacrifice, we learn the supreme value Islam places on each soul: Abraham’s story ends not in death, but in peace and blessing</w:t>
      </w:r>
      <w:hyperlink r:id="rId48">
        <w:r>
          <w:rPr>
            <w:rStyle w:val="Hyperlink"/>
          </w:rPr>
          <w:t xml:space="preserve">[28]</w:t>
        </w:r>
      </w:hyperlink>
      <w:hyperlink r:id="rId34">
        <w:r>
          <w:rPr>
            <w:rStyle w:val="Hyperlink"/>
          </w:rPr>
          <w:t xml:space="preserve">[22]</w:t>
        </w:r>
      </w:hyperlink>
      <w:r>
        <w:t xml:space="preserve">, teaching all generations that obedience to the Lord of Abraham, Ishmael and Isaac is ultimately life-affirming.</w:t>
      </w:r>
    </w:p>
    <w:p>
      <w:pPr>
        <w:pStyle w:val="BodyText"/>
      </w:pPr>
      <w:r>
        <w:rPr>
          <w:b/>
          <w:bCs/>
        </w:rPr>
        <w:t xml:space="preserve">Sources:</w:t>
      </w:r>
      <w:r>
        <w:t xml:space="preserve"> </w:t>
      </w:r>
      <w:r>
        <w:t xml:space="preserve">Qur’an 37:99–111 (Sahih International)</w:t>
      </w:r>
      <w:hyperlink r:id="rId22">
        <w:r>
          <w:rPr>
            <w:rStyle w:val="Hyperlink"/>
          </w:rPr>
          <w:t xml:space="preserve">[31]</w:t>
        </w:r>
      </w:hyperlink>
      <w:hyperlink r:id="rId32">
        <w:r>
          <w:rPr>
            <w:rStyle w:val="Hyperlink"/>
          </w:rPr>
          <w:t xml:space="preserve">[21]</w:t>
        </w:r>
      </w:hyperlink>
      <w:r>
        <w:t xml:space="preserve">; Qur’an 5:32</w:t>
      </w:r>
      <w:hyperlink r:id="rId21">
        <w:r>
          <w:rPr>
            <w:rStyle w:val="Hyperlink"/>
          </w:rPr>
          <w:t xml:space="preserve">[1]</w:t>
        </w:r>
      </w:hyperlink>
      <w:r>
        <w:t xml:space="preserve">; classical tafsīr (Maarif al-Qur’an)</w:t>
      </w:r>
      <w:hyperlink r:id="rId28">
        <w:r>
          <w:rPr>
            <w:rStyle w:val="Hyperlink"/>
          </w:rPr>
          <w:t xml:space="preserve">[7]</w:t>
        </w:r>
      </w:hyperlink>
      <w:hyperlink r:id="rId29">
        <w:r>
          <w:rPr>
            <w:rStyle w:val="Hyperlink"/>
          </w:rPr>
          <w:t xml:space="preserve">[10]</w:t>
        </w:r>
      </w:hyperlink>
      <w:hyperlink r:id="rId52">
        <w:r>
          <w:rPr>
            <w:rStyle w:val="Hyperlink"/>
          </w:rPr>
          <w:t xml:space="preserve">[32]</w:t>
        </w:r>
      </w:hyperlink>
      <w:r>
        <w:t xml:space="preserve">; Biblical Genesis 22 (NIV)</w:t>
      </w:r>
      <w:hyperlink r:id="rId36">
        <w:r>
          <w:rPr>
            <w:rStyle w:val="Hyperlink"/>
          </w:rPr>
          <w:t xml:space="preserve">[16]</w:t>
        </w:r>
      </w:hyperlink>
      <w:hyperlink r:id="rId37">
        <w:r>
          <w:rPr>
            <w:rStyle w:val="Hyperlink"/>
          </w:rPr>
          <w:t xml:space="preserve">[17]</w:t>
        </w:r>
      </w:hyperlink>
      <w:r>
        <w:t xml:space="preserve">; Britannica</w:t>
      </w:r>
      <w:r>
        <w:t xml:space="preserve"> </w:t>
      </w:r>
      <w:r>
        <w:rPr>
          <w:i/>
          <w:iCs/>
        </w:rPr>
        <w:t xml:space="preserve">Eid al-Adha</w:t>
      </w:r>
      <w:hyperlink r:id="rId42">
        <w:r>
          <w:rPr>
            <w:rStyle w:val="Hyperlink"/>
          </w:rPr>
          <w:t xml:space="preserve">[23]</w:t>
        </w:r>
      </w:hyperlink>
      <w:hyperlink r:id="rId44">
        <w:r>
          <w:rPr>
            <w:rStyle w:val="Hyperlink"/>
          </w:rPr>
          <w:t xml:space="preserve">[25]</w:t>
        </w:r>
      </w:hyperlink>
      <w:hyperlink r:id="rId53">
        <w:r>
          <w:rPr>
            <w:rStyle w:val="Hyperlink"/>
          </w:rPr>
          <w:t xml:space="preserve">[33]</w:t>
        </w:r>
      </w:hyperlink>
      <w:r>
        <w:t xml:space="preserve">; additional Islamic commentary</w:t>
      </w:r>
      <w:hyperlink r:id="rId46">
        <w:r>
          <w:rPr>
            <w:rStyle w:val="Hyperlink"/>
          </w:rPr>
          <w:t xml:space="preserve">[34]</w:t>
        </w:r>
      </w:hyperlink>
      <w:hyperlink r:id="rId54">
        <w:r>
          <w:rPr>
            <w:rStyle w:val="Hyperlink"/>
          </w:rPr>
          <w:t xml:space="preserve">[35]</w:t>
        </w:r>
      </w:hyperlink>
      <w:r>
        <w:t xml:space="preserve">.</w:t>
      </w:r>
    </w:p>
    <w:bookmarkEnd w:id="55"/>
    <w:bookmarkEnd w:id="56"/>
    <w:bookmarkEnd w:id="57"/>
    <w:p>
      <w:r>
        <w:pict>
          <v:rect style="width:0;height:1.5pt" o:hralign="center" o:hrstd="t" o:hr="t"/>
        </w:pict>
      </w:r>
    </w:p>
    <w:bookmarkStart w:id="67" w:name="citations"/>
    <w:p>
      <w:pPr>
        <w:pStyle w:val="FirstParagraph"/>
      </w:pPr>
      <w:hyperlink r:id="rId21">
        <w:r>
          <w:rPr>
            <w:rStyle w:val="Hyperlink"/>
          </w:rPr>
          <w:t xml:space="preserve">[1]</w:t>
        </w:r>
      </w:hyperlink>
      <w:r>
        <w:t xml:space="preserve"> </w:t>
      </w:r>
      <w:r>
        <w:t xml:space="preserve">Surat Al-Ma'idah [5:32-33] - The Noble Qur'an - القرآن الكريم</w:t>
      </w:r>
    </w:p>
    <w:p>
      <w:pPr>
        <w:pStyle w:val="BodyText"/>
      </w:pPr>
      <w:hyperlink r:id="rId58">
        <w:r>
          <w:rPr>
            <w:rStyle w:val="Hyperlink"/>
          </w:rPr>
          <w:t xml:space="preserve">https://legacy.quran.com/5/32-33</w:t>
        </w:r>
      </w:hyperlink>
    </w:p>
    <w:p>
      <w:pPr>
        <w:pStyle w:val="BodyText"/>
      </w:pPr>
      <w:hyperlink r:id="rId22">
        <w:r>
          <w:rPr>
            <w:rStyle w:val="Hyperlink"/>
          </w:rPr>
          <w:t xml:space="preserve">[2]</w:t>
        </w:r>
      </w:hyperlink>
      <w:r>
        <w:t xml:space="preserve"> </w:t>
      </w:r>
      <w:hyperlink r:id="rId23">
        <w:r>
          <w:rPr>
            <w:rStyle w:val="Hyperlink"/>
          </w:rPr>
          <w:t xml:space="preserve">[3]</w:t>
        </w:r>
      </w:hyperlink>
      <w:r>
        <w:t xml:space="preserve"> </w:t>
      </w:r>
      <w:hyperlink r:id="rId24">
        <w:r>
          <w:rPr>
            <w:rStyle w:val="Hyperlink"/>
          </w:rPr>
          <w:t xml:space="preserve">[4]</w:t>
        </w:r>
      </w:hyperlink>
      <w:r>
        <w:t xml:space="preserve"> </w:t>
      </w:r>
      <w:hyperlink r:id="rId27">
        <w:r>
          <w:rPr>
            <w:rStyle w:val="Hyperlink"/>
          </w:rPr>
          <w:t xml:space="preserve">[6]</w:t>
        </w:r>
      </w:hyperlink>
      <w:r>
        <w:t xml:space="preserve"> </w:t>
      </w:r>
      <w:hyperlink r:id="rId22">
        <w:r>
          <w:rPr>
            <w:rStyle w:val="Hyperlink"/>
          </w:rPr>
          <w:t xml:space="preserve">[8]</w:t>
        </w:r>
      </w:hyperlink>
      <w:r>
        <w:t xml:space="preserve"> </w:t>
      </w:r>
      <w:hyperlink r:id="rId22">
        <w:r>
          <w:rPr>
            <w:rStyle w:val="Hyperlink"/>
          </w:rPr>
          <w:t xml:space="preserve">[9]</w:t>
        </w:r>
      </w:hyperlink>
      <w:r>
        <w:t xml:space="preserve"> </w:t>
      </w:r>
      <w:hyperlink r:id="rId22">
        <w:r>
          <w:rPr>
            <w:rStyle w:val="Hyperlink"/>
          </w:rPr>
          <w:t xml:space="preserve">[11]</w:t>
        </w:r>
      </w:hyperlink>
      <w:r>
        <w:t xml:space="preserve"> </w:t>
      </w:r>
      <w:hyperlink r:id="rId30">
        <w:r>
          <w:rPr>
            <w:rStyle w:val="Hyperlink"/>
          </w:rPr>
          <w:t xml:space="preserve">[12]</w:t>
        </w:r>
      </w:hyperlink>
      <w:r>
        <w:t xml:space="preserve"> </w:t>
      </w:r>
      <w:hyperlink r:id="rId32">
        <w:r>
          <w:rPr>
            <w:rStyle w:val="Hyperlink"/>
          </w:rPr>
          <w:t xml:space="preserve">[13]</w:t>
        </w:r>
      </w:hyperlink>
      <w:r>
        <w:t xml:space="preserve"> </w:t>
      </w:r>
      <w:hyperlink r:id="rId33">
        <w:r>
          <w:rPr>
            <w:rStyle w:val="Hyperlink"/>
          </w:rPr>
          <w:t xml:space="preserve">[14]</w:t>
        </w:r>
      </w:hyperlink>
      <w:r>
        <w:t xml:space="preserve"> </w:t>
      </w:r>
      <w:hyperlink r:id="rId34">
        <w:r>
          <w:rPr>
            <w:rStyle w:val="Hyperlink"/>
          </w:rPr>
          <w:t xml:space="preserve">[15]</w:t>
        </w:r>
      </w:hyperlink>
      <w:r>
        <w:t xml:space="preserve"> </w:t>
      </w:r>
      <w:hyperlink r:id="rId32">
        <w:r>
          <w:rPr>
            <w:rStyle w:val="Hyperlink"/>
          </w:rPr>
          <w:t xml:space="preserve">[21]</w:t>
        </w:r>
      </w:hyperlink>
      <w:r>
        <w:t xml:space="preserve"> </w:t>
      </w:r>
      <w:hyperlink r:id="rId34">
        <w:r>
          <w:rPr>
            <w:rStyle w:val="Hyperlink"/>
          </w:rPr>
          <w:t xml:space="preserve">[22]</w:t>
        </w:r>
      </w:hyperlink>
      <w:r>
        <w:t xml:space="preserve"> </w:t>
      </w:r>
      <w:hyperlink r:id="rId48">
        <w:r>
          <w:rPr>
            <w:rStyle w:val="Hyperlink"/>
          </w:rPr>
          <w:t xml:space="preserve">[28]</w:t>
        </w:r>
      </w:hyperlink>
      <w:r>
        <w:t xml:space="preserve"> </w:t>
      </w:r>
      <w:hyperlink r:id="rId22">
        <w:r>
          <w:rPr>
            <w:rStyle w:val="Hyperlink"/>
          </w:rPr>
          <w:t xml:space="preserve">[31]</w:t>
        </w:r>
      </w:hyperlink>
      <w:r>
        <w:t xml:space="preserve"> </w:t>
      </w:r>
      <w:r>
        <w:t xml:space="preserve">Surat As-Saffat [37:99-111] - The Noble Qur'an - القرآن الكريم</w:t>
      </w:r>
    </w:p>
    <w:p>
      <w:pPr>
        <w:pStyle w:val="BodyText"/>
      </w:pPr>
      <w:hyperlink r:id="rId59">
        <w:r>
          <w:rPr>
            <w:rStyle w:val="Hyperlink"/>
          </w:rPr>
          <w:t xml:space="preserve">https://legacy.quran.com/37/99-111</w:t>
        </w:r>
      </w:hyperlink>
    </w:p>
    <w:p>
      <w:pPr>
        <w:pStyle w:val="BodyText"/>
      </w:pPr>
      <w:hyperlink r:id="rId25">
        <w:r>
          <w:rPr>
            <w:rStyle w:val="Hyperlink"/>
          </w:rPr>
          <w:t xml:space="preserve">[5]</w:t>
        </w:r>
      </w:hyperlink>
      <w:r>
        <w:t xml:space="preserve"> </w:t>
      </w:r>
      <w:hyperlink r:id="rId42">
        <w:r>
          <w:rPr>
            <w:rStyle w:val="Hyperlink"/>
          </w:rPr>
          <w:t xml:space="preserve">[23]</w:t>
        </w:r>
      </w:hyperlink>
      <w:r>
        <w:t xml:space="preserve"> </w:t>
      </w:r>
      <w:hyperlink r:id="rId43">
        <w:r>
          <w:rPr>
            <w:rStyle w:val="Hyperlink"/>
          </w:rPr>
          <w:t xml:space="preserve">[24]</w:t>
        </w:r>
      </w:hyperlink>
      <w:r>
        <w:t xml:space="preserve"> </w:t>
      </w:r>
      <w:hyperlink r:id="rId44">
        <w:r>
          <w:rPr>
            <w:rStyle w:val="Hyperlink"/>
          </w:rPr>
          <w:t xml:space="preserve">[25]</w:t>
        </w:r>
      </w:hyperlink>
      <w:r>
        <w:t xml:space="preserve"> </w:t>
      </w:r>
      <w:hyperlink r:id="rId45">
        <w:r>
          <w:rPr>
            <w:rStyle w:val="Hyperlink"/>
          </w:rPr>
          <w:t xml:space="preserve">[26]</w:t>
        </w:r>
      </w:hyperlink>
      <w:r>
        <w:t xml:space="preserve"> </w:t>
      </w:r>
      <w:hyperlink r:id="rId53">
        <w:r>
          <w:rPr>
            <w:rStyle w:val="Hyperlink"/>
          </w:rPr>
          <w:t xml:space="preserve">[33]</w:t>
        </w:r>
      </w:hyperlink>
      <w:r>
        <w:t xml:space="preserve"> </w:t>
      </w:r>
      <w:r>
        <w:t xml:space="preserve">Eid al-Adha | Meaning, Observances, Hajj, &amp; Traditions | Britannica</w:t>
      </w:r>
    </w:p>
    <w:p>
      <w:pPr>
        <w:pStyle w:val="BodyText"/>
      </w:pPr>
      <w:hyperlink r:id="rId60">
        <w:r>
          <w:rPr>
            <w:rStyle w:val="Hyperlink"/>
          </w:rPr>
          <w:t xml:space="preserve">https://www.britannica.com/topic/Eid-al-Adha</w:t>
        </w:r>
      </w:hyperlink>
    </w:p>
    <w:p>
      <w:pPr>
        <w:pStyle w:val="BodyText"/>
      </w:pPr>
      <w:hyperlink r:id="rId28">
        <w:r>
          <w:rPr>
            <w:rStyle w:val="Hyperlink"/>
          </w:rPr>
          <w:t xml:space="preserve">[7]</w:t>
        </w:r>
      </w:hyperlink>
      <w:r>
        <w:t xml:space="preserve"> </w:t>
      </w:r>
      <w:hyperlink r:id="rId29">
        <w:r>
          <w:rPr>
            <w:rStyle w:val="Hyperlink"/>
          </w:rPr>
          <w:t xml:space="preserve">[10]</w:t>
        </w:r>
      </w:hyperlink>
      <w:r>
        <w:t xml:space="preserve"> </w:t>
      </w:r>
      <w:hyperlink r:id="rId52">
        <w:r>
          <w:rPr>
            <w:rStyle w:val="Hyperlink"/>
          </w:rPr>
          <w:t xml:space="preserve">[32]</w:t>
        </w:r>
      </w:hyperlink>
      <w:r>
        <w:t xml:space="preserve"> </w:t>
      </w:r>
      <w:r>
        <w:t xml:space="preserve">Tafsir Surah As-Saffat - 102 - Quran.com</w:t>
      </w:r>
    </w:p>
    <w:p>
      <w:pPr>
        <w:pStyle w:val="BodyText"/>
      </w:pPr>
      <w:hyperlink r:id="rId61">
        <w:r>
          <w:rPr>
            <w:rStyle w:val="Hyperlink"/>
          </w:rPr>
          <w:t xml:space="preserve">https://quran.com/37:102/tafsirs/en-tafsir-maarif-ul-quran</w:t>
        </w:r>
      </w:hyperlink>
    </w:p>
    <w:p>
      <w:pPr>
        <w:pStyle w:val="BodyText"/>
      </w:pPr>
      <w:hyperlink r:id="rId36">
        <w:r>
          <w:rPr>
            <w:rStyle w:val="Hyperlink"/>
          </w:rPr>
          <w:t xml:space="preserve">[16]</w:t>
        </w:r>
      </w:hyperlink>
      <w:r>
        <w:t xml:space="preserve"> </w:t>
      </w:r>
      <w:hyperlink r:id="rId37">
        <w:r>
          <w:rPr>
            <w:rStyle w:val="Hyperlink"/>
          </w:rPr>
          <w:t xml:space="preserve">[17]</w:t>
        </w:r>
      </w:hyperlink>
      <w:r>
        <w:t xml:space="preserve"> </w:t>
      </w:r>
      <w:hyperlink r:id="rId38">
        <w:r>
          <w:rPr>
            <w:rStyle w:val="Hyperlink"/>
          </w:rPr>
          <w:t xml:space="preserve">[18]</w:t>
        </w:r>
      </w:hyperlink>
      <w:r>
        <w:t xml:space="preserve"> </w:t>
      </w:r>
      <w:hyperlink r:id="rId39">
        <w:r>
          <w:rPr>
            <w:rStyle w:val="Hyperlink"/>
          </w:rPr>
          <w:t xml:space="preserve">[19]</w:t>
        </w:r>
      </w:hyperlink>
      <w:r>
        <w:t xml:space="preserve"> </w:t>
      </w:r>
      <w:hyperlink r:id="rId40">
        <w:r>
          <w:rPr>
            <w:rStyle w:val="Hyperlink"/>
          </w:rPr>
          <w:t xml:space="preserve">[20]</w:t>
        </w:r>
      </w:hyperlink>
      <w:r>
        <w:t xml:space="preserve"> </w:t>
      </w:r>
      <w:r>
        <w:t xml:space="preserve">Genesis 22 NIV - Abraham Tested - Some time later God - Bible Gateway</w:t>
      </w:r>
    </w:p>
    <w:p>
      <w:pPr>
        <w:pStyle w:val="BodyText"/>
      </w:pPr>
      <w:hyperlink r:id="rId62">
        <w:r>
          <w:rPr>
            <w:rStyle w:val="Hyperlink"/>
          </w:rPr>
          <w:t xml:space="preserve">https://www.biblegateway.com/passage/?search=Genesis%2022&amp;version=NIV</w:t>
        </w:r>
      </w:hyperlink>
    </w:p>
    <w:p>
      <w:pPr>
        <w:pStyle w:val="BodyText"/>
      </w:pPr>
      <w:hyperlink r:id="rId46">
        <w:r>
          <w:rPr>
            <w:rStyle w:val="Hyperlink"/>
          </w:rPr>
          <w:t xml:space="preserve">[27]</w:t>
        </w:r>
      </w:hyperlink>
      <w:r>
        <w:t xml:space="preserve"> </w:t>
      </w:r>
      <w:hyperlink r:id="rId46">
        <w:r>
          <w:rPr>
            <w:rStyle w:val="Hyperlink"/>
          </w:rPr>
          <w:t xml:space="preserve">[34]</w:t>
        </w:r>
      </w:hyperlink>
      <w:r>
        <w:t xml:space="preserve"> </w:t>
      </w:r>
      <w:r>
        <w:t xml:space="preserve">The Sacrifice Of Abraham</w:t>
      </w:r>
    </w:p>
    <w:p>
      <w:pPr>
        <w:pStyle w:val="BodyText"/>
      </w:pPr>
      <w:hyperlink r:id="rId63">
        <w:r>
          <w:rPr>
            <w:rStyle w:val="Hyperlink"/>
          </w:rPr>
          <w:t xml:space="preserve">https://www.islamic-awareness.org/quran/contrad/mustrad/sacrifice.html</w:t>
        </w:r>
      </w:hyperlink>
    </w:p>
    <w:p>
      <w:pPr>
        <w:pStyle w:val="BodyText"/>
      </w:pPr>
      <w:hyperlink r:id="rId50">
        <w:r>
          <w:rPr>
            <w:rStyle w:val="Hyperlink"/>
          </w:rPr>
          <w:t xml:space="preserve">[29]</w:t>
        </w:r>
      </w:hyperlink>
      <w:r>
        <w:t xml:space="preserve"> </w:t>
      </w:r>
      <w:r>
        <w:t xml:space="preserve">Tafsir Surah As-Saffat - 99 - Quran.com</w:t>
      </w:r>
    </w:p>
    <w:p>
      <w:pPr>
        <w:pStyle w:val="BodyText"/>
      </w:pPr>
      <w:hyperlink r:id="rId64">
        <w:r>
          <w:rPr>
            <w:rStyle w:val="Hyperlink"/>
          </w:rPr>
          <w:t xml:space="preserve">https://quran.com/en/37:99/tafsirs/en-tafsir-maarif-ul-quran</w:t>
        </w:r>
      </w:hyperlink>
    </w:p>
    <w:p>
      <w:pPr>
        <w:pStyle w:val="BodyText"/>
      </w:pPr>
      <w:hyperlink r:id="rId51">
        <w:r>
          <w:rPr>
            <w:rStyle w:val="Hyperlink"/>
          </w:rPr>
          <w:t xml:space="preserve">[30]</w:t>
        </w:r>
      </w:hyperlink>
      <w:r>
        <w:t xml:space="preserve"> </w:t>
      </w:r>
      <w:r>
        <w:t xml:space="preserve">Eid al-Adha - Wikipedia</w:t>
      </w:r>
    </w:p>
    <w:p>
      <w:pPr>
        <w:pStyle w:val="BodyText"/>
      </w:pPr>
      <w:hyperlink r:id="rId65">
        <w:r>
          <w:rPr>
            <w:rStyle w:val="Hyperlink"/>
          </w:rPr>
          <w:t xml:space="preserve">https://en.wikipedia.org/wiki/Eid_al-Adha</w:t>
        </w:r>
      </w:hyperlink>
    </w:p>
    <w:p>
      <w:pPr>
        <w:pStyle w:val="BodyText"/>
      </w:pPr>
      <w:hyperlink r:id="rId54">
        <w:r>
          <w:rPr>
            <w:rStyle w:val="Hyperlink"/>
          </w:rPr>
          <w:t xml:space="preserve">[35]</w:t>
        </w:r>
      </w:hyperlink>
      <w:r>
        <w:t xml:space="preserve"> </w:t>
      </w:r>
      <w:r>
        <w:t xml:space="preserve">The Authorship of the Quran : The Words of a Poet or a Teacher? | Knowing Allah</w:t>
      </w:r>
    </w:p>
    <w:p>
      <w:pPr>
        <w:pStyle w:val="BodyText"/>
      </w:pPr>
      <w:hyperlink r:id="rId66">
        <w:r>
          <w:rPr>
            <w:rStyle w:val="Hyperlink"/>
          </w:rPr>
          <w:t xml:space="preserve">https://knowingallah.com/en/articles/the-authorship-of-the-quran-the-words-of-a-poet-or-a-teacher/</w:t>
        </w:r>
      </w:hyperlink>
    </w:p>
    <w:bookmarkEnd w:id="67"/>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65" Target="https://en.wikipedia.org/wiki/Eid_al-Adha" TargetMode="External" /><Relationship Type="http://schemas.openxmlformats.org/officeDocument/2006/relationships/hyperlink" Id="rId51" Target="https://en.wikipedia.org/wiki/Eid_al-Adha#:~:text=Urdu%20and%20Hindi,Journeys%20in%20Holy%20Lands%3A%20The" TargetMode="External" /><Relationship Type="http://schemas.openxmlformats.org/officeDocument/2006/relationships/hyperlink" Id="rId66" Target="https://knowingallah.com/en/articles/the-authorship-of-the-quran-the-words-of-a-poet-or-a-teacher/" TargetMode="External" /><Relationship Type="http://schemas.openxmlformats.org/officeDocument/2006/relationships/hyperlink" Id="rId54" Target="https://knowingallah.com/en/articles/the-authorship-of-the-quran-the-words-of-a-poet-or-a-teacher/#:~:text=,19" TargetMode="External" /><Relationship Type="http://schemas.openxmlformats.org/officeDocument/2006/relationships/hyperlink" Id="rId59" Target="https://legacy.quran.com/37/99-111" TargetMode="External" /><Relationship Type="http://schemas.openxmlformats.org/officeDocument/2006/relationships/hyperlink" Id="rId48" Target="https://legacy.quran.com/37/99-111#:~:text=37%3A109" TargetMode="External" /><Relationship Type="http://schemas.openxmlformats.org/officeDocument/2006/relationships/hyperlink" Id="rId23" Target="https://legacy.quran.com/37/99-111#:~:text=Image%3A%2037%3A100" TargetMode="External" /><Relationship Type="http://schemas.openxmlformats.org/officeDocument/2006/relationships/hyperlink" Id="rId24" Target="https://legacy.quran.com/37/99-111#:~:text=Image%3A%2037%3A101" TargetMode="External" /><Relationship Type="http://schemas.openxmlformats.org/officeDocument/2006/relationships/hyperlink" Id="rId27" Target="https://legacy.quran.com/37/99-111#:~:text=Image%3A%2037%3A102" TargetMode="External" /><Relationship Type="http://schemas.openxmlformats.org/officeDocument/2006/relationships/hyperlink" Id="rId30" Target="https://legacy.quran.com/37/99-111#:~:text=Image%3A%2037%3A105" TargetMode="External" /><Relationship Type="http://schemas.openxmlformats.org/officeDocument/2006/relationships/hyperlink" Id="rId32" Target="https://legacy.quran.com/37/99-111#:~:text=Image%3A%2037%3A107" TargetMode="External" /><Relationship Type="http://schemas.openxmlformats.org/officeDocument/2006/relationships/hyperlink" Id="rId33" Target="https://legacy.quran.com/37/99-111#:~:text=Image%3A%2037%3A109" TargetMode="External" /><Relationship Type="http://schemas.openxmlformats.org/officeDocument/2006/relationships/hyperlink" Id="rId34" Target="https://legacy.quran.com/37/99-111#:~:text=Image%3A%2037%3A111" TargetMode="External" /><Relationship Type="http://schemas.openxmlformats.org/officeDocument/2006/relationships/hyperlink" Id="rId22" Target="https://legacy.quran.com/37/99-111#:~:text=Sahih%20International" TargetMode="External" /><Relationship Type="http://schemas.openxmlformats.org/officeDocument/2006/relationships/hyperlink" Id="rId58" Target="https://legacy.quran.com/5/32-33" TargetMode="External" /><Relationship Type="http://schemas.openxmlformats.org/officeDocument/2006/relationships/hyperlink" Id="rId21" Target="https://legacy.quran.com/5/32-33#:~:text=Because%20of%20that%2C%20We%20decreed,come%20to%20them%20with%20clear" TargetMode="External" /><Relationship Type="http://schemas.openxmlformats.org/officeDocument/2006/relationships/hyperlink" Id="rId61" Target="https://quran.com/37:102/tafsirs/en-tafsir-maarif-ul-quran" TargetMode="External" /><Relationship Type="http://schemas.openxmlformats.org/officeDocument/2006/relationships/hyperlink" Id="rId29" Target="https://quran.com/37:102/tafsirs/en-tafsir-maarif-ul-quran#:~:text=In%20addition%20to%20that%2C%20the,set%20for%20it%20literally%20and" TargetMode="External" /><Relationship Type="http://schemas.openxmlformats.org/officeDocument/2006/relationships/hyperlink" Id="rId28" Target="https://quran.com/37:102/tafsirs/en-tafsir-maarif-ul-quran#:~:text=In%20verse%20102%2C%20it%20was,command%20could%20have%20been%20revealed" TargetMode="External" /><Relationship Type="http://schemas.openxmlformats.org/officeDocument/2006/relationships/hyperlink" Id="rId52" Target="https://quran.com/37:102/tafsirs/en-tafsir-maarif-ul-quran#:~:text=himself%20was%20bound%20to%20rise,and" TargetMode="External" /><Relationship Type="http://schemas.openxmlformats.org/officeDocument/2006/relationships/hyperlink" Id="rId64" Target="https://quran.com/en/37:99/tafsirs/en-tafsir-maarif-ul-quran" TargetMode="External" /><Relationship Type="http://schemas.openxmlformats.org/officeDocument/2006/relationships/hyperlink" Id="rId50" Target="https://quran.com/en/37:99/tafsirs/en-tafsir-maarif-ul-quran#:~:text=The%20first%20verse%20,accompanied%20by%20his%20blessed%20wife" TargetMode="External" /><Relationship Type="http://schemas.openxmlformats.org/officeDocument/2006/relationships/hyperlink" Id="rId62" Target="https://www.biblegateway.com/passage/?search=Genesis%2022&amp;version=NIV" TargetMode="External" /><Relationship Type="http://schemas.openxmlformats.org/officeDocument/2006/relationships/hyperlink" Id="rId40" Target="https://www.biblegateway.com/passage/?search=Genesis%2022&amp;version=NIV#:~:text=15%C2%A0The%20angel%20of%20the%20Lord,%E2%80%9D%28AO" TargetMode="External" /><Relationship Type="http://schemas.openxmlformats.org/officeDocument/2006/relationships/hyperlink" Id="rId36" Target="https://www.biblegateway.com/passage/?search=Genesis%2022&amp;version=NIV#:~:text=2%C2%A0Then%20God%20said%2C%20%E2%80%9CTake%20your,F%29%E2%80%9D" TargetMode="External" /><Relationship Type="http://schemas.openxmlformats.org/officeDocument/2006/relationships/hyperlink" Id="rId39" Target="https://www.biblegateway.com/passage/?search=Genesis%2022&amp;version=NIV#:~:text=8%C2%A0Abraham%20answered%2C%20%E2%80%9CGod%20himself%20will,of%20them%20went%20on%20together" TargetMode="External" /><Relationship Type="http://schemas.openxmlformats.org/officeDocument/2006/relationships/hyperlink" Id="rId37" Target="https://www.biblegateway.com/passage/?search=Genesis%2022&amp;version=NIV#:~:text=9%C2%A0When%20they%20reached%20the%20place,V" TargetMode="External" /><Relationship Type="http://schemas.openxmlformats.org/officeDocument/2006/relationships/hyperlink" Id="rId38" Target="https://www.biblegateway.com/passage/?search=Genesis%2022&amp;version=NIV#:~:text=only%20son" TargetMode="External" /><Relationship Type="http://schemas.openxmlformats.org/officeDocument/2006/relationships/hyperlink" Id="rId60" Target="https://www.britannica.com/topic/Eid-al-Adha" TargetMode="External" /><Relationship Type="http://schemas.openxmlformats.org/officeDocument/2006/relationships/hyperlink" Id="rId45" Target="https://www.britannica.com/topic/Eid-al-Adha#:~:text=Abraham%20passes%20the%20test%20of,testing%20and%20submission%20to%20God" TargetMode="External" /><Relationship Type="http://schemas.openxmlformats.org/officeDocument/2006/relationships/hyperlink" Id="rId42" Target="https://www.britannica.com/topic/Eid-al-Adha#:~:text=Eid%20al,act%20of%20obedience%20to%20God" TargetMode="External" /><Relationship Type="http://schemas.openxmlformats.org/officeDocument/2006/relationships/hyperlink" Id="rId25" Target="https://www.britannica.com/topic/Eid-al-Adha#:~:text=Islam%2C%20as%20an%20Abrahamic%20religion,tempts%20Abraham%20to%20ignore%20God%E2%80%99s" TargetMode="External" /><Relationship Type="http://schemas.openxmlformats.org/officeDocument/2006/relationships/hyperlink" Id="rId44" Target="https://www.britannica.com/topic/Eid-al-Adha#:~:text=The%20animal%20sacrifice%20during%20Eid,poor%2C%20emphasizing%20charity%20and%20community" TargetMode="External" /><Relationship Type="http://schemas.openxmlformats.org/officeDocument/2006/relationships/hyperlink" Id="rId43" Target="https://www.britannica.com/topic/Eid-al-Adha#:~:text=What%20are%20the%20main%20practices,Adha" TargetMode="External" /><Relationship Type="http://schemas.openxmlformats.org/officeDocument/2006/relationships/hyperlink" Id="rId53" Target="https://www.britannica.com/topic/Eid-al-Adha#:~:text=but%20diverges%20from%20Judaism%20and,tempts%20Abraham%20to%20ignore%20God%E2%80%99s" TargetMode="External" /><Relationship Type="http://schemas.openxmlformats.org/officeDocument/2006/relationships/hyperlink" Id="rId63" Target="https://www.islamic-awareness.org/quran/contrad/mustrad/sacrifice.html" TargetMode="External" /><Relationship Type="http://schemas.openxmlformats.org/officeDocument/2006/relationships/hyperlink" Id="rId46" Target="https://www.islamic-awareness.org/quran/contrad/mustrad/sacrifice.html#:~:text=Image" TargetMode="External" /></Relationships>
</file>

<file path=word/_rels/footnotes.xml.rels><?xml version="1.0" encoding="UTF-8"?><Relationships xmlns="http://schemas.openxmlformats.org/package/2006/relationships"><Relationship Type="http://schemas.openxmlformats.org/officeDocument/2006/relationships/hyperlink" Id="rId65" Target="https://en.wikipedia.org/wiki/Eid_al-Adha" TargetMode="External" /><Relationship Type="http://schemas.openxmlformats.org/officeDocument/2006/relationships/hyperlink" Id="rId51" Target="https://en.wikipedia.org/wiki/Eid_al-Adha#:~:text=Urdu%20and%20Hindi,Journeys%20in%20Holy%20Lands%3A%20The" TargetMode="External" /><Relationship Type="http://schemas.openxmlformats.org/officeDocument/2006/relationships/hyperlink" Id="rId66" Target="https://knowingallah.com/en/articles/the-authorship-of-the-quran-the-words-of-a-poet-or-a-teacher/" TargetMode="External" /><Relationship Type="http://schemas.openxmlformats.org/officeDocument/2006/relationships/hyperlink" Id="rId54" Target="https://knowingallah.com/en/articles/the-authorship-of-the-quran-the-words-of-a-poet-or-a-teacher/#:~:text=,19" TargetMode="External" /><Relationship Type="http://schemas.openxmlformats.org/officeDocument/2006/relationships/hyperlink" Id="rId59" Target="https://legacy.quran.com/37/99-111" TargetMode="External" /><Relationship Type="http://schemas.openxmlformats.org/officeDocument/2006/relationships/hyperlink" Id="rId48" Target="https://legacy.quran.com/37/99-111#:~:text=37%3A109" TargetMode="External" /><Relationship Type="http://schemas.openxmlformats.org/officeDocument/2006/relationships/hyperlink" Id="rId23" Target="https://legacy.quran.com/37/99-111#:~:text=Image%3A%2037%3A100" TargetMode="External" /><Relationship Type="http://schemas.openxmlformats.org/officeDocument/2006/relationships/hyperlink" Id="rId24" Target="https://legacy.quran.com/37/99-111#:~:text=Image%3A%2037%3A101" TargetMode="External" /><Relationship Type="http://schemas.openxmlformats.org/officeDocument/2006/relationships/hyperlink" Id="rId27" Target="https://legacy.quran.com/37/99-111#:~:text=Image%3A%2037%3A102" TargetMode="External" /><Relationship Type="http://schemas.openxmlformats.org/officeDocument/2006/relationships/hyperlink" Id="rId30" Target="https://legacy.quran.com/37/99-111#:~:text=Image%3A%2037%3A105" TargetMode="External" /><Relationship Type="http://schemas.openxmlformats.org/officeDocument/2006/relationships/hyperlink" Id="rId32" Target="https://legacy.quran.com/37/99-111#:~:text=Image%3A%2037%3A107" TargetMode="External" /><Relationship Type="http://schemas.openxmlformats.org/officeDocument/2006/relationships/hyperlink" Id="rId33" Target="https://legacy.quran.com/37/99-111#:~:text=Image%3A%2037%3A109" TargetMode="External" /><Relationship Type="http://schemas.openxmlformats.org/officeDocument/2006/relationships/hyperlink" Id="rId34" Target="https://legacy.quran.com/37/99-111#:~:text=Image%3A%2037%3A111" TargetMode="External" /><Relationship Type="http://schemas.openxmlformats.org/officeDocument/2006/relationships/hyperlink" Id="rId22" Target="https://legacy.quran.com/37/99-111#:~:text=Sahih%20International" TargetMode="External" /><Relationship Type="http://schemas.openxmlformats.org/officeDocument/2006/relationships/hyperlink" Id="rId58" Target="https://legacy.quran.com/5/32-33" TargetMode="External" /><Relationship Type="http://schemas.openxmlformats.org/officeDocument/2006/relationships/hyperlink" Id="rId21" Target="https://legacy.quran.com/5/32-33#:~:text=Because%20of%20that%2C%20We%20decreed,come%20to%20them%20with%20clear" TargetMode="External" /><Relationship Type="http://schemas.openxmlformats.org/officeDocument/2006/relationships/hyperlink" Id="rId61" Target="https://quran.com/37:102/tafsirs/en-tafsir-maarif-ul-quran" TargetMode="External" /><Relationship Type="http://schemas.openxmlformats.org/officeDocument/2006/relationships/hyperlink" Id="rId29" Target="https://quran.com/37:102/tafsirs/en-tafsir-maarif-ul-quran#:~:text=In%20addition%20to%20that%2C%20the,set%20for%20it%20literally%20and" TargetMode="External" /><Relationship Type="http://schemas.openxmlformats.org/officeDocument/2006/relationships/hyperlink" Id="rId28" Target="https://quran.com/37:102/tafsirs/en-tafsir-maarif-ul-quran#:~:text=In%20verse%20102%2C%20it%20was,command%20could%20have%20been%20revealed" TargetMode="External" /><Relationship Type="http://schemas.openxmlformats.org/officeDocument/2006/relationships/hyperlink" Id="rId52" Target="https://quran.com/37:102/tafsirs/en-tafsir-maarif-ul-quran#:~:text=himself%20was%20bound%20to%20rise,and" TargetMode="External" /><Relationship Type="http://schemas.openxmlformats.org/officeDocument/2006/relationships/hyperlink" Id="rId64" Target="https://quran.com/en/37:99/tafsirs/en-tafsir-maarif-ul-quran" TargetMode="External" /><Relationship Type="http://schemas.openxmlformats.org/officeDocument/2006/relationships/hyperlink" Id="rId50" Target="https://quran.com/en/37:99/tafsirs/en-tafsir-maarif-ul-quran#:~:text=The%20first%20verse%20,accompanied%20by%20his%20blessed%20wife" TargetMode="External" /><Relationship Type="http://schemas.openxmlformats.org/officeDocument/2006/relationships/hyperlink" Id="rId62" Target="https://www.biblegateway.com/passage/?search=Genesis%2022&amp;version=NIV" TargetMode="External" /><Relationship Type="http://schemas.openxmlformats.org/officeDocument/2006/relationships/hyperlink" Id="rId40" Target="https://www.biblegateway.com/passage/?search=Genesis%2022&amp;version=NIV#:~:text=15%C2%A0The%20angel%20of%20the%20Lord,%E2%80%9D%28AO" TargetMode="External" /><Relationship Type="http://schemas.openxmlformats.org/officeDocument/2006/relationships/hyperlink" Id="rId36" Target="https://www.biblegateway.com/passage/?search=Genesis%2022&amp;version=NIV#:~:text=2%C2%A0Then%20God%20said%2C%20%E2%80%9CTake%20your,F%29%E2%80%9D" TargetMode="External" /><Relationship Type="http://schemas.openxmlformats.org/officeDocument/2006/relationships/hyperlink" Id="rId39" Target="https://www.biblegateway.com/passage/?search=Genesis%2022&amp;version=NIV#:~:text=8%C2%A0Abraham%20answered%2C%20%E2%80%9CGod%20himself%20will,of%20them%20went%20on%20together" TargetMode="External" /><Relationship Type="http://schemas.openxmlformats.org/officeDocument/2006/relationships/hyperlink" Id="rId37" Target="https://www.biblegateway.com/passage/?search=Genesis%2022&amp;version=NIV#:~:text=9%C2%A0When%20they%20reached%20the%20place,V" TargetMode="External" /><Relationship Type="http://schemas.openxmlformats.org/officeDocument/2006/relationships/hyperlink" Id="rId38" Target="https://www.biblegateway.com/passage/?search=Genesis%2022&amp;version=NIV#:~:text=only%20son" TargetMode="External" /><Relationship Type="http://schemas.openxmlformats.org/officeDocument/2006/relationships/hyperlink" Id="rId60" Target="https://www.britannica.com/topic/Eid-al-Adha" TargetMode="External" /><Relationship Type="http://schemas.openxmlformats.org/officeDocument/2006/relationships/hyperlink" Id="rId45" Target="https://www.britannica.com/topic/Eid-al-Adha#:~:text=Abraham%20passes%20the%20test%20of,testing%20and%20submission%20to%20God" TargetMode="External" /><Relationship Type="http://schemas.openxmlformats.org/officeDocument/2006/relationships/hyperlink" Id="rId42" Target="https://www.britannica.com/topic/Eid-al-Adha#:~:text=Eid%20al,act%20of%20obedience%20to%20God" TargetMode="External" /><Relationship Type="http://schemas.openxmlformats.org/officeDocument/2006/relationships/hyperlink" Id="rId25" Target="https://www.britannica.com/topic/Eid-al-Adha#:~:text=Islam%2C%20as%20an%20Abrahamic%20religion,tempts%20Abraham%20to%20ignore%20God%E2%80%99s" TargetMode="External" /><Relationship Type="http://schemas.openxmlformats.org/officeDocument/2006/relationships/hyperlink" Id="rId44" Target="https://www.britannica.com/topic/Eid-al-Adha#:~:text=The%20animal%20sacrifice%20during%20Eid,poor%2C%20emphasizing%20charity%20and%20community" TargetMode="External" /><Relationship Type="http://schemas.openxmlformats.org/officeDocument/2006/relationships/hyperlink" Id="rId43" Target="https://www.britannica.com/topic/Eid-al-Adha#:~:text=What%20are%20the%20main%20practices,Adha" TargetMode="External" /><Relationship Type="http://schemas.openxmlformats.org/officeDocument/2006/relationships/hyperlink" Id="rId53" Target="https://www.britannica.com/topic/Eid-al-Adha#:~:text=but%20diverges%20from%20Judaism%20and,tempts%20Abraham%20to%20ignore%20God%E2%80%99s" TargetMode="External" /><Relationship Type="http://schemas.openxmlformats.org/officeDocument/2006/relationships/hyperlink" Id="rId63" Target="https://www.islamic-awareness.org/quran/contrad/mustrad/sacrifice.html" TargetMode="External" /><Relationship Type="http://schemas.openxmlformats.org/officeDocument/2006/relationships/hyperlink" Id="rId46" Target="https://www.islamic-awareness.org/quran/contrad/mustrad/sacrifice.html#:~:text=Imag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2026-05-23T01:49:42Z</dcterms:created>
  <dcterms:modified xsi:type="dcterms:W3CDTF">2026-05-23T01:49:42Z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