
<file path=[Content_Types].xml><?xml version="1.0" encoding="utf-8"?>
<Types xmlns="http://schemas.openxmlformats.org/package/2006/content-types">
  <Default Extension="xml" ContentType="application/xml"/>
  <Default Extension="rels" ContentType="application/vnd.openxmlformats-package.relationships+xml"/>
  <Default Extension="odttf" ContentType="application/vnd.openxmlformats-officedocument.obfuscatedFont"/>
  <Override PartName="/word/webSettings.xml" ContentType="application/vnd.openxmlformats-officedocument.wordprocessingml.webSetting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styles.xml" ContentType="application/vnd.openxmlformats-officedocument.wordprocessingml.styles+xml"/>
  <Override PartName="/word/document.xml" ContentType="application/vnd.openxmlformats-officedocument.wordprocessingml.document.main+xml"/>
  <Override PartName="/word/comments.xml" ContentType="application/vnd.openxmlformats-officedocument.wordprocessingml.comments+xml"/>
  <Override PartName="/word/footnotes.xml" ContentType="application/vnd.openxmlformats-officedocument.wordprocessingml.footnotes+xml"/>
</Types>
</file>

<file path=_rels/.rels><?xml version="1.0" encoding="UTF-8"?><Relationships xmlns="http://schemas.openxmlformats.org/package/2006/relationships"><Relationship Id="rId1" Type="http://schemas.openxmlformats.org/officeDocument/2006/relationships/officeDocument" Target="word/document.xml" /><Relationship Id="rId4" Type="http://schemas.openxmlformats.org/officeDocument/2006/relationships/extended-properties" Target="docProps/app.xml" /><Relationship Id="rId3" Type="http://schemas.openxmlformats.org/package/2006/relationships/metadata/core-properties" Target="docProps/core.xml" /><Relationship Id="rId5" Type="http://schemas.openxmlformats.org/officeDocument/2006/relationships/custom-properties" Target="docProps/custom.xml" /></Relationships>
</file>

<file path=word/document.xml><?xml version="1.0" encoding="utf-8"?>
<w:document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body>
    <w:bookmarkStart w:id="20" w:name="header"/>
    <w:bookmarkEnd w:id="20"/>
    <w:bookmarkStart w:id="64" w:name="content"/>
    <w:bookmarkStart w:id="63" w:name="commentary-on-the-opening-of-ash-shuara"/>
    <w:p>
      <w:pPr>
        <w:pStyle w:val="Heading1"/>
      </w:pPr>
      <w:r>
        <w:t xml:space="preserve">Commentary on the Opening of Ash-Shu‘ara</w:t>
      </w:r>
    </w:p>
    <w:bookmarkStart w:id="22" w:name="abstract"/>
    <w:p>
      <w:pPr>
        <w:pStyle w:val="Heading2"/>
      </w:pPr>
      <w:r>
        <w:t xml:space="preserve">Abstract</w:t>
      </w:r>
    </w:p>
    <w:p>
      <w:pPr>
        <w:pStyle w:val="FirstParagraph"/>
      </w:pPr>
      <w:r>
        <w:t xml:space="preserve">This commentary examines Qur’anic passage 26:1–9 through three complementary lenses: theology (revelation, mercy, and moral agency), philosophy (the epistemology of “signs” as invitations to understanding rather than coercion), and science (botanical diversity as a locus of wonder and responsibility). The section that most directly engages the natural world—26:7–9—deploys the earth’s fecundity as an</w:t>
      </w:r>
      <w:r>
        <w:t xml:space="preserve"> </w:t>
      </w:r>
      <w:r>
        <w:rPr>
          <w:i/>
          <w:iCs/>
        </w:rPr>
        <w:t xml:space="preserve">āyah</w:t>
      </w:r>
      <w:r>
        <w:t xml:space="preserve"> </w:t>
      </w:r>
      <w:r>
        <w:t xml:space="preserve">(a “sign”), moving from observation (“look at the earth”) to interpretation (“in that is a sign”) to divine naming (“the Almighty, the Merciful”). Read alongside related plant-and-fruit passages (especially 6:95 and 6:99), the Qur’an’s rhetoric treats vegetation not as ornament but as a pedagogical medium, training the attentive mind to recognize abundance, differentiation, and vulnerability. Contemporary botany—showing an immense and still partially unmapped diversity of land plants, with a striking proportion of species exceedingly rare—can deepen the intellectual and ethical weight of this Qur’anic summons to look.</w:t>
      </w:r>
      <w:r>
        <w:t xml:space="preserve"> </w:t>
      </w:r>
      <w:hyperlink r:id="rId21">
        <w:r>
          <w:rPr>
            <w:rStyle w:val="Hyperlink"/>
          </w:rPr>
          <w:t xml:space="preserve">[1]</w:t>
        </w:r>
      </w:hyperlink>
    </w:p>
    <w:bookmarkEnd w:id="22"/>
    <w:bookmarkStart w:id="27" w:name="X58f61e1a3092ccf3b0332bae77cc5b39fe8c6d2"/>
    <w:p>
      <w:pPr>
        <w:pStyle w:val="Heading2"/>
      </w:pPr>
      <w:r>
        <w:t xml:space="preserve">The passage in Arabic and in Muhammad Abdel Haleem’s translation</w:t>
      </w:r>
    </w:p>
    <w:p>
      <w:pPr>
        <w:pStyle w:val="FirstParagraph"/>
      </w:pPr>
      <w:r>
        <w:t xml:space="preserve">The Arabic text below is given in a widely used Qur’anic orthography; orthographic conventions (e.g., diacritics, elongation marks) can vary slightly across prints and digital editions while the consonantal text remains stable.</w:t>
      </w:r>
      <w:r>
        <w:t xml:space="preserve"> </w:t>
      </w:r>
      <w:hyperlink r:id="rId23">
        <w:r>
          <w:rPr>
            <w:rStyle w:val="Hyperlink"/>
          </w:rPr>
          <w:t xml:space="preserve">[2]</w:t>
        </w:r>
      </w:hyperlink>
    </w:p>
    <w:p>
      <w:pPr>
        <w:pStyle w:val="BlockText"/>
      </w:pPr>
      <w:r>
        <w:rPr>
          <w:b/>
          <w:bCs/>
        </w:rPr>
        <w:t xml:space="preserve">26:1</w:t>
      </w:r>
      <w:r>
        <w:br/>
      </w:r>
      <w:r>
        <w:t xml:space="preserve">طسٓمٓ</w:t>
      </w:r>
      <w:r>
        <w:br/>
      </w:r>
      <w:r>
        <w:rPr>
          <w:b/>
          <w:bCs/>
        </w:rPr>
        <w:t xml:space="preserve">“Ta Sin Mi”</w:t>
      </w:r>
      <w:r>
        <w:t xml:space="preserve"> </w:t>
      </w:r>
      <w:hyperlink r:id="rId23">
        <w:r>
          <w:rPr>
            <w:rStyle w:val="Hyperlink"/>
          </w:rPr>
          <w:t xml:space="preserve">[3]</w:t>
        </w:r>
      </w:hyperlink>
    </w:p>
    <w:p>
      <w:pPr>
        <w:pStyle w:val="BlockText"/>
      </w:pPr>
      <w:r>
        <w:rPr>
          <w:b/>
          <w:bCs/>
        </w:rPr>
        <w:t xml:space="preserve">26:2</w:t>
      </w:r>
      <w:r>
        <w:br/>
      </w:r>
      <w:r>
        <w:t xml:space="preserve">تِلۡكَ ءَايَٰتُ ٱلۡكِتَٰبِ ٱلۡمُبِينِ</w:t>
      </w:r>
      <w:r>
        <w:br/>
      </w:r>
      <w:r>
        <w:rPr>
          <w:b/>
          <w:bCs/>
        </w:rPr>
        <w:t xml:space="preserve">“These are the verses of the Scripture that makes things clear”</w:t>
      </w:r>
      <w:r>
        <w:t xml:space="preserve"> </w:t>
      </w:r>
      <w:hyperlink r:id="rId23">
        <w:r>
          <w:rPr>
            <w:rStyle w:val="Hyperlink"/>
          </w:rPr>
          <w:t xml:space="preserve">[3]</w:t>
        </w:r>
      </w:hyperlink>
    </w:p>
    <w:p>
      <w:pPr>
        <w:pStyle w:val="BlockText"/>
      </w:pPr>
      <w:r>
        <w:rPr>
          <w:b/>
          <w:bCs/>
        </w:rPr>
        <w:t xml:space="preserve">26:3</w:t>
      </w:r>
      <w:r>
        <w:br/>
      </w:r>
      <w:r>
        <w:t xml:space="preserve">لَعَلَّكَ بَٰخِعٌۭ نَّفۡسَكَ أَلَّا يَكُونُوا۟ مُؤۡمِنِينَ</w:t>
      </w:r>
      <w:r>
        <w:br/>
      </w:r>
      <w:r>
        <w:rPr>
          <w:b/>
          <w:bCs/>
        </w:rPr>
        <w:t xml:space="preserve">“[Prophet], are you going to worry yourself to death because they will not believe”</w:t>
      </w:r>
      <w:r>
        <w:t xml:space="preserve"> </w:t>
      </w:r>
      <w:hyperlink r:id="rId23">
        <w:r>
          <w:rPr>
            <w:rStyle w:val="Hyperlink"/>
          </w:rPr>
          <w:t xml:space="preserve">[3]</w:t>
        </w:r>
      </w:hyperlink>
    </w:p>
    <w:p>
      <w:pPr>
        <w:pStyle w:val="BlockText"/>
      </w:pPr>
      <w:r>
        <w:rPr>
          <w:b/>
          <w:bCs/>
        </w:rPr>
        <w:t xml:space="preserve">26:4</w:t>
      </w:r>
      <w:r>
        <w:br/>
      </w:r>
      <w:r>
        <w:t xml:space="preserve">إِن نَّشَأۡ نُنَزِّلۡ عَلَيۡهِم مِّنَ ٱلسَّمَآءِ ءَايَةً فَظَلَّتۡ أَعۡنَٰقُهُمۡ لَهَا خَٰضِعِينَ</w:t>
      </w:r>
      <w:r>
        <w:br/>
      </w:r>
      <w:r>
        <w:rPr>
          <w:b/>
          <w:bCs/>
        </w:rPr>
        <w:t xml:space="preserve">“If We had wished, We could have sent them down a sign from heaven, at which their necks would stay bowed in utter humility”</w:t>
      </w:r>
      <w:r>
        <w:t xml:space="preserve"> </w:t>
      </w:r>
      <w:hyperlink r:id="rId23">
        <w:r>
          <w:rPr>
            <w:rStyle w:val="Hyperlink"/>
          </w:rPr>
          <w:t xml:space="preserve">[3]</w:t>
        </w:r>
      </w:hyperlink>
    </w:p>
    <w:p>
      <w:pPr>
        <w:pStyle w:val="BlockText"/>
      </w:pPr>
      <w:r>
        <w:rPr>
          <w:b/>
          <w:bCs/>
        </w:rPr>
        <w:t xml:space="preserve">26:5</w:t>
      </w:r>
      <w:r>
        <w:br/>
      </w:r>
      <w:r>
        <w:t xml:space="preserve">وَمَا يَأۡتِيهِم مِّن ذِكۡرٍۢ مِّنَ ٱلرَّحۡمَٰنِ مُحۡدَثٍ إِلَّا كَانُوا۟ عَنۡهُ مُعۡرِضِينَ</w:t>
      </w:r>
      <w:r>
        <w:br/>
      </w:r>
      <w:r>
        <w:rPr>
          <w:b/>
          <w:bCs/>
        </w:rPr>
        <w:t xml:space="preserve">“Whenever they are brought a new revelation from the Lord of Mercy, they turn away”</w:t>
      </w:r>
      <w:r>
        <w:t xml:space="preserve"> </w:t>
      </w:r>
      <w:hyperlink r:id="rId23">
        <w:r>
          <w:rPr>
            <w:rStyle w:val="Hyperlink"/>
          </w:rPr>
          <w:t xml:space="preserve">[3]</w:t>
        </w:r>
      </w:hyperlink>
    </w:p>
    <w:p>
      <w:pPr>
        <w:pStyle w:val="BlockText"/>
      </w:pPr>
      <w:r>
        <w:rPr>
          <w:b/>
          <w:bCs/>
        </w:rPr>
        <w:t xml:space="preserve">26:6</w:t>
      </w:r>
      <w:r>
        <w:br/>
      </w:r>
      <w:r>
        <w:t xml:space="preserve">فَقَدۡ كَذَّبُوا۟ فَسَيَأۡتِيهِمۡ أَنۢبَٰٓؤُا۟ مَا كَانُوا۟ بِهِۦ يَسۡتَهۡزِءُونَ</w:t>
      </w:r>
      <w:r>
        <w:br/>
      </w:r>
      <w:r>
        <w:rPr>
          <w:b/>
          <w:bCs/>
        </w:rPr>
        <w:t xml:space="preserve">“they deny it, but the truth of what they scorned will soon hit them”</w:t>
      </w:r>
      <w:r>
        <w:t xml:space="preserve"> </w:t>
      </w:r>
      <w:hyperlink r:id="rId23">
        <w:r>
          <w:rPr>
            <w:rStyle w:val="Hyperlink"/>
          </w:rPr>
          <w:t xml:space="preserve">[3]</w:t>
        </w:r>
      </w:hyperlink>
    </w:p>
    <w:p>
      <w:pPr>
        <w:pStyle w:val="BlockText"/>
      </w:pPr>
      <w:r>
        <w:rPr>
          <w:b/>
          <w:bCs/>
        </w:rPr>
        <w:t xml:space="preserve">26:7</w:t>
      </w:r>
      <w:r>
        <w:br/>
      </w:r>
      <w:r>
        <w:t xml:space="preserve">أَوَلَمۡ يَرَوۡا۟ إِلَى ٱلۡأَرۡضِ كَمۡ أَنۢبَتۡنَا فِيهَا مِن كُلِّ زَوۡجٍۢ كَرِيمٍ</w:t>
      </w:r>
      <w:r>
        <w:br/>
      </w:r>
      <w:r>
        <w:rPr>
          <w:b/>
          <w:bCs/>
        </w:rPr>
        <w:t xml:space="preserve">“Do they not see the earth, and what noble kinds of thing We grow in it”</w:t>
      </w:r>
      <w:r>
        <w:t xml:space="preserve"> </w:t>
      </w:r>
      <w:hyperlink r:id="rId23">
        <w:r>
          <w:rPr>
            <w:rStyle w:val="Hyperlink"/>
          </w:rPr>
          <w:t xml:space="preserve">[3]</w:t>
        </w:r>
      </w:hyperlink>
    </w:p>
    <w:p>
      <w:pPr>
        <w:pStyle w:val="BlockText"/>
      </w:pPr>
      <w:r>
        <w:rPr>
          <w:b/>
          <w:bCs/>
        </w:rPr>
        <w:t xml:space="preserve">26:8</w:t>
      </w:r>
      <w:r>
        <w:br/>
      </w:r>
      <w:r>
        <w:t xml:space="preserve">إِنَّ فِى ذَٰلِكَ لَءَايَةًۭ ۖ وَمَا كَانَ أَكۡثَرُهُم مُّؤۡمِنِينَ</w:t>
      </w:r>
      <w:r>
        <w:br/>
      </w:r>
      <w:r>
        <w:rPr>
          <w:b/>
          <w:bCs/>
        </w:rPr>
        <w:t xml:space="preserve">“There truly is a sign in this, though most of them do not believe”</w:t>
      </w:r>
      <w:r>
        <w:t xml:space="preserve"> </w:t>
      </w:r>
      <w:hyperlink r:id="rId23">
        <w:r>
          <w:rPr>
            <w:rStyle w:val="Hyperlink"/>
          </w:rPr>
          <w:t xml:space="preserve">[3]</w:t>
        </w:r>
      </w:hyperlink>
    </w:p>
    <w:p>
      <w:pPr>
        <w:pStyle w:val="BlockText"/>
      </w:pPr>
      <w:r>
        <w:rPr>
          <w:b/>
          <w:bCs/>
        </w:rPr>
        <w:t xml:space="preserve">26:9</w:t>
      </w:r>
      <w:r>
        <w:br/>
      </w:r>
      <w:r>
        <w:t xml:space="preserve">وَإِنَّ رَبَّكَ لَهُوَ ٱلۡعَزِيزُ ٱلرَّحِيمُ</w:t>
      </w:r>
      <w:r>
        <w:br/>
      </w:r>
      <w:r>
        <w:rPr>
          <w:b/>
          <w:bCs/>
        </w:rPr>
        <w:t xml:space="preserve">“your Lord alone is the Almighty, the Merciful”</w:t>
      </w:r>
      <w:r>
        <w:t xml:space="preserve"> </w:t>
      </w:r>
      <w:hyperlink r:id="rId23">
        <w:r>
          <w:rPr>
            <w:rStyle w:val="Hyperlink"/>
          </w:rPr>
          <w:t xml:space="preserve">[3]</w:t>
        </w:r>
      </w:hyperlink>
    </w:p>
    <w:p>
      <w:pPr>
        <w:pStyle w:val="FirstParagraph"/>
      </w:pPr>
      <w:r>
        <w:t xml:space="preserve">For context on the translator: Muhammad Abdel-Haleem</w:t>
      </w:r>
      <w:hyperlink r:id="rId24">
        <w:r>
          <w:rPr>
            <w:rStyle w:val="Hyperlink"/>
          </w:rPr>
          <w:t xml:space="preserve">[4]</w:t>
        </w:r>
      </w:hyperlink>
      <w:r>
        <w:t xml:space="preserve"> </w:t>
      </w:r>
      <w:r>
        <w:t xml:space="preserve">is a scholar associated with SOAS University of London</w:t>
      </w:r>
      <w:hyperlink r:id="rId25">
        <w:r>
          <w:rPr>
            <w:rStyle w:val="Hyperlink"/>
          </w:rPr>
          <w:t xml:space="preserve">[5]</w:t>
        </w:r>
      </w:hyperlink>
      <w:r>
        <w:t xml:space="preserve">, and his translation has circulated widely in contemporary Qur’anic studies and general readership.</w:t>
      </w:r>
      <w:r>
        <w:t xml:space="preserve"> </w:t>
      </w:r>
      <w:hyperlink r:id="rId26">
        <w:r>
          <w:rPr>
            <w:rStyle w:val="Hyperlink"/>
          </w:rPr>
          <w:t xml:space="preserve">[6]</w:t>
        </w:r>
      </w:hyperlink>
    </w:p>
    <w:bookmarkEnd w:id="27"/>
    <w:bookmarkStart w:id="28" w:name="X74769f37eebe8ae50eea584915c38ac54b82c4a"/>
    <w:p>
      <w:pPr>
        <w:pStyle w:val="Heading2"/>
      </w:pPr>
      <w:r>
        <w:t xml:space="preserve">Theological and literary architecture of the passage</w:t>
      </w:r>
    </w:p>
    <w:p>
      <w:pPr>
        <w:pStyle w:val="FirstParagraph"/>
      </w:pPr>
      <w:r>
        <w:t xml:space="preserve">The passage moves in three compressions: the</w:t>
      </w:r>
      <w:r>
        <w:t xml:space="preserve"> </w:t>
      </w:r>
      <w:r>
        <w:rPr>
          <w:i/>
          <w:iCs/>
        </w:rPr>
        <w:t xml:space="preserve">mysterious opening letters</w:t>
      </w:r>
      <w:r>
        <w:t xml:space="preserve"> </w:t>
      </w:r>
      <w:r>
        <w:t xml:space="preserve">(26:1), the</w:t>
      </w:r>
      <w:r>
        <w:t xml:space="preserve"> </w:t>
      </w:r>
      <w:r>
        <w:rPr>
          <w:i/>
          <w:iCs/>
        </w:rPr>
        <w:t xml:space="preserve">clarity claim</w:t>
      </w:r>
      <w:r>
        <w:t xml:space="preserve"> </w:t>
      </w:r>
      <w:r>
        <w:t xml:space="preserve">about scripture (26:2), and then an intensely human prophetic posture—anguish in the face of rejection (26:3). The rhetorical pressure of 26:3 is not merely biographical; it reveals a theology of prophetic concern in which guidance is not a cold transmission of propositions but a lived burden. Abdel Haleem’s rendering (“worry yourself to death”) foregrounds the pathos and the moral seriousness of disbelief as a self-wounding refusal.</w:t>
      </w:r>
      <w:r>
        <w:t xml:space="preserve"> </w:t>
      </w:r>
      <w:hyperlink r:id="rId21">
        <w:r>
          <w:rPr>
            <w:rStyle w:val="Hyperlink"/>
          </w:rPr>
          <w:t xml:space="preserve">[7]</w:t>
        </w:r>
      </w:hyperlink>
    </w:p>
    <w:p>
      <w:pPr>
        <w:pStyle w:val="BodyText"/>
      </w:pPr>
      <w:r>
        <w:t xml:space="preserve">Verse 26:4 is pivotal because it names an alternative mode of divine “proof”: God could send down a “sign from heaven” that would compel bodily submission (“necks… bowed in utter humility”), yet God does not select that coercive route in the ordinary economy of revelation. Theologically, the verse frames compulsion as</w:t>
      </w:r>
      <w:r>
        <w:t xml:space="preserve"> </w:t>
      </w:r>
      <w:r>
        <w:rPr>
          <w:i/>
          <w:iCs/>
        </w:rPr>
        <w:t xml:space="preserve">possible</w:t>
      </w:r>
      <w:r>
        <w:t xml:space="preserve"> </w:t>
      </w:r>
      <w:r>
        <w:t xml:space="preserve">but not</w:t>
      </w:r>
      <w:r>
        <w:t xml:space="preserve"> </w:t>
      </w:r>
      <w:r>
        <w:rPr>
          <w:i/>
          <w:iCs/>
        </w:rPr>
        <w:t xml:space="preserve">normative</w:t>
      </w:r>
      <w:r>
        <w:t xml:space="preserve">, strongly implying that the divine pedagogy aims at a freely responsive recognition rather than forced compliance.</w:t>
      </w:r>
      <w:r>
        <w:t xml:space="preserve"> </w:t>
      </w:r>
      <w:hyperlink r:id="rId21">
        <w:r>
          <w:rPr>
            <w:rStyle w:val="Hyperlink"/>
          </w:rPr>
          <w:t xml:space="preserve">[7]</w:t>
        </w:r>
      </w:hyperlink>
    </w:p>
    <w:p>
      <w:pPr>
        <w:pStyle w:val="BodyText"/>
      </w:pPr>
      <w:r>
        <w:t xml:space="preserve">Verses 26:5–6 deepen this by describing revelation as</w:t>
      </w:r>
      <w:r>
        <w:t xml:space="preserve"> </w:t>
      </w:r>
      <w:r>
        <w:rPr>
          <w:i/>
          <w:iCs/>
        </w:rPr>
        <w:t xml:space="preserve">renewed</w:t>
      </w:r>
      <w:r>
        <w:t xml:space="preserve"> </w:t>
      </w:r>
      <w:r>
        <w:t xml:space="preserve">(“a new revelation from the Lord of Mercy”), while the listeners’ posture is repetitively negative (“they turn away… they deny it”). The result is a moral epistemology: rejection is not presented as mere ignorance but as habituated aversion. The warning is not only future punishment but future disclosure—“the truth of what they scorned will soon hit them”—a theme of reality catching up with ridicule.</w:t>
      </w:r>
      <w:r>
        <w:t xml:space="preserve"> </w:t>
      </w:r>
      <w:hyperlink r:id="rId21">
        <w:r>
          <w:rPr>
            <w:rStyle w:val="Hyperlink"/>
          </w:rPr>
          <w:t xml:space="preserve">[7]</w:t>
        </w:r>
      </w:hyperlink>
    </w:p>
    <w:p>
      <w:pPr>
        <w:pStyle w:val="BodyText"/>
      </w:pPr>
      <w:r>
        <w:t xml:space="preserve">The passage then “turns the camera” from the sky to the soil: 26:7–9 invites attention to the earth’s generativity, and it ends by uniting two divine names that can seem, to a superficial gaze, in tension:</w:t>
      </w:r>
      <w:r>
        <w:t xml:space="preserve"> </w:t>
      </w:r>
      <w:r>
        <w:rPr>
          <w:i/>
          <w:iCs/>
        </w:rPr>
        <w:t xml:space="preserve">power</w:t>
      </w:r>
      <w:r>
        <w:t xml:space="preserve"> </w:t>
      </w:r>
      <w:r>
        <w:t xml:space="preserve">(al-ʿAzīz) and</w:t>
      </w:r>
      <w:r>
        <w:t xml:space="preserve"> </w:t>
      </w:r>
      <w:r>
        <w:rPr>
          <w:i/>
          <w:iCs/>
        </w:rPr>
        <w:t xml:space="preserve">mercy</w:t>
      </w:r>
      <w:r>
        <w:t xml:space="preserve"> </w:t>
      </w:r>
      <w:r>
        <w:t xml:space="preserve">(al-Raḥīm). The theological suggestion is subtle: the world’s fertility is not only an index of power but also a medium of mercy, since it sustains embodied life, culture, and gratitude.</w:t>
      </w:r>
      <w:r>
        <w:t xml:space="preserve"> </w:t>
      </w:r>
      <w:hyperlink r:id="rId21">
        <w:r>
          <w:rPr>
            <w:rStyle w:val="Hyperlink"/>
          </w:rPr>
          <w:t xml:space="preserve">[7]</w:t>
        </w:r>
      </w:hyperlink>
    </w:p>
    <w:bookmarkEnd w:id="28"/>
    <w:bookmarkStart w:id="30" w:name="signs-knowledge-and-moral-agency"/>
    <w:p>
      <w:pPr>
        <w:pStyle w:val="Heading2"/>
      </w:pPr>
      <w:r>
        <w:t xml:space="preserve">Signs, knowledge, and moral agency</w:t>
      </w:r>
    </w:p>
    <w:p>
      <w:pPr>
        <w:pStyle w:val="FirstParagraph"/>
      </w:pPr>
      <w:r>
        <w:t xml:space="preserve">A philosophical key to this passage is the Qur’anic word</w:t>
      </w:r>
      <w:r>
        <w:t xml:space="preserve"> </w:t>
      </w:r>
      <w:r>
        <w:rPr>
          <w:i/>
          <w:iCs/>
        </w:rPr>
        <w:t xml:space="preserve">āyah</w:t>
      </w:r>
      <w:r>
        <w:t xml:space="preserve">—a term that can signify both a</w:t>
      </w:r>
      <w:r>
        <w:t xml:space="preserve"> </w:t>
      </w:r>
      <w:r>
        <w:rPr>
          <w:i/>
          <w:iCs/>
        </w:rPr>
        <w:t xml:space="preserve">verse</w:t>
      </w:r>
      <w:r>
        <w:t xml:space="preserve"> </w:t>
      </w:r>
      <w:r>
        <w:t xml:space="preserve">of scripture and a</w:t>
      </w:r>
      <w:r>
        <w:t xml:space="preserve"> </w:t>
      </w:r>
      <w:r>
        <w:rPr>
          <w:i/>
          <w:iCs/>
        </w:rPr>
        <w:t xml:space="preserve">sign</w:t>
      </w:r>
      <w:r>
        <w:t xml:space="preserve"> </w:t>
      </w:r>
      <w:r>
        <w:t xml:space="preserve">in the world. This dual meaning collapses the distance between text and cosmos: the written “sign” trains the reader to see the created “sign,” and the created “sign” in turn validates the text’s summons to attention. Scholarly lexical work on Qur’anic “key terms” stresses precisely this polyvalence:</w:t>
      </w:r>
      <w:r>
        <w:t xml:space="preserve"> </w:t>
      </w:r>
      <w:r>
        <w:rPr>
          <w:i/>
          <w:iCs/>
        </w:rPr>
        <w:t xml:space="preserve">āyah</w:t>
      </w:r>
      <w:r>
        <w:t xml:space="preserve"> </w:t>
      </w:r>
      <w:r>
        <w:t xml:space="preserve">designates “signs” of divine power in nature and history while also referring to textual units of the Qur’an.</w:t>
      </w:r>
      <w:r>
        <w:t xml:space="preserve"> </w:t>
      </w:r>
      <w:hyperlink r:id="rId29">
        <w:r>
          <w:rPr>
            <w:rStyle w:val="Hyperlink"/>
          </w:rPr>
          <w:t xml:space="preserve">[8]</w:t>
        </w:r>
      </w:hyperlink>
    </w:p>
    <w:p>
      <w:pPr>
        <w:pStyle w:val="BodyText"/>
      </w:pPr>
      <w:r>
        <w:t xml:space="preserve">Within that framework, 26:4–8 stages an argument about what counts as evidence. There are at least two possible epistemic regimes:</w:t>
      </w:r>
    </w:p>
    <w:p>
      <w:pPr>
        <w:pStyle w:val="BodyText"/>
      </w:pPr>
      <w:r>
        <w:t xml:space="preserve">First,</w:t>
      </w:r>
      <w:r>
        <w:t xml:space="preserve"> </w:t>
      </w:r>
      <w:r>
        <w:rPr>
          <w:i/>
          <w:iCs/>
        </w:rPr>
        <w:t xml:space="preserve">coercive evidence</w:t>
      </w:r>
      <w:r>
        <w:t xml:space="preserve">: a heavenly “sign” that forces a posture of submission (26:4). Second,</w:t>
      </w:r>
      <w:r>
        <w:t xml:space="preserve"> </w:t>
      </w:r>
      <w:r>
        <w:rPr>
          <w:i/>
          <w:iCs/>
        </w:rPr>
        <w:t xml:space="preserve">interpretive evidence</w:t>
      </w:r>
      <w:r>
        <w:t xml:space="preserve">: ordinary phenomena—renewed revelation, and then the earth’s varied growth—that remain open to denial (26:5–8). The latter has the structure of what philosophers of religion might call an “invitation” rather than a “compulsion”: it supplies intelligibility and meaning without annihilating the moral space of response.</w:t>
      </w:r>
      <w:r>
        <w:t xml:space="preserve"> </w:t>
      </w:r>
      <w:hyperlink r:id="rId21">
        <w:r>
          <w:rPr>
            <w:rStyle w:val="Hyperlink"/>
          </w:rPr>
          <w:t xml:space="preserve">[7]</w:t>
        </w:r>
      </w:hyperlink>
    </w:p>
    <w:p>
      <w:pPr>
        <w:pStyle w:val="BodyText"/>
      </w:pPr>
      <w:r>
        <w:t xml:space="preserve">The recurring Qur’anic claim that “most… do not believe” (26:8) is therefore not only a sociological report; it describes a persistent feature of human cognition under moral pressure: people can look without seeing, and can encounter “signs” while refusing their import. The tension is not resolved by providing more data but by reorienting attention—precisely what 26:7 demands:</w:t>
      </w:r>
      <w:r>
        <w:t xml:space="preserve"> </w:t>
      </w:r>
      <w:r>
        <w:rPr>
          <w:i/>
          <w:iCs/>
        </w:rPr>
        <w:t xml:space="preserve">look at the earth</w:t>
      </w:r>
      <w:r>
        <w:t xml:space="preserve">.</w:t>
      </w:r>
      <w:r>
        <w:t xml:space="preserve"> </w:t>
      </w:r>
      <w:hyperlink r:id="rId21">
        <w:r>
          <w:rPr>
            <w:rStyle w:val="Hyperlink"/>
          </w:rPr>
          <w:t xml:space="preserve">[7]</w:t>
        </w:r>
      </w:hyperlink>
    </w:p>
    <w:bookmarkEnd w:id="30"/>
    <w:bookmarkStart w:id="39" w:name="the-plant-sign-and-the-scope-of-botany"/>
    <w:p>
      <w:pPr>
        <w:pStyle w:val="Heading2"/>
      </w:pPr>
      <w:r>
        <w:t xml:space="preserve">The plant-sign and the scope of botany</w:t>
      </w:r>
    </w:p>
    <w:p>
      <w:pPr>
        <w:pStyle w:val="FirstParagraph"/>
      </w:pPr>
      <w:r>
        <w:t xml:space="preserve">The scientific resonance of 26:7 does not lie in a hidden botanical treatise; it lies in a disciplined act of attention to plant diversity as an empirical, measurable, and still partly unknown reality. The verse asks about “what noble kinds of thing We grow” in the earth—language that naturally aligns with taxonomy (kinds), ecology (things growing in places), and aesthetics/value (“noble”).</w:t>
      </w:r>
      <w:r>
        <w:t xml:space="preserve"> </w:t>
      </w:r>
      <w:hyperlink r:id="rId21">
        <w:r>
          <w:rPr>
            <w:rStyle w:val="Hyperlink"/>
          </w:rPr>
          <w:t xml:space="preserve">[9]</w:t>
        </w:r>
      </w:hyperlink>
    </w:p>
    <w:bookmarkStart w:id="35" w:name="X6bed194368e630858f64d046a02191b65db9364"/>
    <w:p>
      <w:pPr>
        <w:pStyle w:val="Heading3"/>
      </w:pPr>
      <w:r>
        <w:t xml:space="preserve">Diversity at scale and diversity in the details</w:t>
      </w:r>
    </w:p>
    <w:p>
      <w:pPr>
        <w:pStyle w:val="FirstParagraph"/>
      </w:pPr>
      <w:r>
        <w:t xml:space="preserve">Modern biodiversity science emphasizes both the immensity of plant diversity and the limits of our present knowledge. An U.S. National Science Foundation</w:t>
      </w:r>
      <w:hyperlink r:id="rId31">
        <w:r>
          <w:rPr>
            <w:rStyle w:val="Hyperlink"/>
          </w:rPr>
          <w:t xml:space="preserve">[10]</w:t>
        </w:r>
      </w:hyperlink>
      <w:r>
        <w:t xml:space="preserve"> </w:t>
      </w:r>
      <w:r>
        <w:t xml:space="preserve">feature on global-land-plant biodiversity (summarizing NSF-funded research) reports that scientists found “about 435,000 unique land plant species on Earth” and that “36.5% of all land plant species are ‘exceedingly rare,’” having been observed and recorded fewer than five times.</w:t>
      </w:r>
      <w:r>
        <w:t xml:space="preserve"> </w:t>
      </w:r>
      <w:hyperlink r:id="rId32">
        <w:r>
          <w:rPr>
            <w:rStyle w:val="Hyperlink"/>
          </w:rPr>
          <w:t xml:space="preserve">[11]</w:t>
        </w:r>
      </w:hyperlink>
    </w:p>
    <w:p>
      <w:pPr>
        <w:pStyle w:val="BodyText"/>
      </w:pPr>
      <w:r>
        <w:t xml:space="preserve">This matters because it reframes what it means, scientifically, to “look at the earth.” If over a third of land plant species are so rarely observed, then even in an era of satellites and global databases, the plant kingdom remains partially hidden. In that light, 26:7’s rhetorical question can be read as a perennial rebuke to complacency: the earth’s “kinds” are not exhausted by what is already named, collected, or commodified.</w:t>
      </w:r>
      <w:r>
        <w:t xml:space="preserve"> </w:t>
      </w:r>
      <w:hyperlink r:id="rId32">
        <w:r>
          <w:rPr>
            <w:rStyle w:val="Hyperlink"/>
          </w:rPr>
          <w:t xml:space="preserve">[12]</w:t>
        </w:r>
      </w:hyperlink>
    </w:p>
    <w:p>
      <w:pPr>
        <w:pStyle w:val="BodyText"/>
      </w:pPr>
      <w:r>
        <w:t xml:space="preserve">A different set of reports—often tracing back to global syntheses associated with Kew’s “State of the World’s Plants” work—has put the number of</w:t>
      </w:r>
      <w:r>
        <w:t xml:space="preserve"> </w:t>
      </w:r>
      <w:r>
        <w:rPr>
          <w:i/>
          <w:iCs/>
        </w:rPr>
        <w:t xml:space="preserve">vascular plant species</w:t>
      </w:r>
      <w:r>
        <w:t xml:space="preserve"> </w:t>
      </w:r>
      <w:r>
        <w:t xml:space="preserve">at roughly 390,900, with estimates that a large majority are flowering plants and that a substantial fraction may be threatened with extinction. One peer-reviewed article summarizing such syntheses states that “the number of vascular plant species is 390,900,” of which “approximately 369,400 are angiosperms,” and further reports an estimate that “21%” of plants are at risk of extinction.</w:t>
      </w:r>
      <w:r>
        <w:t xml:space="preserve"> </w:t>
      </w:r>
      <w:hyperlink r:id="rId33">
        <w:r>
          <w:rPr>
            <w:rStyle w:val="Hyperlink"/>
          </w:rPr>
          <w:t xml:space="preserve">[13]</w:t>
        </w:r>
      </w:hyperlink>
    </w:p>
    <w:p>
      <w:pPr>
        <w:pStyle w:val="BodyText"/>
      </w:pPr>
      <w:r>
        <w:t xml:space="preserve">These different totals are not mere disagreements; they often reflect differences in scope (vascular plants vs. all land plants), ongoing taxonomic revision, and the difficult labor of reconciling synonyms (multiple names for what later proves to be the same species). A review of vascular-plant naming practices notes that many vascular plant species have more than one scientific name, and that synonymy complicates “how many species” questions.</w:t>
      </w:r>
      <w:r>
        <w:t xml:space="preserve"> </w:t>
      </w:r>
      <w:hyperlink r:id="rId34">
        <w:r>
          <w:rPr>
            <w:rStyle w:val="Hyperlink"/>
          </w:rPr>
          <w:t xml:space="preserve">[14]</w:t>
        </w:r>
      </w:hyperlink>
    </w:p>
    <w:p>
      <w:pPr>
        <w:pStyle w:val="BodyText"/>
      </w:pPr>
      <w:r>
        <w:t xml:space="preserve">What is striking, read next to 26:7, is how well scientific complexity matches the Qur’anic rhetorical humility: you are asked to look, not to master; to notice, not to totalize. The verse does not promise the hearer a complete inventory of life. It demands the recognitive stance that inventory presupposes.</w:t>
      </w:r>
      <w:r>
        <w:t xml:space="preserve"> </w:t>
      </w:r>
      <w:hyperlink r:id="rId21">
        <w:r>
          <w:rPr>
            <w:rStyle w:val="Hyperlink"/>
          </w:rPr>
          <w:t xml:space="preserve">[15]</w:t>
        </w:r>
      </w:hyperlink>
    </w:p>
    <w:bookmarkEnd w:id="35"/>
    <w:bookmarkStart w:id="37" w:name="X1a622b8d25d7d084391973893485875497f1b6a"/>
    <w:p>
      <w:pPr>
        <w:pStyle w:val="Heading3"/>
      </w:pPr>
      <w:r>
        <w:t xml:space="preserve">The flowering majority and the “noble kinds” of the earth</w:t>
      </w:r>
    </w:p>
    <w:p>
      <w:pPr>
        <w:pStyle w:val="FirstParagraph"/>
      </w:pPr>
      <w:r>
        <w:t xml:space="preserve">The user’s provided heuristic—that roughly 90% of plant species are flowering plants—has a plausible foundation in contemporary biodiversity writing. A conservation-focused</w:t>
      </w:r>
      <w:r>
        <w:t xml:space="preserve"> </w:t>
      </w:r>
      <w:r>
        <w:rPr>
          <w:i/>
          <w:iCs/>
        </w:rPr>
        <w:t xml:space="preserve">Nature</w:t>
      </w:r>
      <w:r>
        <w:t xml:space="preserve"> </w:t>
      </w:r>
      <w:r>
        <w:t xml:space="preserve">article states that flowering plants represent “about 90% of all terrestrial plant species.”</w:t>
      </w:r>
      <w:r>
        <w:t xml:space="preserve"> </w:t>
      </w:r>
      <w:hyperlink r:id="rId36">
        <w:r>
          <w:rPr>
            <w:rStyle w:val="Hyperlink"/>
          </w:rPr>
          <w:t xml:space="preserve">[16]</w:t>
        </w:r>
      </w:hyperlink>
    </w:p>
    <w:p>
      <w:pPr>
        <w:pStyle w:val="BodyText"/>
      </w:pPr>
      <w:r>
        <w:t xml:space="preserve">If flowering plants dominate terrestrial-plant diversity, then 26:7’s “noble kinds” can be contemplated through the sheer morphological and ecological variety of flowers and fruits: the manifold strategies for pollination, seed dispersal, drought survival, salt tolerance, symbiosis with fungi, and adaptation to light and altitude. The Qur’an does not isolate “the plant kingdom” from spiritual life; it makes vegetal life a theater of intelligibility—something that is</w:t>
      </w:r>
      <w:r>
        <w:t xml:space="preserve"> </w:t>
      </w:r>
      <w:r>
        <w:rPr>
          <w:i/>
          <w:iCs/>
        </w:rPr>
        <w:t xml:space="preserve">meant</w:t>
      </w:r>
      <w:r>
        <w:t xml:space="preserve"> </w:t>
      </w:r>
      <w:r>
        <w:t xml:space="preserve">to be read as sign.</w:t>
      </w:r>
      <w:r>
        <w:t xml:space="preserve"> </w:t>
      </w:r>
      <w:hyperlink r:id="rId21">
        <w:r>
          <w:rPr>
            <w:rStyle w:val="Hyperlink"/>
          </w:rPr>
          <w:t xml:space="preserve">[15]</w:t>
        </w:r>
      </w:hyperlink>
    </w:p>
    <w:bookmarkEnd w:id="37"/>
    <w:bookmarkStart w:id="38" w:name="X2847ae142d78654915a03b701221a488d23de47"/>
    <w:p>
      <w:pPr>
        <w:pStyle w:val="Heading3"/>
      </w:pPr>
      <w:r>
        <w:t xml:space="preserve">Rarity, vulnerability, and the ethical weight of observation</w:t>
      </w:r>
    </w:p>
    <w:p>
      <w:pPr>
        <w:pStyle w:val="FirstParagraph"/>
      </w:pPr>
      <w:r>
        <w:t xml:space="preserve">Botany, in the twenty-first century, is also a science of loss. The NSF report emphasizes that rare species cluster in specific global hotspots (citing examples such as the Northern Andes, Costa Rica, South Africa, Madagascar, and Southeast Asia) and that rare-species hotspots are projected to experience high rates of future climate change and human disruption—conditions that amplify extinction risk.</w:t>
      </w:r>
      <w:r>
        <w:t xml:space="preserve"> </w:t>
      </w:r>
      <w:hyperlink r:id="rId32">
        <w:r>
          <w:rPr>
            <w:rStyle w:val="Hyperlink"/>
          </w:rPr>
          <w:t xml:space="preserve">[11]</w:t>
        </w:r>
      </w:hyperlink>
    </w:p>
    <w:p>
      <w:pPr>
        <w:pStyle w:val="BodyText"/>
      </w:pPr>
      <w:r>
        <w:t xml:space="preserve">This scientific picture adds moral gravity to 26:8’s refrain: “There truly is a sign in this.” If the living “sign” is also fragile, then failure to see is not only an intellectual defect but potentially a driver of destruction. The Qur’anic move from observation to spiritual diagnosis (“most… do not believe”) can, in a modern scientific register, be read as a diagnosis of inattentiveness and ingratitude that metastasizes into ecological disregard.</w:t>
      </w:r>
      <w:r>
        <w:t xml:space="preserve"> </w:t>
      </w:r>
      <w:hyperlink r:id="rId32">
        <w:r>
          <w:rPr>
            <w:rStyle w:val="Hyperlink"/>
          </w:rPr>
          <w:t xml:space="preserve">[12]</w:t>
        </w:r>
      </w:hyperlink>
    </w:p>
    <w:bookmarkEnd w:id="38"/>
    <w:bookmarkEnd w:id="39"/>
    <w:bookmarkStart w:id="60" w:name="Xb765cc87e2529b9fc0916c0ed8c5109d7f20d1a"/>
    <w:p>
      <w:pPr>
        <w:pStyle w:val="Heading2"/>
      </w:pPr>
      <w:r>
        <w:t xml:space="preserve">Intertextual botanical passages in Arabic and Abdel Haleem’s translation</w:t>
      </w:r>
    </w:p>
    <w:p>
      <w:pPr>
        <w:pStyle w:val="FirstParagraph"/>
      </w:pPr>
      <w:r>
        <w:t xml:space="preserve">The Qur’an repeatedly returns to plants, fruits, and cultivated landscapes to clarify how “signs” operate: they combine regularity (water, growth, harvest) with differentiation (varied tastes, pairs, kinds), and then press the mind toward gratitude and reasoning.</w:t>
      </w:r>
    </w:p>
    <w:bookmarkStart w:id="41" w:name="X3dc31dfd3a903cc0b17198515d96663a17833f6"/>
    <w:p>
      <w:pPr>
        <w:pStyle w:val="Heading3"/>
      </w:pPr>
      <w:r>
        <w:t xml:space="preserve">Seeds, fruit-stones, and the mystery of emergence</w:t>
      </w:r>
    </w:p>
    <w:p>
      <w:pPr>
        <w:pStyle w:val="BlockText"/>
      </w:pPr>
      <w:r>
        <w:rPr>
          <w:b/>
          <w:bCs/>
        </w:rPr>
        <w:t xml:space="preserve">6:95</w:t>
      </w:r>
      <w:r>
        <w:br/>
      </w:r>
      <w:r>
        <w:t xml:space="preserve">إِنَّ ٱللَّهَ فَالِقُ ٱلۡحَبِّ وَٱلنَّوَىٰ ۖ يُخۡرِجُ ٱلۡحَيَّ مِنَ ٱلۡمَيِّتِ وَمُخۡرِجُ ٱلۡمَيِّتِ مِنَ ٱلۡحَيِّ ۚ ذَٰلِكُمُ ٱللَّهُ ۖ فَأَنَّىٰ تُؤۡفَكُونَ</w:t>
      </w:r>
      <w:r>
        <w:br/>
      </w:r>
      <w:r>
        <w:rPr>
          <w:b/>
          <w:bCs/>
        </w:rPr>
        <w:t xml:space="preserve">“It is God who splits open the seed and the fruit stone: He brings out the living from the dead and the dead from the living- that is God- so how can you turn away from the truth”</w:t>
      </w:r>
      <w:r>
        <w:t xml:space="preserve"> </w:t>
      </w:r>
      <w:hyperlink r:id="rId40">
        <w:r>
          <w:rPr>
            <w:rStyle w:val="Hyperlink"/>
          </w:rPr>
          <w:t xml:space="preserve">[17]</w:t>
        </w:r>
      </w:hyperlink>
    </w:p>
    <w:p>
      <w:pPr>
        <w:pStyle w:val="FirstParagraph"/>
      </w:pPr>
      <w:r>
        <w:t xml:space="preserve">This verse functions like a botanical microcosm of 26:7: it directs attention to the threshold phenomenon—how life emerges from what appears inert. It also clarifies that Qur’anic “signs” are not limited to spectacular anomalies; they include ordinary processes so familiar that they become invisible.</w:t>
      </w:r>
      <w:r>
        <w:t xml:space="preserve"> </w:t>
      </w:r>
      <w:hyperlink r:id="rId31">
        <w:r>
          <w:rPr>
            <w:rStyle w:val="Hyperlink"/>
          </w:rPr>
          <w:t xml:space="preserve">[18]</w:t>
        </w:r>
      </w:hyperlink>
    </w:p>
    <w:bookmarkEnd w:id="41"/>
    <w:bookmarkStart w:id="43" w:name="X13a1ba208045483d469535fee9ae3f794869c4c"/>
    <w:p>
      <w:pPr>
        <w:pStyle w:val="Heading3"/>
      </w:pPr>
      <w:r>
        <w:t xml:space="preserve">Rain, greenery, clustered grains, and the pedagogy of ripening</w:t>
      </w:r>
    </w:p>
    <w:p>
      <w:pPr>
        <w:pStyle w:val="BlockText"/>
      </w:pPr>
      <w:r>
        <w:rPr>
          <w:b/>
          <w:bCs/>
        </w:rPr>
        <w:t xml:space="preserve">6:99</w:t>
      </w:r>
      <w:r>
        <w:br/>
      </w:r>
      <w:r>
        <w:t xml:space="preserve">وَهُوَ ٱلَّذِيٓ أَنزَلَ مِنَ ٱلسَّمَآءِ مَآءً فَأَخۡرَجۡنَا بِهِۦ نَبَاتَ كُلِّ شَيۡءٍ فَأَخۡرَجۡنَا مِنۡهُ خَضِرٗا نُّخۡرِجُ مِنۡهُ حَبّٗا مُّتَرَاكِبٗا وَمِنَ ٱلنَّخۡلِ مِن طَلۡعِهَا قِنۡوَانٞ دَانِيَةٞ وَجَنَّٰتٖ مِّنۡ أَعۡنَٰبٖ وَٱلزَّيۡتُونَ وَٱلرُّمَّانَ مُشۡتَبِهٗا وَغَيۡرَ مُتَشَٰبِهٍۗ ٱنظُرُوٓاْ إِلَىٰ ثَمَرِهِۦٓ إِذَآ أَثۡمَرَ وَيَنۡعِهِۦٓۚ إِنَّ فِي ذَٰلِكُمۡ لَأٓيَٰتٖ لِّقَوۡمٖ يُؤۡمِنُونَ</w:t>
      </w:r>
      <w:r>
        <w:br/>
      </w:r>
      <w:r>
        <w:rPr>
          <w:b/>
          <w:bCs/>
        </w:rPr>
        <w:t xml:space="preserve">“It is He who sends down water from the sky. With it We produce the shoots of each plant, then bring greenery from it, and from that We bring out grains, one riding on the other in close-packed rows. From the date palm come clusters of low-hanging dates, and there are gardens of vines, olives, and pomegranates, alike yet different. Watch their fruits as they grow and ripen! In all this there are signs for those who would believe”</w:t>
      </w:r>
      <w:r>
        <w:t xml:space="preserve"> </w:t>
      </w:r>
      <w:hyperlink r:id="rId42">
        <w:r>
          <w:rPr>
            <w:rStyle w:val="Hyperlink"/>
          </w:rPr>
          <w:t xml:space="preserve">[19]</w:t>
        </w:r>
      </w:hyperlink>
    </w:p>
    <w:p>
      <w:pPr>
        <w:pStyle w:val="FirstParagraph"/>
      </w:pPr>
      <w:r>
        <w:t xml:space="preserve">Here the text explicitly commands a kind of “fieldwork spirituality”: “Watch their fruits as they grow and ripen.” This is not a demand for mere consumption but for contemplative observation—attention to developmental time, to stages, and to difference (“alike yet different”). In scientific terms, it asks the observer to notice phenology (the timing of flowering and fruiting) and variation under similar conditions.</w:t>
      </w:r>
      <w:r>
        <w:t xml:space="preserve"> </w:t>
      </w:r>
      <w:hyperlink r:id="rId31">
        <w:r>
          <w:rPr>
            <w:rStyle w:val="Hyperlink"/>
          </w:rPr>
          <w:t xml:space="preserve">[18]</w:t>
        </w:r>
      </w:hyperlink>
    </w:p>
    <w:bookmarkEnd w:id="43"/>
    <w:bookmarkStart w:id="45" w:name="X1c14c3928b96e5dfc71214f07aa57fbd1ece919"/>
    <w:p>
      <w:pPr>
        <w:pStyle w:val="Heading3"/>
      </w:pPr>
      <w:r>
        <w:t xml:space="preserve">The earth as habitat, pathways, water, and “every kind of plant”</w:t>
      </w:r>
    </w:p>
    <w:p>
      <w:pPr>
        <w:pStyle w:val="BlockText"/>
      </w:pPr>
      <w:r>
        <w:rPr>
          <w:b/>
          <w:bCs/>
        </w:rPr>
        <w:t xml:space="preserve">20:53</w:t>
      </w:r>
      <w:r>
        <w:br/>
      </w:r>
      <w:r>
        <w:t xml:space="preserve">ٱلَّذِي جَعَلَ لَكُمُ ٱلۡأَرۡضَ مَهۡدٗا وَسَلَكَ لَكُمۡ فِيهَا سُبُلٗا وَأَنزَلَ مِنَ ٱلسَّمَآءِ مَآءً فَأَخۡرَجۡنَا بِهِۦٓ أَزۡوَٰجٗا مِّن نَّبَاتٖ شَتَّىٰ</w:t>
      </w:r>
      <w:r>
        <w:br/>
      </w:r>
      <w:r>
        <w:rPr>
          <w:b/>
          <w:bCs/>
        </w:rPr>
        <w:t xml:space="preserve">“It was He who spread out the earth for you and traced routes in it. He sent down water from the sky. With that water We bring forth every kind of plant”</w:t>
      </w:r>
      <w:r>
        <w:t xml:space="preserve"> </w:t>
      </w:r>
      <w:hyperlink r:id="rId24">
        <w:r>
          <w:rPr>
            <w:rStyle w:val="Hyperlink"/>
          </w:rPr>
          <w:t xml:space="preserve">[20]</w:t>
        </w:r>
      </w:hyperlink>
    </w:p>
    <w:p>
      <w:pPr>
        <w:pStyle w:val="FirstParagraph"/>
      </w:pPr>
      <w:r>
        <w:t xml:space="preserve">This verse expands the plant-sign into an integrated system: earth as habitable ground, routes as human-world navigation, and water as the catalytic condition for diverse vegetal emergence. It thereby links botany to geography, economy, and social life—an anticipation of how modern ecology situates plants within coupled human-natural systems.</w:t>
      </w:r>
      <w:r>
        <w:t xml:space="preserve"> </w:t>
      </w:r>
      <w:hyperlink r:id="rId44">
        <w:r>
          <w:rPr>
            <w:rStyle w:val="Hyperlink"/>
          </w:rPr>
          <w:t xml:space="preserve">[21]</w:t>
        </w:r>
      </w:hyperlink>
    </w:p>
    <w:bookmarkEnd w:id="45"/>
    <w:bookmarkStart w:id="47" w:name="beauty-mountains-and-joyous-growth"/>
    <w:p>
      <w:pPr>
        <w:pStyle w:val="Heading3"/>
      </w:pPr>
      <w:r>
        <w:t xml:space="preserve">Beauty, mountains, and joyous growth</w:t>
      </w:r>
    </w:p>
    <w:p>
      <w:pPr>
        <w:pStyle w:val="BlockText"/>
      </w:pPr>
      <w:r>
        <w:rPr>
          <w:b/>
          <w:bCs/>
        </w:rPr>
        <w:t xml:space="preserve">50:7</w:t>
      </w:r>
      <w:r>
        <w:br/>
      </w:r>
      <w:r>
        <w:t xml:space="preserve">وَٱلۡأَرۡضَ مَدَدۡنَٰهَا وَأَلۡقَيۡنَا فِيهَا رَوَٰسِيَ وَأَنۢبَتۡنَا فِيهَا مِن كُلِّ زَوۡجِۢ بَهِيجٖ</w:t>
      </w:r>
      <w:r>
        <w:br/>
      </w:r>
      <w:r>
        <w:rPr>
          <w:b/>
          <w:bCs/>
        </w:rPr>
        <w:t xml:space="preserve">“how We spread out the earth and put solid mountains on it, and caused every kind of joyous plant to grow in it”</w:t>
      </w:r>
      <w:r>
        <w:t xml:space="preserve"> </w:t>
      </w:r>
      <w:hyperlink r:id="rId46">
        <w:r>
          <w:rPr>
            <w:rStyle w:val="Hyperlink"/>
          </w:rPr>
          <w:t xml:space="preserve">[22]</w:t>
        </w:r>
      </w:hyperlink>
    </w:p>
    <w:p>
      <w:pPr>
        <w:pStyle w:val="FirstParagraph"/>
      </w:pPr>
      <w:r>
        <w:t xml:space="preserve">Read with 26:7, this suggests that “looking at the earth” includes both structure (mountains; stability) and flourish (plants; beauty/joy). The plant is not merely utilitarian; it is aesthetic and affective—something that can rightly elicit delight.</w:t>
      </w:r>
      <w:r>
        <w:t xml:space="preserve"> </w:t>
      </w:r>
      <w:hyperlink r:id="rId25">
        <w:r>
          <w:rPr>
            <w:rStyle w:val="Hyperlink"/>
          </w:rPr>
          <w:t xml:space="preserve">[23]</w:t>
        </w:r>
      </w:hyperlink>
    </w:p>
    <w:bookmarkEnd w:id="47"/>
    <w:bookmarkStart w:id="50" w:name="Xae1b673e6be8b96a5c52570cb55b0b1bae7cdbe"/>
    <w:p>
      <w:pPr>
        <w:pStyle w:val="Heading3"/>
      </w:pPr>
      <w:r>
        <w:t xml:space="preserve">Dead earth made living and the gratitude question</w:t>
      </w:r>
    </w:p>
    <w:p>
      <w:pPr>
        <w:pStyle w:val="BlockText"/>
      </w:pPr>
      <w:r>
        <w:rPr>
          <w:b/>
          <w:bCs/>
        </w:rPr>
        <w:t xml:space="preserve">36:33</w:t>
      </w:r>
      <w:r>
        <w:br/>
      </w:r>
      <w:r>
        <w:t xml:space="preserve">وَءَايَةٞ لَّهُمُ ٱلۡأَرۡضُ ٱلۡمَيۡتَةُ أَحۡيَيۡنَٰهَا وَأَخۡرَجۡنَا مِنۡهَا حَبّٗا فَمِنۡهُ يَأۡكُلُونَ</w:t>
      </w:r>
      <w:r>
        <w:br/>
      </w:r>
      <w:r>
        <w:rPr>
          <w:b/>
          <w:bCs/>
        </w:rPr>
        <w:t xml:space="preserve">“There is a sign for them in the lifeless earth: We give it life and We produce grain from it for them to eat”</w:t>
      </w:r>
      <w:r>
        <w:t xml:space="preserve"> </w:t>
      </w:r>
      <w:hyperlink r:id="rId48">
        <w:r>
          <w:rPr>
            <w:rStyle w:val="Hyperlink"/>
          </w:rPr>
          <w:t xml:space="preserve">[24]</w:t>
        </w:r>
      </w:hyperlink>
    </w:p>
    <w:p>
      <w:pPr>
        <w:pStyle w:val="BlockText"/>
      </w:pPr>
      <w:r>
        <w:rPr>
          <w:b/>
          <w:bCs/>
        </w:rPr>
        <w:t xml:space="preserve">36:34</w:t>
      </w:r>
      <w:r>
        <w:br/>
      </w:r>
      <w:r>
        <w:t xml:space="preserve">وَجَعَلۡنَا فِيهَا جَنَّٰتٖ مِّن نَّخِيلٖ وَأَعۡنَٰبٖ وَفَجَّرۡنَا فِيهَا مِنَ ٱلۡعُيُونِ</w:t>
      </w:r>
      <w:r>
        <w:br/>
      </w:r>
      <w:r>
        <w:rPr>
          <w:b/>
          <w:bCs/>
        </w:rPr>
        <w:t xml:space="preserve">“We have put gardens of date palms and grapes in the earth, and We have made springs of water gush out of it”</w:t>
      </w:r>
      <w:r>
        <w:t xml:space="preserve"> </w:t>
      </w:r>
      <w:hyperlink r:id="rId48">
        <w:r>
          <w:rPr>
            <w:rStyle w:val="Hyperlink"/>
          </w:rPr>
          <w:t xml:space="preserve">[25]</w:t>
        </w:r>
      </w:hyperlink>
    </w:p>
    <w:p>
      <w:pPr>
        <w:pStyle w:val="BlockText"/>
      </w:pPr>
      <w:r>
        <w:rPr>
          <w:b/>
          <w:bCs/>
        </w:rPr>
        <w:t xml:space="preserve">36:35</w:t>
      </w:r>
      <w:r>
        <w:br/>
      </w:r>
      <w:r>
        <w:t xml:space="preserve">لِيَأۡكُلُوا۟ مِن ثَمَرِهِۦ وَمَا عَمِلَتۡهُ أَيۡدِيهِمۡۗ أَفَلَا يَشۡكُرُونَ</w:t>
      </w:r>
      <w:r>
        <w:br/>
      </w:r>
      <w:r>
        <w:rPr>
          <w:b/>
          <w:bCs/>
        </w:rPr>
        <w:t xml:space="preserve">“so that they could eat its fruit. It was not their own hands that made all this. How can they not give thanks”</w:t>
      </w:r>
      <w:r>
        <w:t xml:space="preserve"> </w:t>
      </w:r>
      <w:hyperlink r:id="rId48">
        <w:r>
          <w:rPr>
            <w:rStyle w:val="Hyperlink"/>
          </w:rPr>
          <w:t xml:space="preserve">[26]</w:t>
        </w:r>
      </w:hyperlink>
    </w:p>
    <w:p>
      <w:pPr>
        <w:pStyle w:val="FirstParagraph"/>
      </w:pPr>
      <w:r>
        <w:t xml:space="preserve">These verses provide one of the Qur’an’s clearest bridges between natural-process observation and ethical conclusion. The argument is explicitly anti-illusion: the harvest is not the product of human hands alone, and a correct perception of provision should mature into gratitude. This track closely parallels the movement of 26:7–9: look → recognize sign → re-name reality under divine attributes (power and mercy).</w:t>
      </w:r>
      <w:r>
        <w:t xml:space="preserve"> </w:t>
      </w:r>
      <w:hyperlink r:id="rId49">
        <w:r>
          <w:rPr>
            <w:rStyle w:val="Hyperlink"/>
          </w:rPr>
          <w:t xml:space="preserve">[27]</w:t>
        </w:r>
      </w:hyperlink>
    </w:p>
    <w:bookmarkEnd w:id="50"/>
    <w:bookmarkStart w:id="53" w:name="X95c8b78f14c5e671c07dd0302c2678a118a3a71"/>
    <w:p>
      <w:pPr>
        <w:pStyle w:val="Heading3"/>
      </w:pPr>
      <w:r>
        <w:t xml:space="preserve">Pairs, multiplicity, and what we do not yet know</w:t>
      </w:r>
    </w:p>
    <w:p>
      <w:pPr>
        <w:pStyle w:val="BlockText"/>
      </w:pPr>
      <w:r>
        <w:rPr>
          <w:b/>
          <w:bCs/>
        </w:rPr>
        <w:t xml:space="preserve">36:36</w:t>
      </w:r>
      <w:r>
        <w:br/>
      </w:r>
      <w:r>
        <w:t xml:space="preserve">سُبۡحَٰنَ ٱلَّذِي خَلَقَ ٱلۡأَزۡوَٰجَ كُلَّهَا مِمَّا تُنۢبِتُ ٱلۡأَرۡضُ وَمِنۡ أَنفُسِهِمۡ وَمِمَّا لَا يَعۡلَمُونَ</w:t>
      </w:r>
      <w:r>
        <w:br/>
      </w:r>
      <w:r>
        <w:rPr>
          <w:b/>
          <w:bCs/>
        </w:rPr>
        <w:t xml:space="preserve">“Glory be to Him who created all the pairs: what the earth produces, themselves, and things they do not know about”</w:t>
      </w:r>
      <w:r>
        <w:t xml:space="preserve"> </w:t>
      </w:r>
      <w:hyperlink r:id="rId51">
        <w:r>
          <w:rPr>
            <w:rStyle w:val="Hyperlink"/>
          </w:rPr>
          <w:t xml:space="preserve">[28]</w:t>
        </w:r>
      </w:hyperlink>
    </w:p>
    <w:p>
      <w:pPr>
        <w:pStyle w:val="FirstParagraph"/>
      </w:pPr>
      <w:r>
        <w:t xml:space="preserve">This verse enlarges 26:7’s “kinds” into a metaphysics of multiplicity and complementarity (</w:t>
      </w:r>
      <w:r>
        <w:rPr>
          <w:i/>
          <w:iCs/>
        </w:rPr>
        <w:t xml:space="preserve">azwāj</w:t>
      </w:r>
      <w:r>
        <w:t xml:space="preserve">, “pairs”), while also explicitly leaving room for unknowns (“things they do not know about”). In a scientific age—in which NSF-funded work can still describe vast proportions of plant species as exceedingly rare and sparsely observed—this openness to unknown diversity reads less like a pre-modern gap and more like a principled humility before the complexity of life.</w:t>
      </w:r>
      <w:r>
        <w:t xml:space="preserve"> </w:t>
      </w:r>
      <w:hyperlink r:id="rId52">
        <w:r>
          <w:rPr>
            <w:rStyle w:val="Hyperlink"/>
          </w:rPr>
          <w:t xml:space="preserve">[29]</w:t>
        </w:r>
      </w:hyperlink>
    </w:p>
    <w:bookmarkEnd w:id="53"/>
    <w:bookmarkStart w:id="56" w:name="Xdc79eba9f777a05e76d689b97d50ad2a50c3199"/>
    <w:p>
      <w:pPr>
        <w:pStyle w:val="Heading3"/>
      </w:pPr>
      <w:r>
        <w:t xml:space="preserve">Neighboring plots, one water, different fruits</w:t>
      </w:r>
    </w:p>
    <w:p>
      <w:pPr>
        <w:pStyle w:val="BlockText"/>
      </w:pPr>
      <w:r>
        <w:rPr>
          <w:b/>
          <w:bCs/>
        </w:rPr>
        <w:t xml:space="preserve">13:4</w:t>
      </w:r>
      <w:r>
        <w:br/>
      </w:r>
      <w:r>
        <w:t xml:space="preserve">وَفِي ٱلۡأَرۡضِ قِطَعٞ مُّتَجَٰوِرَٰتٞ وَجَنَّٰتٞ مِّنۡ أَعۡنَٰبٖ وَزَرۡعٞ وَنَخِيلٞ صِنۡوَٰنٞ وَغَيۡرُ صِنۡوَٰنٖ يُسۡقَىٰ بِمَآءٖ وَٰحِدٖ وَنُفَضِّلُ بَعۡضَهَا عَلَىٰ بَعۡضٖ فِي ٱلۡأُكُلِۚ إِنَّ فِي ذَٰلِكَ لَءَايَٰتٖ لِّقَوۡمٖ يَعۡقِلُونَ</w:t>
      </w:r>
      <w:r>
        <w:br/>
      </w:r>
      <w:r>
        <w:rPr>
          <w:b/>
          <w:bCs/>
        </w:rPr>
        <w:t xml:space="preserve">“There are, in the land, neighbouring plots, gardens of vineyards, cornfields, palm trees in clusters or otherwise, all watered with the same water, yet We make some of them taste better than others: there truly are signs in this for people who reason”</w:t>
      </w:r>
      <w:r>
        <w:t xml:space="preserve"> </w:t>
      </w:r>
      <w:hyperlink r:id="rId54">
        <w:r>
          <w:rPr>
            <w:rStyle w:val="Hyperlink"/>
          </w:rPr>
          <w:t xml:space="preserve">[30]</w:t>
        </w:r>
      </w:hyperlink>
    </w:p>
    <w:p>
      <w:pPr>
        <w:pStyle w:val="FirstParagraph"/>
      </w:pPr>
      <w:r>
        <w:t xml:space="preserve">The epistemic cue here is comparative reasoning: same water, varied outcomes. Theologically, differentiation is not a defect in creation but part of the “sign.” Philosophically, the verse models inference from controlled similarity (one water) to meaningful difference (taste), echoing how scientific thinking often works: hold parameters constant, observe structured variation.</w:t>
      </w:r>
      <w:r>
        <w:t xml:space="preserve"> </w:t>
      </w:r>
      <w:hyperlink r:id="rId55">
        <w:r>
          <w:rPr>
            <w:rStyle w:val="Hyperlink"/>
          </w:rPr>
          <w:t xml:space="preserve">[31]</w:t>
        </w:r>
      </w:hyperlink>
    </w:p>
    <w:bookmarkEnd w:id="56"/>
    <w:bookmarkStart w:id="59" w:name="Xe16cbf8bf3a8ff6ee78220a63e2fe4c2f4075f2"/>
    <w:p>
      <w:pPr>
        <w:pStyle w:val="Heading3"/>
      </w:pPr>
      <w:r>
        <w:t xml:space="preserve">Particular crops named and the invitation to reflection</w:t>
      </w:r>
    </w:p>
    <w:p>
      <w:pPr>
        <w:pStyle w:val="BlockText"/>
      </w:pPr>
      <w:r>
        <w:rPr>
          <w:b/>
          <w:bCs/>
        </w:rPr>
        <w:t xml:space="preserve">16:11</w:t>
      </w:r>
      <w:r>
        <w:br/>
      </w:r>
      <w:r>
        <w:t xml:space="preserve">يُنۢبِتُ لَكُم بِهِ ٱلزَّرۡعَ وَٱلزَّيۡتُونَ وَٱلنَّخِيلَ وَٱلۡأَعۡنَٰبَ وَمِن كُلِّ ٱلثَّمَرَٰتِۚ إِنَّ فِي ذَٰلِكَ لَأٓيَةٗ لِّقَوۡمٖ يَتَفَكَّرُونَ</w:t>
      </w:r>
      <w:r>
        <w:br/>
      </w:r>
      <w:r>
        <w:rPr>
          <w:b/>
          <w:bCs/>
        </w:rPr>
        <w:t xml:space="preserve">“With it He grows for you grain, olives, palms, vines, and all kinds of other crops. There truly is a sign in this for those who reflect.”</w:t>
      </w:r>
      <w:r>
        <w:t xml:space="preserve"> </w:t>
      </w:r>
      <w:hyperlink r:id="rId57">
        <w:r>
          <w:rPr>
            <w:rStyle w:val="Hyperlink"/>
          </w:rPr>
          <w:t xml:space="preserve">[32]</w:t>
        </w:r>
      </w:hyperlink>
    </w:p>
    <w:p>
      <w:pPr>
        <w:pStyle w:val="FirstParagraph"/>
      </w:pPr>
      <w:r>
        <w:t xml:space="preserve">Notably, the verse combines specificity (named crops) with openness (“all kinds of other crops”), and it ties the observation explicitly to reflective cognition. It is an agricultural theology that is also a philosophy of mind: you do not merely receive provision; you are summoned to</w:t>
      </w:r>
      <w:r>
        <w:t xml:space="preserve"> </w:t>
      </w:r>
      <w:r>
        <w:rPr>
          <w:i/>
          <w:iCs/>
        </w:rPr>
        <w:t xml:space="preserve">reflect</w:t>
      </w:r>
      <w:r>
        <w:t xml:space="preserve"> </w:t>
      </w:r>
      <w:r>
        <w:t xml:space="preserve">on it.</w:t>
      </w:r>
      <w:r>
        <w:t xml:space="preserve"> </w:t>
      </w:r>
      <w:hyperlink r:id="rId58">
        <w:r>
          <w:rPr>
            <w:rStyle w:val="Hyperlink"/>
          </w:rPr>
          <w:t xml:space="preserve">[33]</w:t>
        </w:r>
      </w:hyperlink>
    </w:p>
    <w:bookmarkEnd w:id="59"/>
    <w:bookmarkEnd w:id="60"/>
    <w:bookmarkStart w:id="62" w:name="thematic-epilogue"/>
    <w:p>
      <w:pPr>
        <w:pStyle w:val="Heading2"/>
      </w:pPr>
      <w:r>
        <w:t xml:space="preserve">Thematic epilogue</w:t>
      </w:r>
    </w:p>
    <w:p>
      <w:pPr>
        <w:pStyle w:val="FirstParagraph"/>
      </w:pPr>
      <w:r>
        <w:t xml:space="preserve">The opening of Ash-Shu‘ara begins with letters whose full meaning is withheld (26:1) and ends with an earth whose meaning is offered (26:7–9). The passage thereby sketches a pedagogy of humility: some things are deliberately “sealed” to prevent premature mastery, while other things are deliberately “opened” to cultivate attention.</w:t>
      </w:r>
      <w:r>
        <w:t xml:space="preserve"> </w:t>
      </w:r>
      <w:hyperlink r:id="rId21">
        <w:r>
          <w:rPr>
            <w:rStyle w:val="Hyperlink"/>
          </w:rPr>
          <w:t xml:space="preserve">[34]</w:t>
        </w:r>
      </w:hyperlink>
    </w:p>
    <w:p>
      <w:pPr>
        <w:pStyle w:val="BodyText"/>
      </w:pPr>
      <w:r>
        <w:t xml:space="preserve">The plant world becomes, across the Qur’an, a sustained school of interpretation. 6:95 slows the gaze to the seed and fruit-stone, where emergence defeats the intuition that life is only what moves.</w:t>
      </w:r>
      <w:r>
        <w:t xml:space="preserve"> </w:t>
      </w:r>
      <w:hyperlink r:id="rId31">
        <w:r>
          <w:rPr>
            <w:rStyle w:val="Hyperlink"/>
          </w:rPr>
          <w:t xml:space="preserve">[35]</w:t>
        </w:r>
      </w:hyperlink>
      <w:r>
        <w:t xml:space="preserve"> </w:t>
      </w:r>
      <w:r>
        <w:t xml:space="preserve">6:99 then expands the gaze to rain, greenery, grains “in close-packed rows,” and the instruction to watch fruits “as they grow and ripen,” training perception to follow time and difference rather than merely harvesting outcomes.</w:t>
      </w:r>
      <w:r>
        <w:t xml:space="preserve"> </w:t>
      </w:r>
      <w:hyperlink r:id="rId31">
        <w:r>
          <w:rPr>
            <w:rStyle w:val="Hyperlink"/>
          </w:rPr>
          <w:t xml:space="preserve">[36]</w:t>
        </w:r>
      </w:hyperlink>
      <w:r>
        <w:t xml:space="preserve"> </w:t>
      </w:r>
      <w:r>
        <w:t xml:space="preserve">13:4 teaches comparison—one water, different taste—so that “people who reason” are not simply overwhelmed by diversity but intellectually engaged by it.</w:t>
      </w:r>
      <w:r>
        <w:t xml:space="preserve"> </w:t>
      </w:r>
      <w:hyperlink r:id="rId55">
        <w:r>
          <w:rPr>
            <w:rStyle w:val="Hyperlink"/>
          </w:rPr>
          <w:t xml:space="preserve">[37]</w:t>
        </w:r>
      </w:hyperlink>
      <w:r>
        <w:t xml:space="preserve"> </w:t>
      </w:r>
      <w:r>
        <w:t xml:space="preserve">36:33–35 moves from observation to gratitude, insisting that the fruits that sustain life are never reducible to human manufacture, and thus calling the eater to ethical awareness.</w:t>
      </w:r>
      <w:r>
        <w:t xml:space="preserve"> </w:t>
      </w:r>
      <w:hyperlink r:id="rId61">
        <w:r>
          <w:rPr>
            <w:rStyle w:val="Hyperlink"/>
          </w:rPr>
          <w:t xml:space="preserve">[38]</w:t>
        </w:r>
      </w:hyperlink>
    </w:p>
    <w:p>
      <w:pPr>
        <w:pStyle w:val="BodyText"/>
      </w:pPr>
      <w:r>
        <w:t xml:space="preserve">And modern botany, far from closing the “sign,” intensifies it: when NSF-supported synthesis can speak of roughly 435,000 land plant species and describe over a third as exceedingly rare—often clustered in vulnerable hotspots—the command “Do they not see the earth?” becomes not only a spiritual question but a scientific and moral one.</w:t>
      </w:r>
      <w:r>
        <w:t xml:space="preserve"> </w:t>
      </w:r>
      <w:hyperlink r:id="rId32">
        <w:r>
          <w:rPr>
            <w:rStyle w:val="Hyperlink"/>
          </w:rPr>
          <w:t xml:space="preserve">[12]</w:t>
        </w:r>
      </w:hyperlink>
      <w:r>
        <w:t xml:space="preserve"> </w:t>
      </w:r>
      <w:r>
        <w:t xml:space="preserve">To see, now, is also to recognize fragility; to recognize a sign is also to recognize responsibility.</w:t>
      </w:r>
    </w:p>
    <w:p>
      <w:pPr>
        <w:pStyle w:val="BodyText"/>
      </w:pPr>
      <w:r>
        <w:t xml:space="preserve">Thus 26:9’s pairing of names—“the Almighty, the Merciful”—can be heard as an ecological theology in miniature: power is not mere domination but the sustaining capacity that makes life possible; mercy is not mere sentiment but the gift-like structure of provision, diversity, and renewal.</w:t>
      </w:r>
      <w:r>
        <w:t xml:space="preserve"> </w:t>
      </w:r>
      <w:hyperlink r:id="rId21">
        <w:r>
          <w:rPr>
            <w:rStyle w:val="Hyperlink"/>
          </w:rPr>
          <w:t xml:space="preserve">[7]</w:t>
        </w:r>
      </w:hyperlink>
    </w:p>
    <w:bookmarkEnd w:id="62"/>
    <w:bookmarkEnd w:id="63"/>
    <w:bookmarkEnd w:id="64"/>
    <w:p>
      <w:r>
        <w:pict>
          <v:rect style="width:0;height:1.5pt" o:hralign="center" o:hrstd="t" o:hr="t"/>
        </w:pict>
      </w:r>
    </w:p>
    <w:bookmarkStart w:id="65" w:name="citations"/>
    <w:p>
      <w:pPr>
        <w:pStyle w:val="FirstParagraph"/>
      </w:pPr>
      <w:hyperlink r:id="rId21">
        <w:r>
          <w:rPr>
            <w:rStyle w:val="Hyperlink"/>
          </w:rPr>
          <w:t xml:space="preserve">[1]</w:t>
        </w:r>
      </w:hyperlink>
      <w:r>
        <w:t xml:space="preserve"> </w:t>
      </w:r>
      <w:hyperlink r:id="rId21">
        <w:r>
          <w:rPr>
            <w:rStyle w:val="Hyperlink"/>
          </w:rPr>
          <w:t xml:space="preserve">[7]</w:t>
        </w:r>
      </w:hyperlink>
      <w:r>
        <w:t xml:space="preserve"> </w:t>
      </w:r>
      <w:hyperlink r:id="rId21">
        <w:r>
          <w:rPr>
            <w:rStyle w:val="Hyperlink"/>
          </w:rPr>
          <w:t xml:space="preserve">[9]</w:t>
        </w:r>
      </w:hyperlink>
      <w:r>
        <w:t xml:space="preserve"> </w:t>
      </w:r>
      <w:hyperlink r:id="rId21">
        <w:r>
          <w:rPr>
            <w:rStyle w:val="Hyperlink"/>
          </w:rPr>
          <w:t xml:space="preserve">[15]</w:t>
        </w:r>
      </w:hyperlink>
      <w:r>
        <w:t xml:space="preserve"> </w:t>
      </w:r>
      <w:hyperlink r:id="rId21">
        <w:r>
          <w:rPr>
            <w:rStyle w:val="Hyperlink"/>
          </w:rPr>
          <w:t xml:space="preserve">[34]</w:t>
        </w:r>
      </w:hyperlink>
      <w:r>
        <w:t xml:space="preserve"> </w:t>
      </w:r>
      <w:r>
        <w:t xml:space="preserve">https://www.islamawakened.com/quran/26/st3.htm</w:t>
      </w:r>
    </w:p>
    <w:p>
      <w:pPr>
        <w:pStyle w:val="BodyText"/>
      </w:pPr>
      <w:hyperlink r:id="rId21">
        <w:r>
          <w:rPr>
            <w:rStyle w:val="Hyperlink"/>
          </w:rPr>
          <w:t xml:space="preserve">https://www.islamawakened.com/quran/26/st3.htm</w:t>
        </w:r>
      </w:hyperlink>
    </w:p>
    <w:p>
      <w:pPr>
        <w:pStyle w:val="BodyText"/>
      </w:pPr>
      <w:hyperlink r:id="rId23">
        <w:r>
          <w:rPr>
            <w:rStyle w:val="Hyperlink"/>
          </w:rPr>
          <w:t xml:space="preserve">[2]</w:t>
        </w:r>
      </w:hyperlink>
      <w:r>
        <w:t xml:space="preserve"> </w:t>
      </w:r>
      <w:hyperlink r:id="rId23">
        <w:r>
          <w:rPr>
            <w:rStyle w:val="Hyperlink"/>
          </w:rPr>
          <w:t xml:space="preserve">[3]</w:t>
        </w:r>
      </w:hyperlink>
      <w:r>
        <w:t xml:space="preserve"> </w:t>
      </w:r>
      <w:r>
        <w:t xml:space="preserve">https://legacy.quran.com/26/1-9</w:t>
      </w:r>
    </w:p>
    <w:p>
      <w:pPr>
        <w:pStyle w:val="BodyText"/>
      </w:pPr>
      <w:hyperlink r:id="rId23">
        <w:r>
          <w:rPr>
            <w:rStyle w:val="Hyperlink"/>
          </w:rPr>
          <w:t xml:space="preserve">https://legacy.quran.com/26/1-9</w:t>
        </w:r>
      </w:hyperlink>
    </w:p>
    <w:p>
      <w:pPr>
        <w:pStyle w:val="BodyText"/>
      </w:pPr>
      <w:hyperlink r:id="rId24">
        <w:r>
          <w:rPr>
            <w:rStyle w:val="Hyperlink"/>
          </w:rPr>
          <w:t xml:space="preserve">[4]</w:t>
        </w:r>
      </w:hyperlink>
      <w:r>
        <w:t xml:space="preserve"> </w:t>
      </w:r>
      <w:hyperlink r:id="rId24">
        <w:r>
          <w:rPr>
            <w:rStyle w:val="Hyperlink"/>
          </w:rPr>
          <w:t xml:space="preserve">[20]</w:t>
        </w:r>
      </w:hyperlink>
      <w:r>
        <w:t xml:space="preserve"> </w:t>
      </w:r>
      <w:r>
        <w:t xml:space="preserve">https://legacy.quran.com/20/53</w:t>
      </w:r>
    </w:p>
    <w:p>
      <w:pPr>
        <w:pStyle w:val="BodyText"/>
      </w:pPr>
      <w:hyperlink r:id="rId24">
        <w:r>
          <w:rPr>
            <w:rStyle w:val="Hyperlink"/>
          </w:rPr>
          <w:t xml:space="preserve">https://legacy.quran.com/20/53</w:t>
        </w:r>
      </w:hyperlink>
    </w:p>
    <w:p>
      <w:pPr>
        <w:pStyle w:val="BodyText"/>
      </w:pPr>
      <w:hyperlink r:id="rId25">
        <w:r>
          <w:rPr>
            <w:rStyle w:val="Hyperlink"/>
          </w:rPr>
          <w:t xml:space="preserve">[5]</w:t>
        </w:r>
      </w:hyperlink>
      <w:r>
        <w:t xml:space="preserve"> </w:t>
      </w:r>
      <w:hyperlink r:id="rId25">
        <w:r>
          <w:rPr>
            <w:rStyle w:val="Hyperlink"/>
          </w:rPr>
          <w:t xml:space="preserve">[23]</w:t>
        </w:r>
      </w:hyperlink>
      <w:r>
        <w:t xml:space="preserve"> </w:t>
      </w:r>
      <w:r>
        <w:t xml:space="preserve">https://www.islamawakened.com/quran/50/st3.htm</w:t>
      </w:r>
    </w:p>
    <w:p>
      <w:pPr>
        <w:pStyle w:val="BodyText"/>
      </w:pPr>
      <w:hyperlink r:id="rId25">
        <w:r>
          <w:rPr>
            <w:rStyle w:val="Hyperlink"/>
          </w:rPr>
          <w:t xml:space="preserve">https://www.islamawakened.com/quran/50/st3.htm</w:t>
        </w:r>
      </w:hyperlink>
    </w:p>
    <w:p>
      <w:pPr>
        <w:pStyle w:val="BodyText"/>
      </w:pPr>
      <w:hyperlink r:id="rId26">
        <w:r>
          <w:rPr>
            <w:rStyle w:val="Hyperlink"/>
          </w:rPr>
          <w:t xml:space="preserve">[6]</w:t>
        </w:r>
      </w:hyperlink>
      <w:r>
        <w:t xml:space="preserve"> </w:t>
      </w:r>
      <w:r>
        <w:t xml:space="preserve">https://www.soas.ac.uk/about/muhammad-abdel-haleem-obe</w:t>
      </w:r>
    </w:p>
    <w:p>
      <w:pPr>
        <w:pStyle w:val="BodyText"/>
      </w:pPr>
      <w:hyperlink r:id="rId26">
        <w:r>
          <w:rPr>
            <w:rStyle w:val="Hyperlink"/>
          </w:rPr>
          <w:t xml:space="preserve">https://www.soas.ac.uk/about/muhammad-abdel-haleem-obe</w:t>
        </w:r>
      </w:hyperlink>
    </w:p>
    <w:p>
      <w:pPr>
        <w:pStyle w:val="BodyText"/>
      </w:pPr>
      <w:hyperlink r:id="rId29">
        <w:r>
          <w:rPr>
            <w:rStyle w:val="Hyperlink"/>
          </w:rPr>
          <w:t xml:space="preserve">[8]</w:t>
        </w:r>
      </w:hyperlink>
      <w:r>
        <w:t xml:space="preserve"> </w:t>
      </w:r>
      <w:r>
        <w:t xml:space="preserve">https://almuslih.org/wp-content/uploads/2024/11/Sinai-N-%E2%80%93-Key-terms-of-the-Quran-.pdf</w:t>
      </w:r>
    </w:p>
    <w:p>
      <w:pPr>
        <w:pStyle w:val="BodyText"/>
      </w:pPr>
      <w:hyperlink r:id="rId29">
        <w:r>
          <w:rPr>
            <w:rStyle w:val="Hyperlink"/>
          </w:rPr>
          <w:t xml:space="preserve">https://almuslih.org/wp-content/uploads/2024/11/Sinai-N-%E2%80%93-Key-terms-of-the-Quran-.pdf</w:t>
        </w:r>
      </w:hyperlink>
    </w:p>
    <w:p>
      <w:pPr>
        <w:pStyle w:val="BodyText"/>
      </w:pPr>
      <w:hyperlink r:id="rId31">
        <w:r>
          <w:rPr>
            <w:rStyle w:val="Hyperlink"/>
          </w:rPr>
          <w:t xml:space="preserve">[10]</w:t>
        </w:r>
      </w:hyperlink>
      <w:r>
        <w:t xml:space="preserve"> </w:t>
      </w:r>
      <w:hyperlink r:id="rId31">
        <w:r>
          <w:rPr>
            <w:rStyle w:val="Hyperlink"/>
          </w:rPr>
          <w:t xml:space="preserve">[18]</w:t>
        </w:r>
      </w:hyperlink>
      <w:r>
        <w:t xml:space="preserve"> </w:t>
      </w:r>
      <w:hyperlink r:id="rId31">
        <w:r>
          <w:rPr>
            <w:rStyle w:val="Hyperlink"/>
          </w:rPr>
          <w:t xml:space="preserve">[35]</w:t>
        </w:r>
      </w:hyperlink>
      <w:r>
        <w:t xml:space="preserve"> </w:t>
      </w:r>
      <w:hyperlink r:id="rId31">
        <w:r>
          <w:rPr>
            <w:rStyle w:val="Hyperlink"/>
          </w:rPr>
          <w:t xml:space="preserve">[36]</w:t>
        </w:r>
      </w:hyperlink>
      <w:r>
        <w:t xml:space="preserve"> </w:t>
      </w:r>
      <w:r>
        <w:t xml:space="preserve">https://www.islamawakened.com/quran/6/st3.htm</w:t>
      </w:r>
    </w:p>
    <w:p>
      <w:pPr>
        <w:pStyle w:val="BodyText"/>
      </w:pPr>
      <w:hyperlink r:id="rId31">
        <w:r>
          <w:rPr>
            <w:rStyle w:val="Hyperlink"/>
          </w:rPr>
          <w:t xml:space="preserve">https://www.islamawakened.com/quran/6/st3.htm</w:t>
        </w:r>
      </w:hyperlink>
    </w:p>
    <w:p>
      <w:pPr>
        <w:pStyle w:val="BodyText"/>
      </w:pPr>
      <w:hyperlink r:id="rId32">
        <w:r>
          <w:rPr>
            <w:rStyle w:val="Hyperlink"/>
          </w:rPr>
          <w:t xml:space="preserve">[11]</w:t>
        </w:r>
      </w:hyperlink>
      <w:r>
        <w:t xml:space="preserve"> </w:t>
      </w:r>
      <w:hyperlink r:id="rId32">
        <w:r>
          <w:rPr>
            <w:rStyle w:val="Hyperlink"/>
          </w:rPr>
          <w:t xml:space="preserve">[12]</w:t>
        </w:r>
      </w:hyperlink>
      <w:r>
        <w:t xml:space="preserve"> </w:t>
      </w:r>
      <w:r>
        <w:t xml:space="preserve">https://www.nsf.gov/news/nearly-40-plant-species-are-very-rare-vulnerable</w:t>
      </w:r>
    </w:p>
    <w:p>
      <w:pPr>
        <w:pStyle w:val="BodyText"/>
      </w:pPr>
      <w:hyperlink r:id="rId32">
        <w:r>
          <w:rPr>
            <w:rStyle w:val="Hyperlink"/>
          </w:rPr>
          <w:t xml:space="preserve">https://www.nsf.gov/news/nearly-40-plant-species-are-very-rare-vulnerable</w:t>
        </w:r>
      </w:hyperlink>
    </w:p>
    <w:p>
      <w:pPr>
        <w:pStyle w:val="BodyText"/>
      </w:pPr>
      <w:hyperlink r:id="rId33">
        <w:r>
          <w:rPr>
            <w:rStyle w:val="Hyperlink"/>
          </w:rPr>
          <w:t xml:space="preserve">[13]</w:t>
        </w:r>
      </w:hyperlink>
      <w:r>
        <w:t xml:space="preserve"> </w:t>
      </w:r>
      <w:r>
        <w:t xml:space="preserve">https://www.mdpi.com/2071-1050/9/1/149</w:t>
      </w:r>
    </w:p>
    <w:p>
      <w:pPr>
        <w:pStyle w:val="BodyText"/>
      </w:pPr>
      <w:hyperlink r:id="rId33">
        <w:r>
          <w:rPr>
            <w:rStyle w:val="Hyperlink"/>
          </w:rPr>
          <w:t xml:space="preserve">https://www.mdpi.com/2071-1050/9/1/149</w:t>
        </w:r>
      </w:hyperlink>
    </w:p>
    <w:p>
      <w:pPr>
        <w:pStyle w:val="BodyText"/>
      </w:pPr>
      <w:hyperlink r:id="rId34">
        <w:r>
          <w:rPr>
            <w:rStyle w:val="Hyperlink"/>
          </w:rPr>
          <w:t xml:space="preserve">[14]</w:t>
        </w:r>
      </w:hyperlink>
      <w:r>
        <w:t xml:space="preserve"> </w:t>
      </w:r>
      <w:r>
        <w:t xml:space="preserve">https://www.biodiversity-science.net/fileup/PDF/2022254-1.pdf</w:t>
      </w:r>
    </w:p>
    <w:p>
      <w:pPr>
        <w:pStyle w:val="BodyText"/>
      </w:pPr>
      <w:hyperlink r:id="rId34">
        <w:r>
          <w:rPr>
            <w:rStyle w:val="Hyperlink"/>
          </w:rPr>
          <w:t xml:space="preserve">https://www.biodiversity-science.net/fileup/PDF/2022254-1.pdf</w:t>
        </w:r>
      </w:hyperlink>
    </w:p>
    <w:p>
      <w:pPr>
        <w:pStyle w:val="BodyText"/>
      </w:pPr>
      <w:hyperlink r:id="rId36">
        <w:r>
          <w:rPr>
            <w:rStyle w:val="Hyperlink"/>
          </w:rPr>
          <w:t xml:space="preserve">[16]</w:t>
        </w:r>
      </w:hyperlink>
      <w:r>
        <w:t xml:space="preserve"> </w:t>
      </w:r>
      <w:r>
        <w:t xml:space="preserve">https://www.nature.com/articles/s41586-024-07324-0</w:t>
      </w:r>
    </w:p>
    <w:p>
      <w:pPr>
        <w:pStyle w:val="BodyText"/>
      </w:pPr>
      <w:hyperlink r:id="rId36">
        <w:r>
          <w:rPr>
            <w:rStyle w:val="Hyperlink"/>
          </w:rPr>
          <w:t xml:space="preserve">https://www.nature.com/articles/s41586-024-07324-0</w:t>
        </w:r>
      </w:hyperlink>
    </w:p>
    <w:p>
      <w:pPr>
        <w:pStyle w:val="BodyText"/>
      </w:pPr>
      <w:hyperlink r:id="rId40">
        <w:r>
          <w:rPr>
            <w:rStyle w:val="Hyperlink"/>
          </w:rPr>
          <w:t xml:space="preserve">[17]</w:t>
        </w:r>
      </w:hyperlink>
      <w:r>
        <w:t xml:space="preserve"> </w:t>
      </w:r>
      <w:r>
        <w:t xml:space="preserve">https://legacy.quran.com/6/95</w:t>
      </w:r>
    </w:p>
    <w:p>
      <w:pPr>
        <w:pStyle w:val="BodyText"/>
      </w:pPr>
      <w:hyperlink r:id="rId40">
        <w:r>
          <w:rPr>
            <w:rStyle w:val="Hyperlink"/>
          </w:rPr>
          <w:t xml:space="preserve">https://legacy.quran.com/6/95</w:t>
        </w:r>
      </w:hyperlink>
    </w:p>
    <w:p>
      <w:pPr>
        <w:pStyle w:val="BodyText"/>
      </w:pPr>
      <w:hyperlink r:id="rId42">
        <w:r>
          <w:rPr>
            <w:rStyle w:val="Hyperlink"/>
          </w:rPr>
          <w:t xml:space="preserve">[19]</w:t>
        </w:r>
      </w:hyperlink>
      <w:r>
        <w:t xml:space="preserve"> </w:t>
      </w:r>
      <w:r>
        <w:t xml:space="preserve">https://legacy.quran.com/6/99</w:t>
      </w:r>
    </w:p>
    <w:p>
      <w:pPr>
        <w:pStyle w:val="BodyText"/>
      </w:pPr>
      <w:hyperlink r:id="rId42">
        <w:r>
          <w:rPr>
            <w:rStyle w:val="Hyperlink"/>
          </w:rPr>
          <w:t xml:space="preserve">https://legacy.quran.com/6/99</w:t>
        </w:r>
      </w:hyperlink>
    </w:p>
    <w:p>
      <w:pPr>
        <w:pStyle w:val="BodyText"/>
      </w:pPr>
      <w:hyperlink r:id="rId44">
        <w:r>
          <w:rPr>
            <w:rStyle w:val="Hyperlink"/>
          </w:rPr>
          <w:t xml:space="preserve">[21]</w:t>
        </w:r>
      </w:hyperlink>
      <w:r>
        <w:t xml:space="preserve"> </w:t>
      </w:r>
      <w:r>
        <w:t xml:space="preserve">https://islamawakened.com/quran/20/st3.htm</w:t>
      </w:r>
    </w:p>
    <w:p>
      <w:pPr>
        <w:pStyle w:val="BodyText"/>
      </w:pPr>
      <w:hyperlink r:id="rId44">
        <w:r>
          <w:rPr>
            <w:rStyle w:val="Hyperlink"/>
          </w:rPr>
          <w:t xml:space="preserve">https://islamawakened.com/quran/20/st3.htm</w:t>
        </w:r>
      </w:hyperlink>
    </w:p>
    <w:p>
      <w:pPr>
        <w:pStyle w:val="BodyText"/>
      </w:pPr>
      <w:hyperlink r:id="rId46">
        <w:r>
          <w:rPr>
            <w:rStyle w:val="Hyperlink"/>
          </w:rPr>
          <w:t xml:space="preserve">[22]</w:t>
        </w:r>
      </w:hyperlink>
      <w:r>
        <w:t xml:space="preserve"> </w:t>
      </w:r>
      <w:r>
        <w:t xml:space="preserve">https://legacy.quran.com/50/7</w:t>
      </w:r>
    </w:p>
    <w:p>
      <w:pPr>
        <w:pStyle w:val="BodyText"/>
      </w:pPr>
      <w:hyperlink r:id="rId46">
        <w:r>
          <w:rPr>
            <w:rStyle w:val="Hyperlink"/>
          </w:rPr>
          <w:t xml:space="preserve">https://legacy.quran.com/50/7</w:t>
        </w:r>
      </w:hyperlink>
    </w:p>
    <w:p>
      <w:pPr>
        <w:pStyle w:val="BodyText"/>
      </w:pPr>
      <w:hyperlink r:id="rId48">
        <w:r>
          <w:rPr>
            <w:rStyle w:val="Hyperlink"/>
          </w:rPr>
          <w:t xml:space="preserve">[24]</w:t>
        </w:r>
      </w:hyperlink>
      <w:r>
        <w:t xml:space="preserve"> </w:t>
      </w:r>
      <w:hyperlink r:id="rId48">
        <w:r>
          <w:rPr>
            <w:rStyle w:val="Hyperlink"/>
          </w:rPr>
          <w:t xml:space="preserve">[25]</w:t>
        </w:r>
      </w:hyperlink>
      <w:r>
        <w:t xml:space="preserve"> </w:t>
      </w:r>
      <w:hyperlink r:id="rId48">
        <w:r>
          <w:rPr>
            <w:rStyle w:val="Hyperlink"/>
          </w:rPr>
          <w:t xml:space="preserve">[26]</w:t>
        </w:r>
      </w:hyperlink>
      <w:r>
        <w:t xml:space="preserve"> </w:t>
      </w:r>
      <w:r>
        <w:t xml:space="preserve">https://legacy.quran.com/36/33-39</w:t>
      </w:r>
    </w:p>
    <w:p>
      <w:pPr>
        <w:pStyle w:val="BodyText"/>
      </w:pPr>
      <w:hyperlink r:id="rId48">
        <w:r>
          <w:rPr>
            <w:rStyle w:val="Hyperlink"/>
          </w:rPr>
          <w:t xml:space="preserve">https://legacy.quran.com/36/33-39</w:t>
        </w:r>
      </w:hyperlink>
    </w:p>
    <w:p>
      <w:pPr>
        <w:pStyle w:val="BodyText"/>
      </w:pPr>
      <w:hyperlink r:id="rId49">
        <w:r>
          <w:rPr>
            <w:rStyle w:val="Hyperlink"/>
          </w:rPr>
          <w:t xml:space="preserve">[27]</w:t>
        </w:r>
      </w:hyperlink>
      <w:r>
        <w:t xml:space="preserve"> </w:t>
      </w:r>
      <w:r>
        <w:t xml:space="preserve">https://www.islamawakened.org/quran/36/35/translations/</w:t>
      </w:r>
    </w:p>
    <w:p>
      <w:pPr>
        <w:pStyle w:val="BodyText"/>
      </w:pPr>
      <w:hyperlink r:id="rId49">
        <w:r>
          <w:rPr>
            <w:rStyle w:val="Hyperlink"/>
          </w:rPr>
          <w:t xml:space="preserve">https://www.islamawakened.org/quran/36/35/translations/</w:t>
        </w:r>
      </w:hyperlink>
    </w:p>
    <w:p>
      <w:pPr>
        <w:pStyle w:val="BodyText"/>
      </w:pPr>
      <w:hyperlink r:id="rId51">
        <w:r>
          <w:rPr>
            <w:rStyle w:val="Hyperlink"/>
          </w:rPr>
          <w:t xml:space="preserve">[28]</w:t>
        </w:r>
      </w:hyperlink>
      <w:r>
        <w:t xml:space="preserve"> </w:t>
      </w:r>
      <w:r>
        <w:t xml:space="preserve">https://legacy.quran.com/36/36</w:t>
      </w:r>
    </w:p>
    <w:p>
      <w:pPr>
        <w:pStyle w:val="BodyText"/>
      </w:pPr>
      <w:hyperlink r:id="rId51">
        <w:r>
          <w:rPr>
            <w:rStyle w:val="Hyperlink"/>
          </w:rPr>
          <w:t xml:space="preserve">https://legacy.quran.com/36/36</w:t>
        </w:r>
      </w:hyperlink>
    </w:p>
    <w:p>
      <w:pPr>
        <w:pStyle w:val="BodyText"/>
      </w:pPr>
      <w:hyperlink r:id="rId52">
        <w:r>
          <w:rPr>
            <w:rStyle w:val="Hyperlink"/>
          </w:rPr>
          <w:t xml:space="preserve">[29]</w:t>
        </w:r>
      </w:hyperlink>
      <w:r>
        <w:t xml:space="preserve"> </w:t>
      </w:r>
      <w:r>
        <w:t xml:space="preserve">https://www.islamawakened.com/quran/36/36/translations/</w:t>
      </w:r>
    </w:p>
    <w:p>
      <w:pPr>
        <w:pStyle w:val="BodyText"/>
      </w:pPr>
      <w:hyperlink r:id="rId52">
        <w:r>
          <w:rPr>
            <w:rStyle w:val="Hyperlink"/>
          </w:rPr>
          <w:t xml:space="preserve">https://www.islamawakened.com/quran/36/36/translations/</w:t>
        </w:r>
      </w:hyperlink>
    </w:p>
    <w:p>
      <w:pPr>
        <w:pStyle w:val="BodyText"/>
      </w:pPr>
      <w:hyperlink r:id="rId54">
        <w:r>
          <w:rPr>
            <w:rStyle w:val="Hyperlink"/>
          </w:rPr>
          <w:t xml:space="preserve">[30]</w:t>
        </w:r>
      </w:hyperlink>
      <w:r>
        <w:t xml:space="preserve"> </w:t>
      </w:r>
      <w:r>
        <w:t xml:space="preserve">https://legacy.quran.com/13/4</w:t>
      </w:r>
    </w:p>
    <w:p>
      <w:pPr>
        <w:pStyle w:val="BodyText"/>
      </w:pPr>
      <w:hyperlink r:id="rId54">
        <w:r>
          <w:rPr>
            <w:rStyle w:val="Hyperlink"/>
          </w:rPr>
          <w:t xml:space="preserve">https://legacy.quran.com/13/4</w:t>
        </w:r>
      </w:hyperlink>
    </w:p>
    <w:p>
      <w:pPr>
        <w:pStyle w:val="BodyText"/>
      </w:pPr>
      <w:hyperlink r:id="rId55">
        <w:r>
          <w:rPr>
            <w:rStyle w:val="Hyperlink"/>
          </w:rPr>
          <w:t xml:space="preserve">[31]</w:t>
        </w:r>
      </w:hyperlink>
      <w:r>
        <w:t xml:space="preserve"> </w:t>
      </w:r>
      <w:hyperlink r:id="rId55">
        <w:r>
          <w:rPr>
            <w:rStyle w:val="Hyperlink"/>
          </w:rPr>
          <w:t xml:space="preserve">[37]</w:t>
        </w:r>
      </w:hyperlink>
      <w:r>
        <w:t xml:space="preserve"> </w:t>
      </w:r>
      <w:r>
        <w:t xml:space="preserve">https://www.islamawakened.com/quran/13/st3.htm</w:t>
      </w:r>
    </w:p>
    <w:p>
      <w:pPr>
        <w:pStyle w:val="BodyText"/>
      </w:pPr>
      <w:hyperlink r:id="rId55">
        <w:r>
          <w:rPr>
            <w:rStyle w:val="Hyperlink"/>
          </w:rPr>
          <w:t xml:space="preserve">https://www.islamawakened.com/quran/13/st3.htm</w:t>
        </w:r>
      </w:hyperlink>
    </w:p>
    <w:p>
      <w:pPr>
        <w:pStyle w:val="BodyText"/>
      </w:pPr>
      <w:hyperlink r:id="rId57">
        <w:r>
          <w:rPr>
            <w:rStyle w:val="Hyperlink"/>
          </w:rPr>
          <w:t xml:space="preserve">[32]</w:t>
        </w:r>
      </w:hyperlink>
      <w:r>
        <w:t xml:space="preserve"> </w:t>
      </w:r>
      <w:r>
        <w:t xml:space="preserve">https://legacy.quran.com/16/11</w:t>
      </w:r>
    </w:p>
    <w:p>
      <w:pPr>
        <w:pStyle w:val="BodyText"/>
      </w:pPr>
      <w:hyperlink r:id="rId57">
        <w:r>
          <w:rPr>
            <w:rStyle w:val="Hyperlink"/>
          </w:rPr>
          <w:t xml:space="preserve">https://legacy.quran.com/16/11</w:t>
        </w:r>
      </w:hyperlink>
    </w:p>
    <w:p>
      <w:pPr>
        <w:pStyle w:val="BodyText"/>
      </w:pPr>
      <w:hyperlink r:id="rId58">
        <w:r>
          <w:rPr>
            <w:rStyle w:val="Hyperlink"/>
          </w:rPr>
          <w:t xml:space="preserve">[33]</w:t>
        </w:r>
      </w:hyperlink>
      <w:r>
        <w:t xml:space="preserve"> </w:t>
      </w:r>
      <w:r>
        <w:t xml:space="preserve">https://myislam.org/surah-nahl/ayat-11/</w:t>
      </w:r>
    </w:p>
    <w:p>
      <w:pPr>
        <w:pStyle w:val="BodyText"/>
      </w:pPr>
      <w:hyperlink r:id="rId58">
        <w:r>
          <w:rPr>
            <w:rStyle w:val="Hyperlink"/>
          </w:rPr>
          <w:t xml:space="preserve">https://myislam.org/surah-nahl/ayat-11/</w:t>
        </w:r>
      </w:hyperlink>
    </w:p>
    <w:p>
      <w:pPr>
        <w:pStyle w:val="BodyText"/>
      </w:pPr>
      <w:hyperlink r:id="rId61">
        <w:r>
          <w:rPr>
            <w:rStyle w:val="Hyperlink"/>
          </w:rPr>
          <w:t xml:space="preserve">[38]</w:t>
        </w:r>
      </w:hyperlink>
      <w:r>
        <w:t xml:space="preserve"> </w:t>
      </w:r>
      <w:r>
        <w:t xml:space="preserve">https://www.islamawakened.org/quran/36/33/translations/</w:t>
      </w:r>
    </w:p>
    <w:p>
      <w:pPr>
        <w:pStyle w:val="BodyText"/>
      </w:pPr>
      <w:hyperlink r:id="rId61">
        <w:r>
          <w:rPr>
            <w:rStyle w:val="Hyperlink"/>
          </w:rPr>
          <w:t xml:space="preserve">https://www.islamawakened.org/quran/36/33/translations/</w:t>
        </w:r>
      </w:hyperlink>
    </w:p>
    <w:bookmarkEnd w:id="65"/>
    <w:sectPr>
      <w:footnotePr>
        <w:numRestart w:val="eachSect"/>
      </w:footnotePr>
    </w:sectPr>
  </w:body>
</w:document>
</file>

<file path=word/comments.xml><?xml version="1.0" encoding="utf-8"?>
<w:comment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file>

<file path=word/fontTable.xml><?xml version="1.0" encoding="utf-8"?>
<w:fonts xmlns:r="http://schemas.openxmlformats.org/officeDocument/2006/relationships" xmlns:w="http://schemas.openxmlformats.org/wordprocessingml/2006/main">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Cambria Math">
    <w:panose1 w:val="02040503050406030204"/>
    <w:charset w:val="00"/>
    <w:family w:val="roman"/>
    <w:pitch w:val="variable"/>
    <w:sig w:usb0="E00002FF" w:usb1="420024FF" w:usb2="00000000" w:usb3="00000000" w:csb0="0000019F"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footnotes.xml><?xml version="1.0" encoding="utf-8"?>
<w:footnote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footnote w:type="continuationSeparator" w:id="0">
    <w:p>
      <w:r>
        <w:continuationSeparator/>
      </w:r>
    </w:p>
  </w:footnote>
  <w:footnote w:type="separator" w:id="-1">
    <w:p>
      <w:r>
        <w:separator/>
      </w:r>
    </w:p>
  </w:footnote>
</w:footnotes>
</file>

<file path=word/numbering.xml><?xml version="1.0" encoding="utf-8"?>
<w:numbering xmlns:w="http://schemas.openxmlformats.org/wordprocessingml/2006/main">
  <w:abstractNum w:abstractNumId="990">
    <w:nsid w:val="0000A990"/>
    <w:multiLevelType w:val="multilevel"/>
    <w:lvl w:ilvl="0">
      <w:numFmt w:val="bullet"/>
      <w:lvlText w:val=" "/>
      <w:lvlJc w:val="left"/>
      <w:pPr>
        <w:ind w:left="720" w:hanging="360"/>
      </w:pPr>
    </w:lvl>
    <w:lvl w:ilvl="1">
      <w:numFmt w:val="bullet"/>
      <w:lvlText w:val=" "/>
      <w:lvlJc w:val="left"/>
      <w:pPr>
        <w:ind w:left="1440" w:hanging="360"/>
      </w:pPr>
    </w:lvl>
    <w:lvl w:ilvl="2">
      <w:numFmt w:val="bullet"/>
      <w:lvlText w:val=" "/>
      <w:lvlJc w:val="left"/>
      <w:pPr>
        <w:ind w:left="2160" w:hanging="360"/>
      </w:pPr>
    </w:lvl>
    <w:lvl w:ilvl="3">
      <w:numFmt w:val="bullet"/>
      <w:lvlText w:val=" "/>
      <w:lvlJc w:val="left"/>
      <w:pPr>
        <w:ind w:left="2880" w:hanging="360"/>
      </w:pPr>
    </w:lvl>
    <w:lvl w:ilvl="4">
      <w:numFmt w:val="bullet"/>
      <w:lvlText w:val=" "/>
      <w:lvlJc w:val="left"/>
      <w:pPr>
        <w:ind w:left="3600" w:hanging="360"/>
      </w:pPr>
    </w:lvl>
    <w:lvl w:ilvl="5">
      <w:numFmt w:val="bullet"/>
      <w:lvlText w:val=" "/>
      <w:lvlJc w:val="left"/>
      <w:pPr>
        <w:ind w:left="4320" w:hanging="360"/>
      </w:pPr>
    </w:lvl>
    <w:lvl w:ilvl="6">
      <w:numFmt w:val="bullet"/>
      <w:lvlText w:val=" "/>
      <w:lvlJc w:val="left"/>
      <w:pPr>
        <w:ind w:left="5040" w:hanging="360"/>
      </w:pPr>
    </w:lvl>
    <w:lvl w:ilvl="7">
      <w:numFmt w:val="bullet"/>
      <w:lvlText w:val=" "/>
      <w:lvlJc w:val="left"/>
      <w:pPr>
        <w:ind w:left="5760" w:hanging="360"/>
      </w:pPr>
    </w:lvl>
    <w:lvl w:ilvl="8">
      <w:numFmt w:val="bullet"/>
      <w:lvlText w:val=" "/>
      <w:lvlJc w:val="left"/>
      <w:pPr>
        <w:ind w:left="6480" w:hanging="360"/>
      </w:pPr>
    </w:lvl>
  </w:abstractNum>
  <w:num w:numId="1000">
    <w:abstractNumId w:val="990"/>
  </w:num>
</w:numbering>
</file>

<file path=word/settings.xml><?xml version="1.0" encoding="utf-8"?>
<w:settings xmlns:m="http://schemas.openxmlformats.org/officeDocument/2006/math" xmlns:o="urn:schemas-microsoft-com:office:office" xmlns:r="http://schemas.openxmlformats.org/officeDocument/2006/relationships" xmlns:sl="http://schemas.openxmlformats.org/schemaLibrary/2006/main" xmlns:v="urn:schemas-microsoft-com:vml" xmlns:w="http://schemas.openxmlformats.org/wordprocessingml/2006/main" xmlns:w10="urn:schemas-microsoft-com:office:word">
  <w:zoom w:percent="100"/>
  <w:embedSystemFonts/>
  <w:proofState w:grammar="clean" w:spelling="clean"/>
  <w:stylePaneFormatFilter w:val="0004"/>
  <w:doNotTrackMoves/>
  <w:defaultTabStop w:val="720"/>
  <w:drawingGridHorizontalSpacing w:val="360"/>
  <w:drawingGridVerticalSpacing w:val="360"/>
  <w:displayHorizontalDrawingGridEvery w:val="0"/>
  <w:displayVerticalDrawingGridEvery w:val="0"/>
  <w:characterSpacingControl w:val="doNotCompress"/>
  <w:savePreviewPicture/>
  <w:rsids>
  </w:rsids>
  <w:themeFontLang w:val="en-US"/>
  <w:clrSchemeMapping w:accent1="accent1" w:accent2="accent2" w:accent3="accent3" w:accent4="accent4" w:accent5="accent5" w:accent6="accent6" w:bg1="light1" w:bg2="light2" w:followedHyperlink="followedHyperlink" w:hyperlink="hyperlink" w:t1="dark1" w:t2="dark2"/>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cstheme="minorBidi" w:eastAsiaTheme="minorHAnsi" w:hAnsiTheme="minorHAnsi"/>
        <w:sz w:val="24"/>
        <w:szCs w:val="24"/>
        <w:lang w:bidi="ar-SA" w:eastAsia="en-US" w:val="en"/>
      </w:rPr>
    </w:rPrDefault>
    <w:pPrDefault>
      <w:pPr>
        <w:spacing w:after="200"/>
      </w:pPr>
    </w:pPrDefault>
  </w:docDefaults>
  <w:latentStyles w:count="276" w:defLockedState="0" w:defQFormat="0" w:defSemiHidden="0" w:defUIPriority="0" w:defUnhideWhenUsed="0"/>
  <w:style w:default="1" w:styleId="Normal" w:type="paragraph">
    <w:name w:val="Normal"/>
    <w:qFormat/>
  </w:style>
  <w:style w:styleId="BodyText" w:type="paragraph">
    <w:name w:val="Body Text"/>
    <w:basedOn w:val="Normal"/>
    <w:link w:val="BodyTextChar"/>
    <w:qFormat/>
    <w:pPr>
      <w:spacing w:after="180" w:before="180"/>
    </w:pPr>
  </w:style>
  <w:style w:customStyle="1" w:styleId="FirstParagraph" w:type="paragraph">
    <w:name w:val="First Paragraph"/>
    <w:basedOn w:val="BodyText"/>
    <w:next w:val="BodyText"/>
    <w:qFormat/>
  </w:style>
  <w:style w:customStyle="1" w:styleId="Compact" w:type="paragraph">
    <w:name w:val="Compact"/>
    <w:basedOn w:val="BodyText"/>
    <w:qFormat/>
    <w:pPr>
      <w:spacing w:after="36" w:before="36"/>
    </w:pPr>
  </w:style>
  <w:style w:styleId="Title" w:type="paragraph">
    <w:name w:val="Title"/>
    <w:basedOn w:val="Normal"/>
    <w:next w:val="BodyText"/>
    <w:link w:val="TitleChar"/>
    <w:uiPriority w:val="10"/>
    <w:qFormat/>
    <w:rsid w:val="00A10FD9"/>
    <w:pPr>
      <w:spacing w:after="80" w:line="240" w:lineRule="auto"/>
      <w:contextualSpacing/>
      <w:jc w:val="center"/>
    </w:pPr>
    <w:rPr>
      <w:rFonts w:asciiTheme="majorHAnsi" w:cstheme="majorBidi" w:eastAsiaTheme="majorEastAsia" w:hAnsiTheme="majorHAnsi"/>
      <w:spacing w:val="-10"/>
      <w:kern w:val="28"/>
      <w:sz w:val="56"/>
      <w:szCs w:val="56"/>
    </w:rPr>
  </w:style>
  <w:style w:customStyle="1" w:styleId="TitleChar" w:type="character">
    <w:name w:val="Title Char"/>
    <w:basedOn w:val="DefaultParagraphFont"/>
    <w:link w:val="Title"/>
    <w:uiPriority w:val="10"/>
    <w:rsid w:val="00A10FD9"/>
    <w:rPr>
      <w:rFonts w:asciiTheme="majorHAnsi" w:cstheme="majorBidi" w:eastAsiaTheme="majorEastAsia" w:hAnsiTheme="majorHAnsi"/>
      <w:spacing w:val="-10"/>
      <w:kern w:val="28"/>
      <w:sz w:val="56"/>
      <w:szCs w:val="56"/>
    </w:rPr>
  </w:style>
  <w:style w:styleId="Subtitle" w:type="paragraph">
    <w:name w:val="Subtitle"/>
    <w:basedOn w:val="Title"/>
    <w:next w:val="BodyText"/>
    <w:link w:val="SubtitleChar"/>
    <w:uiPriority w:val="11"/>
    <w:qFormat/>
    <w:rsid w:val="00A10FD9"/>
    <w:pPr>
      <w:numPr>
        <w:ilvl w:val="1"/>
      </w:numPr>
    </w:pPr>
    <w:rPr>
      <w:rFonts w:cstheme="majorBidi" w:eastAsiaTheme="majorEastAsia"/>
      <w:spacing w:val="15"/>
      <w:sz w:val="28"/>
      <w:szCs w:val="28"/>
    </w:rPr>
  </w:style>
  <w:style w:customStyle="1" w:styleId="SubtitleChar" w:type="character">
    <w:name w:val="Subtitle Char"/>
    <w:basedOn w:val="DefaultParagraphFont"/>
    <w:link w:val="Subtitle"/>
    <w:uiPriority w:val="11"/>
    <w:rsid w:val="00A10FD9"/>
    <w:rPr>
      <w:rFonts w:cstheme="majorBidi" w:eastAsiaTheme="majorEastAsia"/>
      <w:color w:themeColor="text1" w:themeTint="A6" w:val="595959"/>
      <w:spacing w:val="15"/>
      <w:sz w:val="28"/>
      <w:szCs w:val="28"/>
    </w:rPr>
  </w:style>
  <w:style w:customStyle="1" w:styleId="Author" w:type="paragraph">
    <w:name w:val="Author"/>
    <w:next w:val="BodyText"/>
    <w:qFormat/>
    <w:pPr>
      <w:keepNext/>
      <w:keepLines/>
      <w:jc w:val="center"/>
    </w:pPr>
  </w:style>
  <w:style w:styleId="Date" w:type="paragraph">
    <w:name w:val="Date"/>
    <w:next w:val="BodyText"/>
    <w:qFormat/>
    <w:pPr>
      <w:keepNext/>
      <w:keepLines/>
      <w:jc w:val="center"/>
    </w:pPr>
  </w:style>
  <w:style w:customStyle="1" w:styleId="AbstractTitle" w:type="paragraph">
    <w:name w:val="Abstract Title"/>
    <w:basedOn w:val="Normal"/>
    <w:next w:val="Abstract"/>
    <w:qFormat/>
    <w:pPr>
      <w:keepNext/>
      <w:keepLines/>
      <w:spacing w:after="0" w:before="300"/>
      <w:jc w:val="center"/>
    </w:pPr>
    <w:rPr>
      <w:b/>
      <w:sz w:val="20"/>
      <w:szCs w:val="20"/>
    </w:rPr>
  </w:style>
  <w:style w:customStyle="1" w:styleId="Abstract" w:type="paragraph">
    <w:name w:val="Abstract"/>
    <w:basedOn w:val="Normal"/>
    <w:next w:val="BodyText"/>
    <w:qFormat/>
    <w:pPr>
      <w:keepNext/>
      <w:keepLines/>
      <w:spacing w:after="300" w:before="100"/>
    </w:pPr>
    <w:rPr>
      <w:sz w:val="20"/>
      <w:szCs w:val="20"/>
    </w:rPr>
  </w:style>
  <w:style w:styleId="Bibliography" w:type="paragraph">
    <w:name w:val="Bibliography"/>
    <w:basedOn w:val="Normal"/>
    <w:next w:val="Bibliography"/>
    <w:qFormat/>
    <w:pPr/>
    <w:rPr/>
  </w:style>
  <w:style w:styleId="Heading1" w:type="paragraph">
    <w:name w:val="heading 1"/>
    <w:basedOn w:val="Normal"/>
    <w:next w:val="BodyText"/>
    <w:link w:val="Heading1Char"/>
    <w:uiPriority w:val="9"/>
    <w:qFormat/>
    <w:rsid w:val="00A10FD9"/>
    <w:pPr>
      <w:keepNext/>
      <w:keepLines/>
      <w:spacing w:after="80" w:before="360"/>
      <w:outlineLvl w:val="0"/>
    </w:pPr>
    <w:rPr>
      <w:rFonts w:asciiTheme="majorHAnsi" w:cstheme="majorBidi" w:eastAsiaTheme="majorEastAsia" w:hAnsiTheme="majorHAnsi"/>
      <w:color w:themeColor="accent1" w:themeShade="BF" w:val="0F4761"/>
      <w:sz w:val="40"/>
      <w:szCs w:val="40"/>
    </w:rPr>
  </w:style>
  <w:style w:styleId="Heading2" w:type="paragraph">
    <w:name w:val="heading 2"/>
    <w:basedOn w:val="Normal"/>
    <w:next w:val="BodyText"/>
    <w:link w:val="Heading2Char"/>
    <w:uiPriority w:val="9"/>
    <w:semiHidden/>
    <w:unhideWhenUsed/>
    <w:qFormat/>
    <w:rsid w:val="00A10FD9"/>
    <w:pPr>
      <w:keepNext/>
      <w:keepLines/>
      <w:spacing w:after="80" w:before="160"/>
      <w:outlineLvl w:val="1"/>
    </w:pPr>
    <w:rPr>
      <w:rFonts w:asciiTheme="majorHAnsi" w:cstheme="majorBidi" w:eastAsiaTheme="majorEastAsia" w:hAnsiTheme="majorHAnsi"/>
      <w:color w:themeColor="accent1" w:themeShade="BF" w:val="0F4761"/>
      <w:sz w:val="32"/>
      <w:szCs w:val="32"/>
    </w:rPr>
  </w:style>
  <w:style w:styleId="Heading3" w:type="paragraph">
    <w:name w:val="heading 3"/>
    <w:basedOn w:val="Normal"/>
    <w:next w:val="BodyText"/>
    <w:link w:val="Heading3Char"/>
    <w:uiPriority w:val="9"/>
    <w:semiHidden/>
    <w:unhideWhenUsed/>
    <w:qFormat/>
    <w:rsid w:val="00A10FD9"/>
    <w:pPr>
      <w:keepNext/>
      <w:keepLines/>
      <w:spacing w:after="80" w:before="160"/>
      <w:outlineLvl w:val="2"/>
    </w:pPr>
    <w:rPr>
      <w:rFonts w:cstheme="majorBidi" w:eastAsiaTheme="majorEastAsia"/>
      <w:color w:themeColor="accent1" w:themeShade="BF" w:val="0F4761"/>
      <w:sz w:val="28"/>
      <w:szCs w:val="28"/>
    </w:rPr>
  </w:style>
  <w:style w:styleId="Heading4" w:type="paragraph">
    <w:name w:val="heading 4"/>
    <w:basedOn w:val="Normal"/>
    <w:next w:val="BodyText"/>
    <w:link w:val="Heading4Char"/>
    <w:uiPriority w:val="9"/>
    <w:semiHidden/>
    <w:unhideWhenUsed/>
    <w:qFormat/>
    <w:rsid w:val="00A10FD9"/>
    <w:pPr>
      <w:keepNext/>
      <w:keepLines/>
      <w:spacing w:after="40" w:before="80"/>
      <w:outlineLvl w:val="3"/>
    </w:pPr>
    <w:rPr>
      <w:rFonts w:cstheme="majorBidi" w:eastAsiaTheme="majorEastAsia"/>
      <w:i/>
      <w:iCs/>
      <w:color w:themeColor="accent1" w:themeShade="BF" w:val="0F4761"/>
    </w:rPr>
  </w:style>
  <w:style w:styleId="Heading5" w:type="paragraph">
    <w:name w:val="heading 5"/>
    <w:basedOn w:val="Normal"/>
    <w:next w:val="BodyText"/>
    <w:link w:val="Heading5Char"/>
    <w:uiPriority w:val="9"/>
    <w:semiHidden/>
    <w:unhideWhenUsed/>
    <w:qFormat/>
    <w:rsid w:val="00A10FD9"/>
    <w:pPr>
      <w:keepNext/>
      <w:keepLines/>
      <w:spacing w:after="40" w:before="80"/>
      <w:outlineLvl w:val="4"/>
    </w:pPr>
    <w:rPr>
      <w:rFonts w:cstheme="majorBidi" w:eastAsiaTheme="majorEastAsia"/>
      <w:color w:themeColor="accent1" w:themeShade="BF" w:val="0F4761"/>
    </w:rPr>
  </w:style>
  <w:style w:styleId="Heading6" w:type="paragraph">
    <w:name w:val="heading 6"/>
    <w:basedOn w:val="Normal"/>
    <w:next w:val="BodyText"/>
    <w:link w:val="Heading6Char"/>
    <w:uiPriority w:val="9"/>
    <w:semiHidden/>
    <w:unhideWhenUsed/>
    <w:qFormat/>
    <w:rsid w:val="00A10FD9"/>
    <w:pPr>
      <w:keepNext/>
      <w:keepLines/>
      <w:spacing w:after="0" w:before="40"/>
      <w:outlineLvl w:val="5"/>
    </w:pPr>
    <w:rPr>
      <w:rFonts w:cstheme="majorBidi" w:eastAsiaTheme="majorEastAsia"/>
      <w:i/>
      <w:iCs/>
      <w:color w:themeColor="text1" w:themeTint="A6" w:val="595959"/>
    </w:rPr>
  </w:style>
  <w:style w:styleId="Heading7" w:type="paragraph">
    <w:name w:val="heading 7"/>
    <w:basedOn w:val="Normal"/>
    <w:next w:val="BodyText"/>
    <w:link w:val="Heading7Char"/>
    <w:uiPriority w:val="9"/>
    <w:semiHidden/>
    <w:unhideWhenUsed/>
    <w:qFormat/>
    <w:rsid w:val="00A10FD9"/>
    <w:pPr>
      <w:keepNext/>
      <w:keepLines/>
      <w:spacing w:after="0" w:before="40"/>
      <w:outlineLvl w:val="6"/>
    </w:pPr>
    <w:rPr>
      <w:rFonts w:cstheme="majorBidi" w:eastAsiaTheme="majorEastAsia"/>
      <w:color w:themeColor="text1" w:themeTint="A6" w:val="595959"/>
    </w:rPr>
  </w:style>
  <w:style w:styleId="Heading8" w:type="paragraph">
    <w:name w:val="heading 8"/>
    <w:basedOn w:val="Normal"/>
    <w:next w:val="BodyText"/>
    <w:link w:val="Heading8Char"/>
    <w:uiPriority w:val="9"/>
    <w:semiHidden/>
    <w:unhideWhenUsed/>
    <w:qFormat/>
    <w:rsid w:val="00A10FD9"/>
    <w:pPr>
      <w:keepNext/>
      <w:keepLines/>
      <w:spacing w:after="0"/>
      <w:outlineLvl w:val="7"/>
    </w:pPr>
    <w:rPr>
      <w:rFonts w:cstheme="majorBidi" w:eastAsiaTheme="majorEastAsia"/>
      <w:i/>
      <w:iCs/>
      <w:color w:themeColor="text1" w:themeTint="D8" w:val="272727"/>
    </w:rPr>
  </w:style>
  <w:style w:styleId="Heading9" w:type="paragraph">
    <w:name w:val="heading 9"/>
    <w:basedOn w:val="Normal"/>
    <w:next w:val="BodyText"/>
    <w:link w:val="Heading9Char"/>
    <w:uiPriority w:val="9"/>
    <w:semiHidden/>
    <w:unhideWhenUsed/>
    <w:qFormat/>
    <w:rsid w:val="00A10FD9"/>
    <w:pPr>
      <w:keepNext/>
      <w:keepLines/>
      <w:spacing w:after="0"/>
      <w:outlineLvl w:val="8"/>
    </w:pPr>
    <w:rPr>
      <w:rFonts w:cstheme="majorBidi" w:eastAsiaTheme="majorEastAsia"/>
      <w:color w:themeColor="text1" w:themeTint="D8" w:val="272727"/>
    </w:rPr>
  </w:style>
  <w:style w:customStyle="1" w:styleId="Heading1Char" w:type="character">
    <w:name w:val="Heading 1 Char"/>
    <w:basedOn w:val="DefaultParagraphFont"/>
    <w:link w:val="Heading1"/>
    <w:uiPriority w:val="9"/>
    <w:rsid w:val="00A10FD9"/>
    <w:rPr>
      <w:rFonts w:asciiTheme="majorHAnsi" w:cstheme="majorBidi" w:eastAsiaTheme="majorEastAsia" w:hAnsiTheme="majorHAnsi"/>
      <w:color w:themeColor="accent1" w:themeShade="BF" w:val="0F4761"/>
      <w:sz w:val="40"/>
      <w:szCs w:val="40"/>
    </w:rPr>
  </w:style>
  <w:style w:customStyle="1" w:styleId="Heading2Char" w:type="character">
    <w:name w:val="Heading 2 Char"/>
    <w:basedOn w:val="DefaultParagraphFont"/>
    <w:link w:val="Heading2"/>
    <w:uiPriority w:val="9"/>
    <w:semiHidden/>
    <w:rsid w:val="00A10FD9"/>
    <w:rPr>
      <w:rFonts w:asciiTheme="majorHAnsi" w:cstheme="majorBidi" w:eastAsiaTheme="majorEastAsia" w:hAnsiTheme="majorHAnsi"/>
      <w:color w:themeColor="accent1" w:themeShade="BF" w:val="0F4761"/>
      <w:sz w:val="32"/>
      <w:szCs w:val="32"/>
    </w:rPr>
  </w:style>
  <w:style w:customStyle="1" w:styleId="Heading3Char" w:type="character">
    <w:name w:val="Heading 3 Char"/>
    <w:basedOn w:val="DefaultParagraphFont"/>
    <w:link w:val="Heading3"/>
    <w:uiPriority w:val="9"/>
    <w:semiHidden/>
    <w:rsid w:val="00A10FD9"/>
    <w:rPr>
      <w:rFonts w:cstheme="majorBidi" w:eastAsiaTheme="majorEastAsia"/>
      <w:color w:themeColor="accent1" w:themeShade="BF" w:val="0F4761"/>
      <w:sz w:val="28"/>
      <w:szCs w:val="28"/>
    </w:rPr>
  </w:style>
  <w:style w:customStyle="1" w:styleId="Heading4Char" w:type="character">
    <w:name w:val="Heading 4 Char"/>
    <w:basedOn w:val="DefaultParagraphFont"/>
    <w:link w:val="Heading4"/>
    <w:uiPriority w:val="9"/>
    <w:semiHidden/>
    <w:rsid w:val="00A10FD9"/>
    <w:rPr>
      <w:rFonts w:cstheme="majorBidi" w:eastAsiaTheme="majorEastAsia"/>
      <w:i/>
      <w:iCs/>
      <w:color w:themeColor="accent1" w:themeShade="BF" w:val="0F4761"/>
    </w:rPr>
  </w:style>
  <w:style w:customStyle="1" w:styleId="Heading5Char" w:type="character">
    <w:name w:val="Heading 5 Char"/>
    <w:basedOn w:val="DefaultParagraphFont"/>
    <w:link w:val="Heading5"/>
    <w:uiPriority w:val="9"/>
    <w:semiHidden/>
    <w:rsid w:val="00A10FD9"/>
    <w:rPr>
      <w:rFonts w:cstheme="majorBidi" w:eastAsiaTheme="majorEastAsia"/>
      <w:color w:themeColor="accent1" w:themeShade="BF" w:val="0F4761"/>
    </w:rPr>
  </w:style>
  <w:style w:customStyle="1" w:styleId="Heading6Char" w:type="character">
    <w:name w:val="Heading 6 Char"/>
    <w:basedOn w:val="DefaultParagraphFont"/>
    <w:link w:val="Heading6"/>
    <w:uiPriority w:val="9"/>
    <w:semiHidden/>
    <w:rsid w:val="00A10FD9"/>
    <w:rPr>
      <w:rFonts w:cstheme="majorBidi" w:eastAsiaTheme="majorEastAsia"/>
      <w:i/>
      <w:iCs/>
      <w:color w:themeColor="text1" w:themeTint="A6" w:val="595959"/>
    </w:rPr>
  </w:style>
  <w:style w:customStyle="1" w:styleId="Heading7Char" w:type="character">
    <w:name w:val="Heading 7 Char"/>
    <w:basedOn w:val="DefaultParagraphFont"/>
    <w:link w:val="Heading7"/>
    <w:uiPriority w:val="9"/>
    <w:semiHidden/>
    <w:rsid w:val="00A10FD9"/>
    <w:rPr>
      <w:rFonts w:cstheme="majorBidi" w:eastAsiaTheme="majorEastAsia"/>
      <w:color w:themeColor="text1" w:themeTint="A6" w:val="595959"/>
    </w:rPr>
  </w:style>
  <w:style w:customStyle="1" w:styleId="Heading8Char" w:type="character">
    <w:name w:val="Heading 8 Char"/>
    <w:basedOn w:val="DefaultParagraphFont"/>
    <w:link w:val="Heading8"/>
    <w:uiPriority w:val="9"/>
    <w:semiHidden/>
    <w:rsid w:val="00A10FD9"/>
    <w:rPr>
      <w:rFonts w:cstheme="majorBidi" w:eastAsiaTheme="majorEastAsia"/>
      <w:i/>
      <w:iCs/>
      <w:color w:themeColor="text1" w:themeTint="D8" w:val="272727"/>
    </w:rPr>
  </w:style>
  <w:style w:customStyle="1" w:styleId="Heading9Char" w:type="character">
    <w:name w:val="Heading 9 Char"/>
    <w:basedOn w:val="DefaultParagraphFont"/>
    <w:link w:val="Heading9"/>
    <w:uiPriority w:val="9"/>
    <w:semiHidden/>
    <w:rsid w:val="00A10FD9"/>
    <w:rPr>
      <w:rFonts w:cstheme="majorBidi" w:eastAsiaTheme="majorEastAsia"/>
      <w:color w:themeColor="text1" w:themeTint="D8" w:val="272727"/>
    </w:rPr>
  </w:style>
  <w:style w:styleId="BlockText" w:type="paragraph">
    <w:name w:val="Block Text"/>
    <w:basedOn w:val="BodyText"/>
    <w:next w:val="BodyText"/>
    <w:uiPriority w:val="9"/>
    <w:unhideWhenUsed/>
    <w:qFormat/>
    <w:pPr>
      <w:spacing w:after="100" w:before="100"/>
      <w:ind w:firstLine="0" w:left="480" w:right="480"/>
    </w:pPr>
  </w:style>
  <w:style w:styleId="FootnoteText" w:type="paragraph">
    <w:name w:val="Footnote Text"/>
    <w:basedOn w:val="Normal"/>
    <w:next w:val="FootnoteText"/>
    <w:uiPriority w:val="9"/>
    <w:unhideWhenUsed/>
    <w:qFormat/>
  </w:style>
  <w:style w:styleId="FootnoteBlockText" w:type="paragraph">
    <w:name w:val="Footnote Block Text"/>
    <w:basedOn w:val="FootnoteText"/>
    <w:next w:val="FootnoteText"/>
    <w:uiPriority w:val="9"/>
    <w:unhideWhenUsed/>
    <w:qFormat/>
    <w:pPr>
      <w:spacing w:after="100" w:before="100"/>
      <w:ind w:firstLine="0" w:left="480" w:right="480"/>
    </w:pPr>
  </w:style>
  <w:style w:default="1" w:styleId="DefaultParagraphFont" w:type="character">
    <w:name w:val="Default Paragraph Font"/>
    <w:semiHidden/>
    <w:unhideWhenUsed/>
  </w:style>
  <w:style w:default="1" w:styleId="Table" w:type="table">
    <w:name w:val="Table"/>
    <w:basedOn w:val="TableNormal"/>
    <w:semiHidden/>
    <w:unhideWhenUsed/>
    <w:qFormat/>
    <w:tblPr>
      <w:tblInd w:type="dxa" w:w="0"/>
      <w:tblCellMar>
        <w:top w:type="dxa" w:w="0"/>
        <w:left w:type="dxa" w:w="108"/>
        <w:bottom w:type="dxa" w:w="0"/>
        <w:right w:type="dxa" w:w="108"/>
      </w:tblCellMar>
    </w:tblPr>
    <w:tblStylePr w:type="firstRow">
      <w:tblPr>
        <w:jc w:val="left"/>
        <w:tblInd w:type="dxa" w:w="0"/>
      </w:tblPr>
      <w:trPr>
        <w:jc w:val="left"/>
      </w:trPr>
      <w:tcPr>
        <w:tcBorders>
          <w:bottom w:val="single"/>
        </w:tcBorders>
        <w:vAlign w:val="bottom"/>
      </w:tcPr>
    </w:tblStylePr>
  </w:style>
  <w:style w:customStyle="1" w:styleId="DefinitionTerm" w:type="paragraph">
    <w:name w:val="Definition Term"/>
    <w:basedOn w:val="Normal"/>
    <w:next w:val="Definition"/>
    <w:pPr>
      <w:keepNext/>
      <w:keepLines/>
      <w:spacing w:after="0"/>
    </w:pPr>
    <w:rPr>
      <w:b/>
    </w:rPr>
  </w:style>
  <w:style w:customStyle="1" w:styleId="Definition" w:type="paragraph">
    <w:name w:val="Definition"/>
    <w:basedOn w:val="Normal"/>
  </w:style>
  <w:style w:styleId="Caption" w:type="paragraph">
    <w:name w:val="Caption"/>
    <w:basedOn w:val="Normal"/>
    <w:link w:val="BodyTextChar"/>
    <w:pPr>
      <w:spacing w:after="120" w:before="0"/>
    </w:pPr>
    <w:rPr>
      <w:i/>
    </w:rPr>
  </w:style>
  <w:style w:customStyle="1" w:styleId="TableCaption" w:type="paragraph">
    <w:name w:val="Table Caption"/>
    <w:basedOn w:val="Caption"/>
    <w:pPr>
      <w:keepNext/>
    </w:pPr>
  </w:style>
  <w:style w:customStyle="1" w:styleId="ImageCaption" w:type="paragraph">
    <w:name w:val="Image Caption"/>
    <w:basedOn w:val="Caption"/>
  </w:style>
  <w:style w:customStyle="1" w:styleId="Figure" w:type="paragraph">
    <w:name w:val="Figure"/>
    <w:basedOn w:val="Normal"/>
  </w:style>
  <w:style w:customStyle="1" w:styleId="CaptionedFigure" w:type="paragraph">
    <w:name w:val="Captioned Figure"/>
    <w:basedOn w:val="Figure"/>
    <w:pPr>
      <w:keepNext/>
    </w:pPr>
  </w:style>
  <w:style w:customStyle="1" w:styleId="BodyTextChar" w:type="character">
    <w:name w:val="Body Text Char"/>
    <w:basedOn w:val="DefaultParagraphFont"/>
    <w:link w:val="BodyText"/>
  </w:style>
  <w:style w:customStyle="1" w:styleId="VerbatimChar" w:type="character">
    <w:name w:val="Verbatim Char"/>
    <w:basedOn w:val="BodyTextChar"/>
    <w:rPr>
      <w:rFonts w:ascii="Consolas" w:hAnsi="Consolas"/>
      <w:sz w:val="22"/>
    </w:rPr>
  </w:style>
  <w:style w:customStyle="1" w:styleId="SectionNumber" w:type="character">
    <w:name w:val="Section Number"/>
    <w:basedOn w:val="BodyTextChar"/>
  </w:style>
  <w:style w:styleId="FootnoteReference" w:type="character">
    <w:name w:val="Footnote Reference"/>
    <w:basedOn w:val="BodyTextChar"/>
    <w:rPr>
      <w:vertAlign w:val="superscript"/>
    </w:rPr>
  </w:style>
  <w:style w:styleId="Hyperlink" w:type="character">
    <w:name w:val="Hyperlink"/>
    <w:basedOn w:val="BodyTextChar"/>
    <w:rPr>
      <w:color w:themeColor="accent1" w:val="4F81BD"/>
    </w:rPr>
  </w:style>
  <w:style w:styleId="TOCHeading" w:type="paragraph">
    <w:name w:val="TOC Heading"/>
    <w:basedOn w:val="Heading1"/>
    <w:next w:val="BodyText"/>
    <w:uiPriority w:val="39"/>
    <w:unhideWhenUsed/>
    <w:qFormat/>
    <w:pPr>
      <w:spacing w:before="240" w:line="259" w:lineRule="auto"/>
      <w:outlineLvl w:val="9"/>
    </w:pPr>
    <w:rPr>
      <w:rFonts w:asciiTheme="majorHAnsi" w:cstheme="majorBidi" w:eastAsiaTheme="majorEastAsia" w:hAnsiTheme="majorHAnsi"/>
      <w:b w:val="0"/>
      <w:bCs w:val="0"/>
      <w:color w:themeColor="accent1" w:themeShade="BF" w:val="365F91"/>
    </w:rPr>
  </w:style>
  <w:style w:type="paragraph" w:customStyle="1" w:styleId="SourceCode">
    <w:name w:val="Source Code"/>
    <w:basedOn w:val="Normal"/>
    <w:link w:val="VerbatimChar"/>
    <w:pPr>
      <w:wordWrap w:val="off"/>
    </w:pPr>
  </w:style>
  <w:style w:type="character" w:customStyle="1" w:styleId="KeywordTok">
    <w:name w:val="KeywordTok"/>
    <w:basedOn w:val="VerbatimChar"/>
    <w:rPr>
      <w:b/>
      <w:color w:val="007020"/>
    </w:rPr>
  </w:style>
  <w:style w:type="character" w:customStyle="1" w:styleId="DataTypeTok">
    <w:name w:val="DataTypeTok"/>
    <w:basedOn w:val="VerbatimChar"/>
    <w:rPr>
      <w:color w:val="902000"/>
    </w:rPr>
  </w:style>
  <w:style w:type="character" w:customStyle="1" w:styleId="DecValTok">
    <w:name w:val="DecValTok"/>
    <w:basedOn w:val="VerbatimChar"/>
    <w:rPr>
      <w:color w:val="40a070"/>
    </w:rPr>
  </w:style>
  <w:style w:type="character" w:customStyle="1" w:styleId="BaseNTok">
    <w:name w:val="BaseNTok"/>
    <w:basedOn w:val="VerbatimChar"/>
    <w:rPr>
      <w:color w:val="40a070"/>
    </w:rPr>
  </w:style>
  <w:style w:type="character" w:customStyle="1" w:styleId="FloatTok">
    <w:name w:val="FloatTok"/>
    <w:basedOn w:val="VerbatimChar"/>
    <w:rPr>
      <w:color w:val="40a070"/>
    </w:rPr>
  </w:style>
  <w:style w:type="character" w:customStyle="1" w:styleId="ConstantTok">
    <w:name w:val="ConstantTok"/>
    <w:basedOn w:val="VerbatimChar"/>
    <w:rPr>
      <w:color w:val="880000"/>
    </w:rPr>
  </w:style>
  <w:style w:type="character" w:customStyle="1" w:styleId="CharTok">
    <w:name w:val="CharTok"/>
    <w:basedOn w:val="VerbatimChar"/>
    <w:rPr>
      <w:color w:val="4070a0"/>
    </w:rPr>
  </w:style>
  <w:style w:type="character" w:customStyle="1" w:styleId="SpecialCharTok">
    <w:name w:val="SpecialCharTok"/>
    <w:basedOn w:val="VerbatimChar"/>
    <w:rPr>
      <w:color w:val="4070a0"/>
    </w:rPr>
  </w:style>
  <w:style w:type="character" w:customStyle="1" w:styleId="StringTok">
    <w:name w:val="StringTok"/>
    <w:basedOn w:val="VerbatimChar"/>
    <w:rPr>
      <w:color w:val="4070a0"/>
    </w:rPr>
  </w:style>
  <w:style w:type="character" w:customStyle="1" w:styleId="VerbatimStringTok">
    <w:name w:val="VerbatimStringTok"/>
    <w:basedOn w:val="VerbatimChar"/>
    <w:rPr>
      <w:color w:val="4070a0"/>
    </w:rPr>
  </w:style>
  <w:style w:type="character" w:customStyle="1" w:styleId="SpecialStringTok">
    <w:name w:val="SpecialStringTok"/>
    <w:basedOn w:val="VerbatimChar"/>
    <w:rPr>
      <w:color w:val="bb6688"/>
    </w:rPr>
  </w:style>
  <w:style w:type="character" w:customStyle="1" w:styleId="ImportTok">
    <w:name w:val="ImportTok"/>
    <w:basedOn w:val="VerbatimChar"/>
    <w:rPr>
      <w:b/>
      <w:color w:val="008000"/>
    </w:rPr>
  </w:style>
  <w:style w:type="character" w:customStyle="1" w:styleId="CommentTok">
    <w:name w:val="CommentTok"/>
    <w:basedOn w:val="VerbatimChar"/>
    <w:rPr>
      <w:i/>
      <w:color w:val="60a0b0"/>
    </w:rPr>
  </w:style>
  <w:style w:type="character" w:customStyle="1" w:styleId="DocumentationTok">
    <w:name w:val="DocumentationTok"/>
    <w:basedOn w:val="VerbatimChar"/>
    <w:rPr>
      <w:i/>
      <w:color w:val="ba2121"/>
    </w:rPr>
  </w:style>
  <w:style w:type="character" w:customStyle="1" w:styleId="AnnotationTok">
    <w:name w:val="AnnotationTok"/>
    <w:basedOn w:val="VerbatimChar"/>
    <w:rPr>
      <w:b/>
      <w:i/>
      <w:color w:val="60a0b0"/>
    </w:rPr>
  </w:style>
  <w:style w:type="character" w:customStyle="1" w:styleId="CommentVarTok">
    <w:name w:val="CommentVarTok"/>
    <w:basedOn w:val="VerbatimChar"/>
    <w:rPr>
      <w:b/>
      <w:i/>
      <w:color w:val="60a0b0"/>
    </w:rPr>
  </w:style>
  <w:style w:type="character" w:customStyle="1" w:styleId="OtherTok">
    <w:name w:val="OtherTok"/>
    <w:basedOn w:val="VerbatimChar"/>
    <w:rPr>
      <w:color w:val="007020"/>
    </w:rPr>
  </w:style>
  <w:style w:type="character" w:customStyle="1" w:styleId="FunctionTok">
    <w:name w:val="FunctionTok"/>
    <w:basedOn w:val="VerbatimChar"/>
    <w:rPr>
      <w:color w:val="06287e"/>
    </w:rPr>
  </w:style>
  <w:style w:type="character" w:customStyle="1" w:styleId="VariableTok">
    <w:name w:val="VariableTok"/>
    <w:basedOn w:val="VerbatimChar"/>
    <w:rPr>
      <w:color w:val="19177c"/>
    </w:rPr>
  </w:style>
  <w:style w:type="character" w:customStyle="1" w:styleId="ControlFlowTok">
    <w:name w:val="ControlFlowTok"/>
    <w:basedOn w:val="VerbatimChar"/>
    <w:rPr>
      <w:b/>
      <w:color w:val="007020"/>
    </w:rPr>
  </w:style>
  <w:style w:type="character" w:customStyle="1" w:styleId="OperatorTok">
    <w:name w:val="OperatorTok"/>
    <w:basedOn w:val="VerbatimChar"/>
    <w:rPr>
      <w:color w:val="666666"/>
    </w:rPr>
  </w:style>
  <w:style w:type="character" w:customStyle="1" w:styleId="BuiltInTok">
    <w:name w:val="BuiltInTok"/>
    <w:basedOn w:val="VerbatimChar"/>
    <w:rPr>
      <w:color w:val="008000"/>
    </w:rPr>
  </w:style>
  <w:style w:type="character" w:customStyle="1" w:styleId="ExtensionTok">
    <w:name w:val="ExtensionTok"/>
    <w:basedOn w:val="VerbatimChar"/>
    <w:rPr/>
  </w:style>
  <w:style w:type="character" w:customStyle="1" w:styleId="PreprocessorTok">
    <w:name w:val="PreprocessorTok"/>
    <w:basedOn w:val="VerbatimChar"/>
    <w:rPr>
      <w:color w:val="bc7a00"/>
    </w:rPr>
  </w:style>
  <w:style w:type="character" w:customStyle="1" w:styleId="AttributeTok">
    <w:name w:val="AttributeTok"/>
    <w:basedOn w:val="VerbatimChar"/>
    <w:rPr>
      <w:color w:val="7d9029"/>
    </w:rPr>
  </w:style>
  <w:style w:type="character" w:customStyle="1" w:styleId="RegionMarkerTok">
    <w:name w:val="RegionMarkerTok"/>
    <w:basedOn w:val="VerbatimChar"/>
    <w:rPr/>
  </w:style>
  <w:style w:type="character" w:customStyle="1" w:styleId="InformationTok">
    <w:name w:val="InformationTok"/>
    <w:basedOn w:val="VerbatimChar"/>
    <w:rPr>
      <w:b/>
      <w:i/>
      <w:color w:val="60a0b0"/>
    </w:rPr>
  </w:style>
  <w:style w:type="character" w:customStyle="1" w:styleId="WarningTok">
    <w:name w:val="WarningTok"/>
    <w:basedOn w:val="VerbatimChar"/>
    <w:rPr>
      <w:b/>
      <w:i/>
      <w:color w:val="60a0b0"/>
    </w:rPr>
  </w:style>
  <w:style w:type="character" w:customStyle="1" w:styleId="AlertTok">
    <w:name w:val="AlertTok"/>
    <w:basedOn w:val="VerbatimChar"/>
    <w:rPr>
      <w:b/>
      <w:color w:val="ff0000"/>
    </w:rPr>
  </w:style>
  <w:style w:type="character" w:customStyle="1" w:styleId="ErrorTok">
    <w:name w:val="ErrorTok"/>
    <w:basedOn w:val="VerbatimChar"/>
    <w:rPr>
      <w:b/>
      <w:color w:val="ff0000"/>
    </w:rPr>
  </w:style>
  <w:style w:type="character" w:customStyle="1" w:styleId="NormalTok">
    <w:name w:val="NormalTok"/>
    <w:basedOn w:val="VerbatimChar"/>
    <w:rPr/>
  </w:style>
</w:styles>
</file>

<file path=word/webSettings.xml><?xml version="1.0" encoding="utf-8"?>
<ns0:webSettings xmlns:ns0="http://schemas.openxmlformats.org/wordprocessingml/2006/main">
  <ns0:allowPNG/>
  <ns0:doNotSaveAsSingleFile/>
</ns0:webSettings>
</file>

<file path=word/_rels/document.xml.rels><?xml version="1.0" encoding="UTF-8"?><Relationships xmlns="http://schemas.openxmlformats.org/package/2006/relationships"><Relationship Type="http://schemas.openxmlformats.org/officeDocument/2006/relationships/numbering" Id="rId1" Target="numbering.xml" /><Relationship Type="http://schemas.openxmlformats.org/officeDocument/2006/relationships/styles" Id="rId2" Target="styles.xml" /><Relationship Type="http://schemas.openxmlformats.org/officeDocument/2006/relationships/settings" Id="rId3" Target="settings.xml" /><Relationship Type="http://schemas.openxmlformats.org/officeDocument/2006/relationships/webSettings" Id="rId4" Target="webSettings.xml" /><Relationship Type="http://schemas.openxmlformats.org/officeDocument/2006/relationships/fontTable" Id="rId5" Target="fontTable.xml" /><Relationship Type="http://schemas.openxmlformats.org/officeDocument/2006/relationships/theme" Id="rId6" Target="theme/theme1.xml" /><Relationship Type="http://schemas.openxmlformats.org/officeDocument/2006/relationships/footnotes" Id="rId7" Target="footnotes.xml" /><Relationship Type="http://schemas.openxmlformats.org/officeDocument/2006/relationships/comments" Id="rId8" Target="comments.xml" /><Relationship Type="http://schemas.openxmlformats.org/officeDocument/2006/relationships/hyperlink" Id="rId29" Target="https://almuslih.org/wp-content/uploads/2024/11/Sinai-N-%E2%80%93-Key-terms-of-the-Quran-.pdf" TargetMode="External" /><Relationship Type="http://schemas.openxmlformats.org/officeDocument/2006/relationships/hyperlink" Id="rId44" Target="https://islamawakened.com/quran/20/st3.htm" TargetMode="External" /><Relationship Type="http://schemas.openxmlformats.org/officeDocument/2006/relationships/hyperlink" Id="rId54" Target="https://legacy.quran.com/13/4" TargetMode="External" /><Relationship Type="http://schemas.openxmlformats.org/officeDocument/2006/relationships/hyperlink" Id="rId57" Target="https://legacy.quran.com/16/11" TargetMode="External" /><Relationship Type="http://schemas.openxmlformats.org/officeDocument/2006/relationships/hyperlink" Id="rId24" Target="https://legacy.quran.com/20/53" TargetMode="External" /><Relationship Type="http://schemas.openxmlformats.org/officeDocument/2006/relationships/hyperlink" Id="rId23" Target="https://legacy.quran.com/26/1-9" TargetMode="External" /><Relationship Type="http://schemas.openxmlformats.org/officeDocument/2006/relationships/hyperlink" Id="rId48" Target="https://legacy.quran.com/36/33-39" TargetMode="External" /><Relationship Type="http://schemas.openxmlformats.org/officeDocument/2006/relationships/hyperlink" Id="rId51" Target="https://legacy.quran.com/36/36" TargetMode="External" /><Relationship Type="http://schemas.openxmlformats.org/officeDocument/2006/relationships/hyperlink" Id="rId46" Target="https://legacy.quran.com/50/7" TargetMode="External" /><Relationship Type="http://schemas.openxmlformats.org/officeDocument/2006/relationships/hyperlink" Id="rId40" Target="https://legacy.quran.com/6/95" TargetMode="External" /><Relationship Type="http://schemas.openxmlformats.org/officeDocument/2006/relationships/hyperlink" Id="rId42" Target="https://legacy.quran.com/6/99" TargetMode="External" /><Relationship Type="http://schemas.openxmlformats.org/officeDocument/2006/relationships/hyperlink" Id="rId58" Target="https://myislam.org/surah-nahl/ayat-11/" TargetMode="External" /><Relationship Type="http://schemas.openxmlformats.org/officeDocument/2006/relationships/hyperlink" Id="rId34" Target="https://www.biodiversity-science.net/fileup/PDF/2022254-1.pdf" TargetMode="External" /><Relationship Type="http://schemas.openxmlformats.org/officeDocument/2006/relationships/hyperlink" Id="rId55" Target="https://www.islamawakened.com/quran/13/st3.htm" TargetMode="External" /><Relationship Type="http://schemas.openxmlformats.org/officeDocument/2006/relationships/hyperlink" Id="rId21" Target="https://www.islamawakened.com/quran/26/st3.htm" TargetMode="External" /><Relationship Type="http://schemas.openxmlformats.org/officeDocument/2006/relationships/hyperlink" Id="rId52" Target="https://www.islamawakened.com/quran/36/36/translations/" TargetMode="External" /><Relationship Type="http://schemas.openxmlformats.org/officeDocument/2006/relationships/hyperlink" Id="rId25" Target="https://www.islamawakened.com/quran/50/st3.htm" TargetMode="External" /><Relationship Type="http://schemas.openxmlformats.org/officeDocument/2006/relationships/hyperlink" Id="rId31" Target="https://www.islamawakened.com/quran/6/st3.htm" TargetMode="External" /><Relationship Type="http://schemas.openxmlformats.org/officeDocument/2006/relationships/hyperlink" Id="rId61" Target="https://www.islamawakened.org/quran/36/33/translations/" TargetMode="External" /><Relationship Type="http://schemas.openxmlformats.org/officeDocument/2006/relationships/hyperlink" Id="rId49" Target="https://www.islamawakened.org/quran/36/35/translations/" TargetMode="External" /><Relationship Type="http://schemas.openxmlformats.org/officeDocument/2006/relationships/hyperlink" Id="rId33" Target="https://www.mdpi.com/2071-1050/9/1/149" TargetMode="External" /><Relationship Type="http://schemas.openxmlformats.org/officeDocument/2006/relationships/hyperlink" Id="rId36" Target="https://www.nature.com/articles/s41586-024-07324-0" TargetMode="External" /><Relationship Type="http://schemas.openxmlformats.org/officeDocument/2006/relationships/hyperlink" Id="rId32" Target="https://www.nsf.gov/news/nearly-40-plant-species-are-very-rare-vulnerable" TargetMode="External" /><Relationship Type="http://schemas.openxmlformats.org/officeDocument/2006/relationships/hyperlink" Id="rId26" Target="https://www.soas.ac.uk/about/muhammad-abdel-haleem-obe" TargetMode="External" /></Relationships>
</file>

<file path=word/_rels/footnotes.xml.rels><?xml version="1.0" encoding="UTF-8"?><Relationships xmlns="http://schemas.openxmlformats.org/package/2006/relationships"><Relationship Type="http://schemas.openxmlformats.org/officeDocument/2006/relationships/hyperlink" Id="rId29" Target="https://almuslih.org/wp-content/uploads/2024/11/Sinai-N-%E2%80%93-Key-terms-of-the-Quran-.pdf" TargetMode="External" /><Relationship Type="http://schemas.openxmlformats.org/officeDocument/2006/relationships/hyperlink" Id="rId44" Target="https://islamawakened.com/quran/20/st3.htm" TargetMode="External" /><Relationship Type="http://schemas.openxmlformats.org/officeDocument/2006/relationships/hyperlink" Id="rId54" Target="https://legacy.quran.com/13/4" TargetMode="External" /><Relationship Type="http://schemas.openxmlformats.org/officeDocument/2006/relationships/hyperlink" Id="rId57" Target="https://legacy.quran.com/16/11" TargetMode="External" /><Relationship Type="http://schemas.openxmlformats.org/officeDocument/2006/relationships/hyperlink" Id="rId24" Target="https://legacy.quran.com/20/53" TargetMode="External" /><Relationship Type="http://schemas.openxmlformats.org/officeDocument/2006/relationships/hyperlink" Id="rId23" Target="https://legacy.quran.com/26/1-9" TargetMode="External" /><Relationship Type="http://schemas.openxmlformats.org/officeDocument/2006/relationships/hyperlink" Id="rId48" Target="https://legacy.quran.com/36/33-39" TargetMode="External" /><Relationship Type="http://schemas.openxmlformats.org/officeDocument/2006/relationships/hyperlink" Id="rId51" Target="https://legacy.quran.com/36/36" TargetMode="External" /><Relationship Type="http://schemas.openxmlformats.org/officeDocument/2006/relationships/hyperlink" Id="rId46" Target="https://legacy.quran.com/50/7" TargetMode="External" /><Relationship Type="http://schemas.openxmlformats.org/officeDocument/2006/relationships/hyperlink" Id="rId40" Target="https://legacy.quran.com/6/95" TargetMode="External" /><Relationship Type="http://schemas.openxmlformats.org/officeDocument/2006/relationships/hyperlink" Id="rId42" Target="https://legacy.quran.com/6/99" TargetMode="External" /><Relationship Type="http://schemas.openxmlformats.org/officeDocument/2006/relationships/hyperlink" Id="rId58" Target="https://myislam.org/surah-nahl/ayat-11/" TargetMode="External" /><Relationship Type="http://schemas.openxmlformats.org/officeDocument/2006/relationships/hyperlink" Id="rId34" Target="https://www.biodiversity-science.net/fileup/PDF/2022254-1.pdf" TargetMode="External" /><Relationship Type="http://schemas.openxmlformats.org/officeDocument/2006/relationships/hyperlink" Id="rId55" Target="https://www.islamawakened.com/quran/13/st3.htm" TargetMode="External" /><Relationship Type="http://schemas.openxmlformats.org/officeDocument/2006/relationships/hyperlink" Id="rId21" Target="https://www.islamawakened.com/quran/26/st3.htm" TargetMode="External" /><Relationship Type="http://schemas.openxmlformats.org/officeDocument/2006/relationships/hyperlink" Id="rId52" Target="https://www.islamawakened.com/quran/36/36/translations/" TargetMode="External" /><Relationship Type="http://schemas.openxmlformats.org/officeDocument/2006/relationships/hyperlink" Id="rId25" Target="https://www.islamawakened.com/quran/50/st3.htm" TargetMode="External" /><Relationship Type="http://schemas.openxmlformats.org/officeDocument/2006/relationships/hyperlink" Id="rId31" Target="https://www.islamawakened.com/quran/6/st3.htm" TargetMode="External" /><Relationship Type="http://schemas.openxmlformats.org/officeDocument/2006/relationships/hyperlink" Id="rId61" Target="https://www.islamawakened.org/quran/36/33/translations/" TargetMode="External" /><Relationship Type="http://schemas.openxmlformats.org/officeDocument/2006/relationships/hyperlink" Id="rId49" Target="https://www.islamawakened.org/quran/36/35/translations/" TargetMode="External" /><Relationship Type="http://schemas.openxmlformats.org/officeDocument/2006/relationships/hyperlink" Id="rId33" Target="https://www.mdpi.com/2071-1050/9/1/149" TargetMode="External" /><Relationship Type="http://schemas.openxmlformats.org/officeDocument/2006/relationships/hyperlink" Id="rId36" Target="https://www.nature.com/articles/s41586-024-07324-0" TargetMode="External" /><Relationship Type="http://schemas.openxmlformats.org/officeDocument/2006/relationships/hyperlink" Id="rId32" Target="https://www.nsf.gov/news/nearly-40-plant-species-are-very-rare-vulnerable" TargetMode="External" /><Relationship Type="http://schemas.openxmlformats.org/officeDocument/2006/relationships/hyperlink" Id="rId26" Target="https://www.soas.ac.uk/about/muhammad-abdel-haleem-obe" TargetMode="Externa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Words>83</Words>
  <SharedDoc>false</SharedDoc>
  <HyperlinksChanged>false</HyperlinksChanged>
  <Lines>12</Lines>
  <AppVersion>12.0000</AppVersion>
  <LinksUpToDate>false</LinksUpToDate>
  <Application>Microsoft Word 12.0.0</Application>
  <CharactersWithSpaces>583</CharactersWithSpaces>
  <Template>Normal.dotm</Template>
  <DocSecurity>0</DocSecurity>
  <TotalTime>6</TotalTime>
  <ScaleCrop>false</ScaleCrop>
  <Characters>475</Characters>
  <Paragraphs>8</Paragraphs>
  <Pages>1</Page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dc:language>en</dc:language>
  <cp:keywords/>
  <dcterms:created xsi:type="dcterms:W3CDTF">2026-04-09T11:41:25Z</dcterms:created>
  <dcterms:modified xsi:type="dcterms:W3CDTF">2026-04-09T11:41:25Z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enerator">
    <vt:lpwstr>ChatGPT Deep Research</vt:lpwstr>
  </property>
</Properties>
</file>