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62" w:name="content"/>
    <w:bookmarkStart w:id="61" w:name="at-the-throat-of-mortality"/>
    <w:p>
      <w:pPr>
        <w:pStyle w:val="Heading1"/>
      </w:pPr>
      <w:r>
        <w:t xml:space="preserve">At the Throat of Mortality</w:t>
      </w:r>
    </w:p>
    <w:bookmarkStart w:id="25" w:name="abstract"/>
    <w:p>
      <w:pPr>
        <w:pStyle w:val="Heading2"/>
      </w:pPr>
      <w:r>
        <w:t xml:space="preserve">Abstract</w:t>
      </w:r>
    </w:p>
    <w:p>
      <w:pPr>
        <w:pStyle w:val="FirstParagraph"/>
      </w:pPr>
      <w:r>
        <w:t xml:space="preserve">Qur’an 56:83–87 places the reader at the bedside of a dying human being and turns that familiar scene into a philosophical and theological “epistemic test”: we can stare, measure, grieve, and even intervene medically, yet we remain unable to</w:t>
      </w:r>
      <w:r>
        <w:t xml:space="preserve"> </w:t>
      </w:r>
      <w:r>
        <w:rPr>
          <w:i/>
          <w:iCs/>
        </w:rPr>
        <w:t xml:space="preserve">command the return</w:t>
      </w:r>
      <w:r>
        <w:t xml:space="preserve"> </w:t>
      </w:r>
      <w:r>
        <w:t xml:space="preserve">of the departing life. The passage’s argumentative force is not primarily anatomical; it is metaphysical and moral. It confronts human claims to mastery (over life, fate, and ultimate accountability) with the most stubborn counterexample—death itself—where our agency fails at the boundary of consciousness.</w:t>
      </w:r>
      <w:r>
        <w:t xml:space="preserve"> </w:t>
      </w:r>
      <w:hyperlink r:id="rId21">
        <w:r>
          <w:rPr>
            <w:rStyle w:val="Hyperlink"/>
          </w:rPr>
          <w:t xml:space="preserve">[1]</w:t>
        </w:r>
      </w:hyperlink>
    </w:p>
    <w:p>
      <w:pPr>
        <w:pStyle w:val="BodyText"/>
      </w:pPr>
      <w:r>
        <w:t xml:space="preserve">Classical Qur’anic exegesis reads the divine “nearness” in 56:85 in two complementary ways: (a) God is “nearer” by power, knowledge, and governance, and (b) God’s agents—angels tasked with taking the soul—are present though invisible to onlookers. Both readings intensify the same point: the decisive action at death occurs in an unseen register, beyond the sensory and technical reach of witnesses.</w:t>
      </w:r>
      <w:r>
        <w:t xml:space="preserve"> </w:t>
      </w:r>
      <w:hyperlink r:id="rId22">
        <w:r>
          <w:rPr>
            <w:rStyle w:val="Hyperlink"/>
          </w:rPr>
          <w:t xml:space="preserve">[2]</w:t>
        </w:r>
      </w:hyperlink>
    </w:p>
    <w:p>
      <w:pPr>
        <w:pStyle w:val="BodyText"/>
      </w:pPr>
      <w:r>
        <w:t xml:space="preserve">A contemporary “scientific” lens does not subtract from the passage’s challenge; it sharpens it. Modern clinical definitions of death in the UK explicitly center the</w:t>
      </w:r>
      <w:r>
        <w:t xml:space="preserve"> </w:t>
      </w:r>
      <w:r>
        <w:rPr>
          <w:i/>
          <w:iCs/>
        </w:rPr>
        <w:t xml:space="preserve">permanent loss of the capacity for consciousness</w:t>
      </w:r>
      <w:r>
        <w:t xml:space="preserve"> </w:t>
      </w:r>
      <w:r>
        <w:t xml:space="preserve">(together with permanent loss of the capacity to breathe), and they note how rapidly consciousness is lost when circulation to the brain ceases. Medical knowledge can describe and sometimes delay physiological collapse, but it does not deliver sovereignty over the return of subjectivity once death is confirmed.</w:t>
      </w:r>
      <w:r>
        <w:t xml:space="preserve"> </w:t>
      </w:r>
      <w:hyperlink r:id="rId23">
        <w:r>
          <w:rPr>
            <w:rStyle w:val="Hyperlink"/>
          </w:rPr>
          <w:t xml:space="preserve">[3]</w:t>
        </w:r>
      </w:hyperlink>
    </w:p>
    <w:p>
      <w:pPr>
        <w:pStyle w:val="BodyText"/>
      </w:pPr>
      <w:r>
        <w:t xml:space="preserve">This report integrates close reading of the Arabic text, major exegetical trajectories, philosophy of mind on the “explanatory gap” around consciousness, and selected medical frameworks for consciousness loss at death. It then synthesizes the passage with Zia H Shah MD’s writings that foreground a broader Qur’anic proof-pattern:</w:t>
      </w:r>
      <w:r>
        <w:t xml:space="preserve"> </w:t>
      </w:r>
      <w:r>
        <w:rPr>
          <w:i/>
          <w:iCs/>
        </w:rPr>
        <w:t xml:space="preserve">arguing from the first creation to the second (resurrection/afterlife)</w:t>
      </w:r>
      <w:r>
        <w:t xml:space="preserve">, across cosmic, biological, and experiential signs.</w:t>
      </w:r>
      <w:r>
        <w:t xml:space="preserve"> </w:t>
      </w:r>
      <w:hyperlink r:id="rId24">
        <w:r>
          <w:rPr>
            <w:rStyle w:val="Hyperlink"/>
          </w:rPr>
          <w:t xml:space="preserve">[4]</w:t>
        </w:r>
      </w:hyperlink>
    </w:p>
    <w:bookmarkEnd w:id="25"/>
    <w:bookmarkStart w:id="30" w:name="text-and-immediate-context"/>
    <w:p>
      <w:pPr>
        <w:pStyle w:val="Heading2"/>
      </w:pPr>
      <w:r>
        <w:t xml:space="preserve">Text and immediate context</w:t>
      </w:r>
    </w:p>
    <w:bookmarkStart w:id="27" w:name="arabic-text"/>
    <w:p>
      <w:pPr>
        <w:pStyle w:val="Heading3"/>
      </w:pPr>
      <w:r>
        <w:t xml:space="preserve">Arabic text</w:t>
      </w:r>
    </w:p>
    <w:p>
      <w:pPr>
        <w:pStyle w:val="FirstParagraph"/>
      </w:pPr>
      <w:r>
        <w:rPr>
          <w:b/>
          <w:bCs/>
        </w:rPr>
        <w:t xml:space="preserve">56:83</w:t>
      </w:r>
      <w:r>
        <w:t xml:space="preserve"> </w:t>
      </w:r>
      <w:r>
        <w:t xml:space="preserve">فَلَوْلَا إِذَا بَلَغَتِ الْحُلْقُومَ</w:t>
      </w:r>
      <w:r>
        <w:br/>
      </w:r>
      <w:r>
        <w:rPr>
          <w:b/>
          <w:bCs/>
        </w:rPr>
        <w:t xml:space="preserve">56:84</w:t>
      </w:r>
      <w:r>
        <w:t xml:space="preserve"> </w:t>
      </w:r>
      <w:r>
        <w:t xml:space="preserve">وَأَنتُمْ حِينَئِذٍ تَنظُرُونَ</w:t>
      </w:r>
      <w:r>
        <w:br/>
      </w:r>
      <w:r>
        <w:rPr>
          <w:b/>
          <w:bCs/>
        </w:rPr>
        <w:t xml:space="preserve">56:85</w:t>
      </w:r>
      <w:r>
        <w:t xml:space="preserve"> </w:t>
      </w:r>
      <w:r>
        <w:t xml:space="preserve">وَنَحْنُ أَقْرَبُ إِلَيْهِ مِنكُمْ وَلَٰكِن لَّا تُبْصِرُونَ</w:t>
      </w:r>
      <w:r>
        <w:br/>
      </w:r>
      <w:r>
        <w:rPr>
          <w:b/>
          <w:bCs/>
        </w:rPr>
        <w:t xml:space="preserve">56:86</w:t>
      </w:r>
      <w:r>
        <w:t xml:space="preserve"> </w:t>
      </w:r>
      <w:r>
        <w:t xml:space="preserve">فَلَوْلَا إِن كُنتُمْ غَيْرَ مَدِينِينَ</w:t>
      </w:r>
      <w:r>
        <w:br/>
      </w:r>
      <w:r>
        <w:rPr>
          <w:b/>
          <w:bCs/>
        </w:rPr>
        <w:t xml:space="preserve">56:87</w:t>
      </w:r>
      <w:r>
        <w:t xml:space="preserve"> </w:t>
      </w:r>
      <w:r>
        <w:t xml:space="preserve">تَرْجِعُونَهَا إِن كُنتُمْ صَادِقِينَ</w:t>
      </w:r>
      <w:r>
        <w:t xml:space="preserve"> </w:t>
      </w:r>
      <w:hyperlink r:id="rId26">
        <w:r>
          <w:rPr>
            <w:rStyle w:val="Hyperlink"/>
          </w:rPr>
          <w:t xml:space="preserve">[5]</w:t>
        </w:r>
      </w:hyperlink>
    </w:p>
    <w:bookmarkEnd w:id="27"/>
    <w:bookmarkStart w:id="28" w:name="translation-m.-a.-s.-abdel-haleem"/>
    <w:p>
      <w:pPr>
        <w:pStyle w:val="Heading3"/>
      </w:pPr>
      <w:r>
        <w:t xml:space="preserve">Translation (M. A. S. Abdel Haleem)</w:t>
      </w:r>
    </w:p>
    <w:p>
      <w:pPr>
        <w:pStyle w:val="BlockText"/>
      </w:pPr>
      <w:r>
        <w:t xml:space="preserve">“When the soul of a dying man comes up to his throat while you gaze on– We are nearer to him than you, though you do not see Us– why, if you are not to be judged, do you not restore his soul to him, if what you say is true?”</w:t>
      </w:r>
      <w:r>
        <w:t xml:space="preserve"> </w:t>
      </w:r>
      <w:hyperlink r:id="rId21">
        <w:r>
          <w:rPr>
            <w:rStyle w:val="Hyperlink"/>
          </w:rPr>
          <w:t xml:space="preserve">[6]</w:t>
        </w:r>
      </w:hyperlink>
    </w:p>
    <w:bookmarkEnd w:id="28"/>
    <w:bookmarkStart w:id="29" w:name="X5a1f8cde566244dcb04b4bd714a0fe5b19f4166"/>
    <w:p>
      <w:pPr>
        <w:pStyle w:val="Heading3"/>
      </w:pPr>
      <w:r>
        <w:t xml:space="preserve">Placement in Sūrat al-Wāqiʿah and rhetorical movement</w:t>
      </w:r>
    </w:p>
    <w:p>
      <w:pPr>
        <w:pStyle w:val="FirstParagraph"/>
      </w:pPr>
      <w:r>
        <w:t xml:space="preserve">Within Sūrat al-Wāqiʿah, this deathbed tableau appears after a sequence that (i) rebukes denial, and (ii) rehearses “signs” of God’s creative power in ordinary reality—human origin, agriculture, water, and fire—culminating in a solemn oath that the Qur’an is a true revelation.</w:t>
      </w:r>
      <w:r>
        <w:t xml:space="preserve"> </w:t>
      </w:r>
      <w:hyperlink r:id="rId21">
        <w:r>
          <w:rPr>
            <w:rStyle w:val="Hyperlink"/>
          </w:rPr>
          <w:t xml:space="preserve">[7]</w:t>
        </w:r>
      </w:hyperlink>
    </w:p>
    <w:p>
      <w:pPr>
        <w:pStyle w:val="BodyText"/>
      </w:pPr>
      <w:r>
        <w:t xml:space="preserve">The passage then pivots from</w:t>
      </w:r>
      <w:r>
        <w:t xml:space="preserve"> </w:t>
      </w:r>
      <w:r>
        <w:rPr>
          <w:i/>
          <w:iCs/>
        </w:rPr>
        <w:t xml:space="preserve">cosmic and natural signs</w:t>
      </w:r>
      <w:r>
        <w:t xml:space="preserve"> </w:t>
      </w:r>
      <w:r>
        <w:t xml:space="preserve">to the ultimate existential sign: the moment life withdraws. Immediately after 56:83–87, the sūrah proceeds to differentiate end-of-life outcomes—those brought near, those on the right, and those who denied the truth—placing the “could you restore the soul?” challenge as the hinge between denial and the detailed articulation of post-mortem destinies.</w:t>
      </w:r>
      <w:r>
        <w:t xml:space="preserve"> </w:t>
      </w:r>
      <w:hyperlink r:id="rId21">
        <w:r>
          <w:rPr>
            <w:rStyle w:val="Hyperlink"/>
          </w:rPr>
          <w:t xml:space="preserve">[8]</w:t>
        </w:r>
      </w:hyperlink>
    </w:p>
    <w:p>
      <w:pPr>
        <w:pStyle w:val="BodyText"/>
      </w:pPr>
      <w:r>
        <w:t xml:space="preserve">Linguistically, the repeated</w:t>
      </w:r>
      <w:r>
        <w:t xml:space="preserve"> </w:t>
      </w:r>
      <w:r>
        <w:rPr>
          <w:b/>
          <w:bCs/>
        </w:rPr>
        <w:t xml:space="preserve">فَلَوْلَا</w:t>
      </w:r>
      <w:r>
        <w:t xml:space="preserve"> </w:t>
      </w:r>
      <w:r>
        <w:t xml:space="preserve">(“why not…?” / “if only…”) works as a rhetorical cross-examination. The audience is not being invited to speculate but being forced to confront a mismatch between their claims (no accountability, no ultimate sovereignty over destiny) and their lived impotence at death.</w:t>
      </w:r>
      <w:r>
        <w:t xml:space="preserve"> </w:t>
      </w:r>
      <w:hyperlink r:id="rId26">
        <w:r>
          <w:rPr>
            <w:rStyle w:val="Hyperlink"/>
          </w:rPr>
          <w:t xml:space="preserve">[9]</w:t>
        </w:r>
      </w:hyperlink>
    </w:p>
    <w:bookmarkEnd w:id="29"/>
    <w:bookmarkEnd w:id="30"/>
    <w:bookmarkStart w:id="39" w:name="theological-and-exegetical-commentary"/>
    <w:p>
      <w:pPr>
        <w:pStyle w:val="Heading2"/>
      </w:pPr>
      <w:r>
        <w:t xml:space="preserve">Theological and exegetical commentary</w:t>
      </w:r>
    </w:p>
    <w:bookmarkStart w:id="33" w:name="the-nearness-of-5685"/>
    <w:p>
      <w:pPr>
        <w:pStyle w:val="Heading3"/>
      </w:pPr>
      <w:r>
        <w:t xml:space="preserve">The “nearness” of 56:85</w:t>
      </w:r>
    </w:p>
    <w:p>
      <w:pPr>
        <w:pStyle w:val="FirstParagraph"/>
      </w:pPr>
      <w:r>
        <w:t xml:space="preserve">A central theological phrase is</w:t>
      </w:r>
      <w:r>
        <w:t xml:space="preserve"> </w:t>
      </w:r>
      <w:r>
        <w:rPr>
          <w:b/>
          <w:bCs/>
        </w:rPr>
        <w:t xml:space="preserve">وَنَحْنُ أَقْرَبُ إِلَيْهِ مِنكُمْ</w:t>
      </w:r>
      <w:r>
        <w:t xml:space="preserve"> </w:t>
      </w:r>
      <w:r>
        <w:t xml:space="preserve">(“We are nearer to him than you”). Classical tafsīr literature refuses a simplistic spatial reading and offers two major interpretive emphases that converge in meaning:</w:t>
      </w:r>
    </w:p>
    <w:p>
      <w:pPr>
        <w:pStyle w:val="BodyText"/>
      </w:pPr>
      <w:r>
        <w:t xml:space="preserve">First,</w:t>
      </w:r>
      <w:r>
        <w:t xml:space="preserve"> </w:t>
      </w:r>
      <w:r>
        <w:rPr>
          <w:b/>
          <w:bCs/>
        </w:rPr>
        <w:t xml:space="preserve">nearness by power/knowledge</w:t>
      </w:r>
      <w:r>
        <w:t xml:space="preserve">: al-Qurtubi</w:t>
      </w:r>
      <w:hyperlink r:id="rId31">
        <w:r>
          <w:rPr>
            <w:rStyle w:val="Hyperlink"/>
          </w:rPr>
          <w:t xml:space="preserve">[10]</w:t>
        </w:r>
      </w:hyperlink>
      <w:r>
        <w:t xml:space="preserve"> </w:t>
      </w:r>
      <w:r>
        <w:t xml:space="preserve">glosses the nearness as nearness “by power, knowledge, and seeing,” underscoring that divine governance is most manifest precisely where human control collapses.</w:t>
      </w:r>
      <w:r>
        <w:t xml:space="preserve"> </w:t>
      </w:r>
      <w:hyperlink r:id="rId22">
        <w:r>
          <w:rPr>
            <w:rStyle w:val="Hyperlink"/>
          </w:rPr>
          <w:t xml:space="preserve">[11]</w:t>
        </w:r>
      </w:hyperlink>
    </w:p>
    <w:p>
      <w:pPr>
        <w:pStyle w:val="BodyText"/>
      </w:pPr>
      <w:r>
        <w:t xml:space="preserve">Second,</w:t>
      </w:r>
      <w:r>
        <w:t xml:space="preserve"> </w:t>
      </w:r>
      <w:r>
        <w:rPr>
          <w:b/>
          <w:bCs/>
        </w:rPr>
        <w:t xml:space="preserve">nearness by angelic presence</w:t>
      </w:r>
      <w:r>
        <w:t xml:space="preserve">: Ibn Kathir</w:t>
      </w:r>
      <w:hyperlink r:id="rId21">
        <w:r>
          <w:rPr>
            <w:rStyle w:val="Hyperlink"/>
          </w:rPr>
          <w:t xml:space="preserve">[12]</w:t>
        </w:r>
      </w:hyperlink>
      <w:r>
        <w:t xml:space="preserve"> </w:t>
      </w:r>
      <w:r>
        <w:t xml:space="preserve">interprets “We are nearer” as “by Our angels,” and explains “you do not see” as “you do not see them,” explicitly linking this to Qur’anic passages where messengers/angels take souls at death while remaining unseen.</w:t>
      </w:r>
      <w:r>
        <w:t xml:space="preserve"> </w:t>
      </w:r>
      <w:hyperlink r:id="rId32">
        <w:r>
          <w:rPr>
            <w:rStyle w:val="Hyperlink"/>
          </w:rPr>
          <w:t xml:space="preserve">[13]</w:t>
        </w:r>
      </w:hyperlink>
    </w:p>
    <w:p>
      <w:pPr>
        <w:pStyle w:val="BodyText"/>
      </w:pPr>
      <w:r>
        <w:t xml:space="preserve">Importantly, these are not mutually exclusive. The Qur’an can speak in the first-person plural of majesty (“We”) while also indicating that divine action is executed through appointed agents. The existential thrust is the same either way: the decisive “operator” at death is not the onlooker, not the physician, not the family, and not the dying person—but God’s decree and God’s governance (directly or through angels).</w:t>
      </w:r>
      <w:r>
        <w:t xml:space="preserve"> </w:t>
      </w:r>
      <w:hyperlink r:id="rId32">
        <w:r>
          <w:rPr>
            <w:rStyle w:val="Hyperlink"/>
          </w:rPr>
          <w:t xml:space="preserve">[14]</w:t>
        </w:r>
      </w:hyperlink>
    </w:p>
    <w:bookmarkEnd w:id="33"/>
    <w:bookmarkStart w:id="37" w:name="the-meaning-of-not-to-be-judged-in-5686"/>
    <w:p>
      <w:pPr>
        <w:pStyle w:val="Heading3"/>
      </w:pPr>
      <w:r>
        <w:t xml:space="preserve">The meaning of “not to be judged” in 56:86</w:t>
      </w:r>
    </w:p>
    <w:p>
      <w:pPr>
        <w:pStyle w:val="FirstParagraph"/>
      </w:pPr>
      <w:r>
        <w:t xml:space="preserve">The expression</w:t>
      </w:r>
      <w:r>
        <w:t xml:space="preserve"> </w:t>
      </w:r>
      <w:r>
        <w:rPr>
          <w:b/>
          <w:bCs/>
        </w:rPr>
        <w:t xml:space="preserve">غَيْرَ مَدِينِينَ</w:t>
      </w:r>
      <w:r>
        <w:t xml:space="preserve"> </w:t>
      </w:r>
      <w:r>
        <w:t xml:space="preserve">(ghayra madīnīn) is the logical fulcrum of the argument. al-Tabari</w:t>
      </w:r>
      <w:hyperlink r:id="rId34">
        <w:r>
          <w:rPr>
            <w:rStyle w:val="Hyperlink"/>
          </w:rPr>
          <w:t xml:space="preserve">[15]</w:t>
        </w:r>
      </w:hyperlink>
      <w:r>
        <w:t xml:space="preserve"> </w:t>
      </w:r>
      <w:r>
        <w:t xml:space="preserve">reports early interpretive disagreement but centers an influential reading: “not to be requited / not to be taken to account (غير محاسبين).” He ties this to denial of being “called to account after death” and connects it to “Master of the Day of Dīn,” i.e., the Day of recompense.</w:t>
      </w:r>
      <w:r>
        <w:t xml:space="preserve"> </w:t>
      </w:r>
      <w:hyperlink r:id="rId35">
        <w:r>
          <w:rPr>
            <w:rStyle w:val="Hyperlink"/>
          </w:rPr>
          <w:t xml:space="preserve">[16]</w:t>
        </w:r>
      </w:hyperlink>
    </w:p>
    <w:p>
      <w:pPr>
        <w:pStyle w:val="BodyText"/>
      </w:pPr>
      <w:r>
        <w:t xml:space="preserve">Ibn Kathir preserves the range of early glosses: “not to be held accountable,” “not to believe you will be judged and resurrected,” “not to be certain,” and even “not to be subdued.” Yet the rhetorical effect is constant: if you insist that you will not be obligated to an ultimate reckoning, then demonstrate genuine autonomy at the deathbed by reversing the soul’s departure.</w:t>
      </w:r>
      <w:r>
        <w:t xml:space="preserve"> </w:t>
      </w:r>
      <w:hyperlink r:id="rId36">
        <w:r>
          <w:rPr>
            <w:rStyle w:val="Hyperlink"/>
          </w:rPr>
          <w:t xml:space="preserve">[17]</w:t>
        </w:r>
      </w:hyperlink>
    </w:p>
    <w:p>
      <w:pPr>
        <w:pStyle w:val="BodyText"/>
      </w:pPr>
      <w:r>
        <w:t xml:space="preserve">The polemical force here is not that humans</w:t>
      </w:r>
      <w:r>
        <w:t xml:space="preserve"> </w:t>
      </w:r>
      <w:r>
        <w:rPr>
          <w:i/>
          <w:iCs/>
        </w:rPr>
        <w:t xml:space="preserve">never</w:t>
      </w:r>
      <w:r>
        <w:t xml:space="preserve"> </w:t>
      </w:r>
      <w:r>
        <w:t xml:space="preserve">affect outcomes (the Qur’an elsewhere commands moral and medical responsibility), but that humans do not possess</w:t>
      </w:r>
      <w:r>
        <w:t xml:space="preserve"> </w:t>
      </w:r>
      <w:r>
        <w:rPr>
          <w:i/>
          <w:iCs/>
        </w:rPr>
        <w:t xml:space="preserve">final sovereignty</w:t>
      </w:r>
      <w:r>
        <w:t xml:space="preserve"> </w:t>
      </w:r>
      <w:r>
        <w:t xml:space="preserve">over life and death. The verse targets a metaphysical posture: imagining oneself unanswerable, unowned, and outside any ultimate moral jurisdiction.</w:t>
      </w:r>
      <w:r>
        <w:t xml:space="preserve"> </w:t>
      </w:r>
      <w:hyperlink r:id="rId35">
        <w:r>
          <w:rPr>
            <w:rStyle w:val="Hyperlink"/>
          </w:rPr>
          <w:t xml:space="preserve">[18]</w:t>
        </w:r>
      </w:hyperlink>
    </w:p>
    <w:bookmarkEnd w:id="37"/>
    <w:bookmarkStart w:id="38" w:name="the-challenge-restore-it-and-its-logic"/>
    <w:p>
      <w:pPr>
        <w:pStyle w:val="Heading3"/>
      </w:pPr>
      <w:r>
        <w:t xml:space="preserve">The challenge “restore it” and its logic</w:t>
      </w:r>
    </w:p>
    <w:p>
      <w:pPr>
        <w:pStyle w:val="FirstParagraph"/>
      </w:pPr>
      <w:r>
        <w:t xml:space="preserve">The command-challenge</w:t>
      </w:r>
      <w:r>
        <w:t xml:space="preserve"> </w:t>
      </w:r>
      <w:r>
        <w:rPr>
          <w:b/>
          <w:bCs/>
        </w:rPr>
        <w:t xml:space="preserve">تَرْجِعُونَهَا</w:t>
      </w:r>
      <w:r>
        <w:t xml:space="preserve"> </w:t>
      </w:r>
      <w:r>
        <w:t xml:space="preserve">(“restore it/return it”) is directed at the gathered witnesses—those who “gaze on” as the soul reaches the throat. In Ibn Kathir’s phrasing, the challenge is to return “this soul that has reached the throat to its first place and residence in the body.”</w:t>
      </w:r>
      <w:r>
        <w:t xml:space="preserve"> </w:t>
      </w:r>
      <w:hyperlink r:id="rId36">
        <w:r>
          <w:rPr>
            <w:rStyle w:val="Hyperlink"/>
          </w:rPr>
          <w:t xml:space="preserve">[17]</w:t>
        </w:r>
      </w:hyperlink>
    </w:p>
    <w:p>
      <w:pPr>
        <w:pStyle w:val="BodyText"/>
      </w:pPr>
      <w:r>
        <w:t xml:space="preserve">The Qur’an’s logic is an argument from</w:t>
      </w:r>
      <w:r>
        <w:t xml:space="preserve"> </w:t>
      </w:r>
      <w:r>
        <w:rPr>
          <w:i/>
          <w:iCs/>
        </w:rPr>
        <w:t xml:space="preserve">performative contradiction</w:t>
      </w:r>
      <w:r>
        <w:t xml:space="preserve">: if a community asserts radical independence from divine judgment, it implicitly claims a kind of sovereignty. Yet at the critical moment where sovereignty would have to manifest—saving the departing soul—every human stands exposed as helpless. The theological conclusion is not merely “you are weak,” but “your weakness reveals dependence,” and dependence implies accountability to the One who possesses ultimate dominion.</w:t>
      </w:r>
      <w:r>
        <w:t xml:space="preserve"> </w:t>
      </w:r>
      <w:hyperlink r:id="rId26">
        <w:r>
          <w:rPr>
            <w:rStyle w:val="Hyperlink"/>
          </w:rPr>
          <w:t xml:space="preserve">[19]</w:t>
        </w:r>
      </w:hyperlink>
    </w:p>
    <w:bookmarkEnd w:id="38"/>
    <w:bookmarkEnd w:id="39"/>
    <w:bookmarkStart w:id="47" w:name="X719d2f71d5d03f95a2b793004be117b16059d17"/>
    <w:p>
      <w:pPr>
        <w:pStyle w:val="Heading2"/>
      </w:pPr>
      <w:r>
        <w:t xml:space="preserve">Consciousness, death, and the limits of human agency</w:t>
      </w:r>
    </w:p>
    <w:bookmarkStart w:id="40" w:name="Xf03552523c5382d9e19bccbc3dd59823507934f"/>
    <w:p>
      <w:pPr>
        <w:pStyle w:val="Heading3"/>
      </w:pPr>
      <w:r>
        <w:t xml:space="preserve">The deathbed gaze and the epistemology of consciousness</w:t>
      </w:r>
    </w:p>
    <w:p>
      <w:pPr>
        <w:pStyle w:val="FirstParagraph"/>
      </w:pPr>
      <w:r>
        <w:t xml:space="preserve">The Qur’anic scene is psychologically precise:</w:t>
      </w:r>
      <w:r>
        <w:t xml:space="preserve"> </w:t>
      </w:r>
      <w:r>
        <w:rPr>
          <w:b/>
          <w:bCs/>
        </w:rPr>
        <w:t xml:space="preserve">“while you gaze on”</w:t>
      </w:r>
      <w:r>
        <w:t xml:space="preserve">. The bystanders possess visual access to the body but not to what is</w:t>
      </w:r>
      <w:r>
        <w:t xml:space="preserve"> </w:t>
      </w:r>
      <w:r>
        <w:rPr>
          <w:i/>
          <w:iCs/>
        </w:rPr>
        <w:t xml:space="preserve">most essential</w:t>
      </w:r>
      <w:r>
        <w:t xml:space="preserve">—the inward unity of awareness that made this body a</w:t>
      </w:r>
      <w:r>
        <w:t xml:space="preserve"> </w:t>
      </w:r>
      <w:r>
        <w:rPr>
          <w:i/>
          <w:iCs/>
        </w:rPr>
        <w:t xml:space="preserve">person</w:t>
      </w:r>
      <w:r>
        <w:t xml:space="preserve">. The moment of dying dramatizes a core problem in the philosophy and science of mind: consciousness is the most familiar phenomenon (we live inside it) and yet among the most puzzling to explain and objectify.</w:t>
      </w:r>
      <w:r>
        <w:t xml:space="preserve"> </w:t>
      </w:r>
      <w:hyperlink r:id="rId21">
        <w:r>
          <w:rPr>
            <w:rStyle w:val="Hyperlink"/>
          </w:rPr>
          <w:t xml:space="preserve">[20]</w:t>
        </w:r>
      </w:hyperlink>
    </w:p>
    <w:p>
      <w:pPr>
        <w:pStyle w:val="BodyText"/>
      </w:pPr>
      <w:r>
        <w:t xml:space="preserve">The Stanford Encyclopedia of Philosophy</w:t>
      </w:r>
      <w:hyperlink r:id="rId21">
        <w:r>
          <w:rPr>
            <w:rStyle w:val="Hyperlink"/>
          </w:rPr>
          <w:t xml:space="preserve">[21]</w:t>
        </w:r>
      </w:hyperlink>
      <w:r>
        <w:t xml:space="preserve"> </w:t>
      </w:r>
      <w:r>
        <w:t xml:space="preserve">notes “the lack of any agreed upon theory of consciousness,” even while treating it as central to theorizing about mind.</w:t>
      </w:r>
      <w:r>
        <w:t xml:space="preserve"> </w:t>
      </w:r>
      <w:hyperlink r:id="rId24">
        <w:r>
          <w:rPr>
            <w:rStyle w:val="Hyperlink"/>
          </w:rPr>
          <w:t xml:space="preserve">[22]</w:t>
        </w:r>
      </w:hyperlink>
      <w:r>
        <w:t xml:space="preserve"> </w:t>
      </w:r>
      <w:r>
        <w:t xml:space="preserve">The difficulty is structural: consciousness is essentially first-person, while science is (by design) largely third-person. Contemporary neuroscience of consciousness explicitly frames this as a challenge for an objective science, since investigators cannot directly experience another subject’s conscious states and must rely on behavioral and report-based proxies.</w:t>
      </w:r>
      <w:r>
        <w:t xml:space="preserve"> </w:t>
      </w:r>
      <w:hyperlink r:id="rId31">
        <w:r>
          <w:rPr>
            <w:rStyle w:val="Hyperlink"/>
          </w:rPr>
          <w:t xml:space="preserve">[23]</w:t>
        </w:r>
      </w:hyperlink>
    </w:p>
    <w:p>
      <w:pPr>
        <w:pStyle w:val="BodyText"/>
      </w:pPr>
      <w:r>
        <w:t xml:space="preserve">This maps naturally onto the Qur’anic phrasing: you are watching, but you do not see what is decisive. The verse does not merely state that angels are invisible; it also foregrounds the philosophical asymmetry between (i) observation of a body and (ii) access to the subjective presence that animated it.</w:t>
      </w:r>
      <w:r>
        <w:t xml:space="preserve"> </w:t>
      </w:r>
      <w:hyperlink r:id="rId32">
        <w:r>
          <w:rPr>
            <w:rStyle w:val="Hyperlink"/>
          </w:rPr>
          <w:t xml:space="preserve">[24]</w:t>
        </w:r>
      </w:hyperlink>
    </w:p>
    <w:bookmarkEnd w:id="40"/>
    <w:bookmarkStart w:id="43" w:name="Xc2b28698cbc0524d9f849631346d87d02d037f3"/>
    <w:p>
      <w:pPr>
        <w:pStyle w:val="Heading3"/>
      </w:pPr>
      <w:r>
        <w:t xml:space="preserve">Clinical definitions sharpen the Qur’anic point</w:t>
      </w:r>
    </w:p>
    <w:p>
      <w:pPr>
        <w:pStyle w:val="FirstParagraph"/>
      </w:pPr>
      <w:r>
        <w:t xml:space="preserve">Modern clinical frameworks for diagnosing death do not define death simply as “the heart stops,” but specifically around the permanence of lost functions that are constitutive of personhood. The Academy of Medical Royal Colleges</w:t>
      </w:r>
      <w:hyperlink r:id="rId41">
        <w:r>
          <w:rPr>
            <w:rStyle w:val="Hyperlink"/>
          </w:rPr>
          <w:t xml:space="preserve">[25]</w:t>
        </w:r>
      </w:hyperlink>
      <w:r>
        <w:t xml:space="preserve"> </w:t>
      </w:r>
      <w:r>
        <w:t xml:space="preserve">2025 UK code of practice states that death “should therefore be regarded as the permanent loss of the capacity for consciousness, combined with permanent loss of the capacity to breathe.”</w:t>
      </w:r>
      <w:r>
        <w:t xml:space="preserve"> </w:t>
      </w:r>
      <w:hyperlink r:id="rId23">
        <w:r>
          <w:rPr>
            <w:rStyle w:val="Hyperlink"/>
          </w:rPr>
          <w:t xml:space="preserve">[26]</w:t>
        </w:r>
      </w:hyperlink>
    </w:p>
    <w:p>
      <w:pPr>
        <w:pStyle w:val="BodyText"/>
      </w:pPr>
      <w:r>
        <w:t xml:space="preserve">The same code emphasizes how rapidly consciousness depends on circulation to the brain: “Without circulation to the brain the capacity for consciousness is lost very rapidly, typically within 30 seconds.”</w:t>
      </w:r>
      <w:r>
        <w:t xml:space="preserve"> </w:t>
      </w:r>
      <w:hyperlink r:id="rId23">
        <w:r>
          <w:rPr>
            <w:rStyle w:val="Hyperlink"/>
          </w:rPr>
          <w:t xml:space="preserve">[27]</w:t>
        </w:r>
      </w:hyperlink>
      <w:r>
        <w:t xml:space="preserve"> </w:t>
      </w:r>
      <w:r>
        <w:t xml:space="preserve">In other words, what the Qur’an describes as the soul reaching the throat is, in clinical language, the collapse of the biological conditions under which consciousness is possible for embodied humans.</w:t>
      </w:r>
      <w:r>
        <w:t xml:space="preserve"> </w:t>
      </w:r>
      <w:hyperlink r:id="rId23">
        <w:r>
          <w:rPr>
            <w:rStyle w:val="Hyperlink"/>
          </w:rPr>
          <w:t xml:space="preserve">[28]</w:t>
        </w:r>
      </w:hyperlink>
    </w:p>
    <w:p>
      <w:pPr>
        <w:pStyle w:val="BodyText"/>
      </w:pPr>
      <w:r>
        <w:t xml:space="preserve">Even emergency medicine, when discussing resuscitation, repeatedly stresses how narrow the window is for preventing permanent neurological injury when blood flow and oxygen cease. MedlinePlus, for example, states that permanent brain damage can occur in as little as four minutes if blood flow stops, and that time without oxygen rapidly risks irreversible harm.</w:t>
      </w:r>
      <w:r>
        <w:t xml:space="preserve"> </w:t>
      </w:r>
      <w:hyperlink r:id="rId42">
        <w:r>
          <w:rPr>
            <w:rStyle w:val="Hyperlink"/>
          </w:rPr>
          <w:t xml:space="preserve">[29]</w:t>
        </w:r>
      </w:hyperlink>
    </w:p>
    <w:p>
      <w:pPr>
        <w:pStyle w:val="BodyText"/>
      </w:pPr>
      <w:r>
        <w:t xml:space="preserve">Taken together, these medical statements do not “prove” the soul in a laboratory sense; rather, they make a more modest but profound point:</w:t>
      </w:r>
      <w:r>
        <w:t xml:space="preserve"> </w:t>
      </w:r>
      <w:r>
        <w:rPr>
          <w:i/>
          <w:iCs/>
        </w:rPr>
        <w:t xml:space="preserve">the presence or absence of consciousness is what turns physiological matter into a living person</w:t>
      </w:r>
      <w:r>
        <w:t xml:space="preserve">, and that presence is neither well-explained at the deepest level nor controllable at the boundary of death.</w:t>
      </w:r>
      <w:r>
        <w:t xml:space="preserve"> </w:t>
      </w:r>
      <w:hyperlink r:id="rId23">
        <w:r>
          <w:rPr>
            <w:rStyle w:val="Hyperlink"/>
          </w:rPr>
          <w:t xml:space="preserve">[30]</w:t>
        </w:r>
      </w:hyperlink>
    </w:p>
    <w:bookmarkEnd w:id="43"/>
    <w:bookmarkStart w:id="45" w:name="X52cab4335b437f205cd09caaf2722dd458c0784"/>
    <w:p>
      <w:pPr>
        <w:pStyle w:val="Heading3"/>
      </w:pPr>
      <w:r>
        <w:t xml:space="preserve">The Qur’anic theme of human incapacity to master consciousness</w:t>
      </w:r>
    </w:p>
    <w:p>
      <w:pPr>
        <w:pStyle w:val="FirstParagraph"/>
      </w:pPr>
      <w:r>
        <w:t xml:space="preserve">Your requested theme emerges from the passage as a staged argument:</w:t>
      </w:r>
    </w:p>
    <w:p>
      <w:pPr>
        <w:pStyle w:val="BodyText"/>
      </w:pPr>
      <w:r>
        <w:t xml:space="preserve">First, the Qur’an depicts</w:t>
      </w:r>
      <w:r>
        <w:t xml:space="preserve"> </w:t>
      </w:r>
      <w:r>
        <w:rPr>
          <w:b/>
          <w:bCs/>
        </w:rPr>
        <w:t xml:space="preserve">human proximity without mastery</w:t>
      </w:r>
      <w:r>
        <w:t xml:space="preserve">: you are physically close (“gazing on”), emotionally invested, and cognitively alert—yet powerless over the departure of consciousness.</w:t>
      </w:r>
      <w:r>
        <w:t xml:space="preserve"> </w:t>
      </w:r>
      <w:hyperlink r:id="rId21">
        <w:r>
          <w:rPr>
            <w:rStyle w:val="Hyperlink"/>
          </w:rPr>
          <w:t xml:space="preserve">[1]</w:t>
        </w:r>
      </w:hyperlink>
    </w:p>
    <w:p>
      <w:pPr>
        <w:pStyle w:val="BodyText"/>
      </w:pPr>
      <w:r>
        <w:t xml:space="preserve">Second, it asserts</w:t>
      </w:r>
      <w:r>
        <w:t xml:space="preserve"> </w:t>
      </w:r>
      <w:r>
        <w:rPr>
          <w:b/>
          <w:bCs/>
        </w:rPr>
        <w:t xml:space="preserve">divine proximity beyond perception</w:t>
      </w:r>
      <w:r>
        <w:t xml:space="preserve">: the decisive nearness belongs to God (and/or His angels), unseen by the very people who are closest in the ordinary, spatial sense.</w:t>
      </w:r>
      <w:r>
        <w:t xml:space="preserve"> </w:t>
      </w:r>
      <w:hyperlink r:id="rId32">
        <w:r>
          <w:rPr>
            <w:rStyle w:val="Hyperlink"/>
          </w:rPr>
          <w:t xml:space="preserve">[31]</w:t>
        </w:r>
      </w:hyperlink>
    </w:p>
    <w:p>
      <w:pPr>
        <w:pStyle w:val="BodyText"/>
      </w:pPr>
      <w:r>
        <w:t xml:space="preserve">Third, it exposes</w:t>
      </w:r>
      <w:r>
        <w:t xml:space="preserve"> </w:t>
      </w:r>
      <w:r>
        <w:rPr>
          <w:b/>
          <w:bCs/>
        </w:rPr>
        <w:t xml:space="preserve">human epistemic limitation</w:t>
      </w:r>
      <w:r>
        <w:t xml:space="preserve">: the drama at death illustrates how much we do not know—not merely about the biochemistry of dying (which we do study), but about the</w:t>
      </w:r>
      <w:r>
        <w:t xml:space="preserve"> </w:t>
      </w:r>
      <w:r>
        <w:rPr>
          <w:i/>
          <w:iCs/>
        </w:rPr>
        <w:t xml:space="preserve">fate, mode, and metaphysical status</w:t>
      </w:r>
      <w:r>
        <w:t xml:space="preserve"> </w:t>
      </w:r>
      <w:r>
        <w:t xml:space="preserve">of consciousness itself. This limitation is thematized elsewhere in the Qur’an: “They ask you concerning the soul. Say: ‘The soul is by the command of my Lord; and of the knowledge thereof you have been given but a little.’”</w:t>
      </w:r>
      <w:r>
        <w:t xml:space="preserve"> </w:t>
      </w:r>
      <w:hyperlink r:id="rId44">
        <w:r>
          <w:rPr>
            <w:rStyle w:val="Hyperlink"/>
          </w:rPr>
          <w:t xml:space="preserve">[32]</w:t>
        </w:r>
      </w:hyperlink>
    </w:p>
    <w:p>
      <w:pPr>
        <w:pStyle w:val="BodyText"/>
      </w:pPr>
      <w:r>
        <w:t xml:space="preserve">In that light, the Qur’an’s challenge “restore it” can be read as a deliberate confrontation with human overconfidence. The text is not asking us to deny medicine or agency; it is asking us to recognize that the most decisive act—</w:t>
      </w:r>
      <w:r>
        <w:rPr>
          <w:i/>
          <w:iCs/>
        </w:rPr>
        <w:t xml:space="preserve">the return of the conscious self once it has truly departed</w:t>
      </w:r>
      <w:r>
        <w:t xml:space="preserve">—is beyond our command.</w:t>
      </w:r>
      <w:r>
        <w:t xml:space="preserve"> </w:t>
      </w:r>
      <w:hyperlink r:id="rId26">
        <w:r>
          <w:rPr>
            <w:rStyle w:val="Hyperlink"/>
          </w:rPr>
          <w:t xml:space="preserve">[33]</w:t>
        </w:r>
      </w:hyperlink>
    </w:p>
    <w:bookmarkEnd w:id="45"/>
    <w:bookmarkStart w:id="46" w:name="Xa03181c0bf68a5d5c776d9ee22e78047abbdb3d"/>
    <w:p>
      <w:pPr>
        <w:pStyle w:val="Heading3"/>
      </w:pPr>
      <w:r>
        <w:t xml:space="preserve">From incapacity to afterlife and accountability</w:t>
      </w:r>
    </w:p>
    <w:p>
      <w:pPr>
        <w:pStyle w:val="FirstParagraph"/>
      </w:pPr>
      <w:r>
        <w:t xml:space="preserve">How, then, does the passage function as an argument for afterlife?</w:t>
      </w:r>
    </w:p>
    <w:p>
      <w:pPr>
        <w:pStyle w:val="BodyText"/>
      </w:pPr>
      <w:r>
        <w:t xml:space="preserve">It argues</w:t>
      </w:r>
      <w:r>
        <w:t xml:space="preserve"> </w:t>
      </w:r>
      <w:r>
        <w:rPr>
          <w:i/>
          <w:iCs/>
        </w:rPr>
        <w:t xml:space="preserve">indirectly</w:t>
      </w:r>
      <w:r>
        <w:t xml:space="preserve">: if the soul’s departure is beyond your control, then you are not self-sovereign; if you are not self-sovereign, then you are under a higher sovereignty; and if sovereignty is real, then judgment (“dīn” / recompense) is not an irrational rumor but a coherent extension of governance. This is why “if you are not to be judged” is the targeted premise: the Qur’an presses the denier to cash out their metaphysical claim in the one arena where it matters most.</w:t>
      </w:r>
      <w:r>
        <w:t xml:space="preserve"> </w:t>
      </w:r>
      <w:hyperlink r:id="rId35">
        <w:r>
          <w:rPr>
            <w:rStyle w:val="Hyperlink"/>
          </w:rPr>
          <w:t xml:space="preserve">[34]</w:t>
        </w:r>
      </w:hyperlink>
    </w:p>
    <w:p>
      <w:pPr>
        <w:pStyle w:val="BodyText"/>
      </w:pPr>
      <w:r>
        <w:t xml:space="preserve">The Qur’an does not leave the argument suspended. In the immediate continuation, it describes differentiated post-mortem outcomes, implying that the soul not only</w:t>
      </w:r>
      <w:r>
        <w:t xml:space="preserve"> </w:t>
      </w:r>
      <w:r>
        <w:rPr>
          <w:i/>
          <w:iCs/>
        </w:rPr>
        <w:t xml:space="preserve">departs</w:t>
      </w:r>
      <w:r>
        <w:t xml:space="preserve"> </w:t>
      </w:r>
      <w:r>
        <w:t xml:space="preserve">but also</w:t>
      </w:r>
      <w:r>
        <w:t xml:space="preserve"> </w:t>
      </w:r>
      <w:r>
        <w:rPr>
          <w:i/>
          <w:iCs/>
        </w:rPr>
        <w:t xml:space="preserve">meets</w:t>
      </w:r>
      <w:r>
        <w:t xml:space="preserve"> </w:t>
      </w:r>
      <w:r>
        <w:t xml:space="preserve">a divinely structured horizon of consequence.</w:t>
      </w:r>
      <w:r>
        <w:t xml:space="preserve"> </w:t>
      </w:r>
      <w:hyperlink r:id="rId21">
        <w:r>
          <w:rPr>
            <w:rStyle w:val="Hyperlink"/>
          </w:rPr>
          <w:t xml:space="preserve">[8]</w:t>
        </w:r>
      </w:hyperlink>
    </w:p>
    <w:p>
      <w:pPr>
        <w:pStyle w:val="BodyText"/>
      </w:pPr>
      <w:r>
        <w:t xml:space="preserve">A further theological implication aligns with your request: since human knowledge is “little” on the soul, believers are called to epistemic humility about</w:t>
      </w:r>
      <w:r>
        <w:t xml:space="preserve"> </w:t>
      </w:r>
      <w:r>
        <w:rPr>
          <w:i/>
          <w:iCs/>
        </w:rPr>
        <w:t xml:space="preserve">mechanism</w:t>
      </w:r>
      <w:r>
        <w:t xml:space="preserve"> </w:t>
      </w:r>
      <w:r>
        <w:t xml:space="preserve">while maintaining trust in the Qur’an’s repeated insistence on</w:t>
      </w:r>
      <w:r>
        <w:t xml:space="preserve"> </w:t>
      </w:r>
      <w:r>
        <w:rPr>
          <w:i/>
          <w:iCs/>
        </w:rPr>
        <w:t xml:space="preserve">outcome</w:t>
      </w:r>
      <w:r>
        <w:t xml:space="preserve">: accountability, return, and restoration. Some Qur’anic passages even anticipate a re-embodiment that exceeds our current categories (e.g., God’s claim that He can “recreate you in a way unknown to you”), suggesting that “restoration” is not mere replay of the present biological form but reconstitution under a new mode of existence.</w:t>
      </w:r>
      <w:r>
        <w:t xml:space="preserve"> </w:t>
      </w:r>
      <w:hyperlink r:id="rId21">
        <w:r>
          <w:rPr>
            <w:rStyle w:val="Hyperlink"/>
          </w:rPr>
          <w:t xml:space="preserve">[1]</w:t>
        </w:r>
      </w:hyperlink>
    </w:p>
    <w:bookmarkEnd w:id="46"/>
    <w:bookmarkEnd w:id="47"/>
    <w:bookmarkStart w:id="59" w:name="Xafa1e9e557299d5931c74415f6cc61a9679c212"/>
    <w:p>
      <w:pPr>
        <w:pStyle w:val="Heading2"/>
      </w:pPr>
      <w:r>
        <w:t xml:space="preserve">First creation as proof of second creation in Zia H Shah MD’s afterlife essays</w:t>
      </w:r>
    </w:p>
    <w:p>
      <w:pPr>
        <w:pStyle w:val="FirstParagraph"/>
      </w:pPr>
      <w:r>
        <w:t xml:space="preserve">Zia H Shah MD’s afterlife corpus on the site you provided repeatedly foregrounds a Qur’anic proof-pattern that complements Qur’an 56:83–87: the claim that</w:t>
      </w:r>
      <w:r>
        <w:t xml:space="preserve"> </w:t>
      </w:r>
      <w:r>
        <w:rPr>
          <w:i/>
          <w:iCs/>
        </w:rPr>
        <w:t xml:space="preserve">the One who initiated creation can re-initiate it</w:t>
      </w:r>
      <w:r>
        <w:t xml:space="preserve">, and that the first creation is the standing evidence for resurrection as a second creation. The afterlife category itself displays a sustained sequence of essays drawing scientific, philosophical, and exegetical connections between creation-signs and eschatological claims.</w:t>
      </w:r>
      <w:r>
        <w:t xml:space="preserve"> </w:t>
      </w:r>
      <w:hyperlink r:id="rId48">
        <w:r>
          <w:rPr>
            <w:rStyle w:val="Hyperlink"/>
          </w:rPr>
          <w:t xml:space="preserve">[35]</w:t>
        </w:r>
      </w:hyperlink>
    </w:p>
    <w:bookmarkStart w:id="49" w:name="the-canonical-formula-in-sūrat-qāf"/>
    <w:p>
      <w:pPr>
        <w:pStyle w:val="Heading3"/>
      </w:pPr>
      <w:r>
        <w:t xml:space="preserve">The canonical formula in Sūrat Qāf</w:t>
      </w:r>
    </w:p>
    <w:p>
      <w:pPr>
        <w:pStyle w:val="FirstParagraph"/>
      </w:pPr>
      <w:r>
        <w:t xml:space="preserve">In his commentary on Sūrat Qāf</w:t>
      </w:r>
      <w:hyperlink r:id="rId23">
        <w:r>
          <w:rPr>
            <w:rStyle w:val="Hyperlink"/>
          </w:rPr>
          <w:t xml:space="preserve">[36]</w:t>
        </w:r>
      </w:hyperlink>
      <w:r>
        <w:t xml:space="preserve">, he highlights Qur’an 50:15 as a “punch line” of the Qur’an’s reasoning: “So were We incapable of the first creation? No indeed! Yet they doubt a second creation.”</w:t>
      </w:r>
      <w:r>
        <w:t xml:space="preserve"> </w:t>
      </w:r>
      <w:hyperlink r:id="rId34">
        <w:r>
          <w:rPr>
            <w:rStyle w:val="Hyperlink"/>
          </w:rPr>
          <w:t xml:space="preserve">[37]</w:t>
        </w:r>
      </w:hyperlink>
      <w:r>
        <w:t xml:space="preserve"> </w:t>
      </w:r>
      <w:r>
        <w:t xml:space="preserve">He situates this verse in a larger passage that points to the sky, earth, mountains, vegetation, and rain giving life to dead land, culminating in the explicit analogy: “This is how the dead will emerge.”</w:t>
      </w:r>
      <w:r>
        <w:t xml:space="preserve"> </w:t>
      </w:r>
      <w:hyperlink r:id="rId34">
        <w:r>
          <w:rPr>
            <w:rStyle w:val="Hyperlink"/>
          </w:rPr>
          <w:t xml:space="preserve">[37]</w:t>
        </w:r>
      </w:hyperlink>
    </w:p>
    <w:p>
      <w:pPr>
        <w:pStyle w:val="BodyText"/>
      </w:pPr>
      <w:r>
        <w:t xml:space="preserve">The argumentative structure is consistent: (1) contemplate a vast, ordered, life-generating cosmos; (2) recognize that the first creation is already empirically before you; (3) infer that resurrection is not metaphysically “harder” than creation but is the same creative power applied again.</w:t>
      </w:r>
      <w:r>
        <w:t xml:space="preserve"> </w:t>
      </w:r>
      <w:hyperlink r:id="rId34">
        <w:r>
          <w:rPr>
            <w:rStyle w:val="Hyperlink"/>
          </w:rPr>
          <w:t xml:space="preserve">[37]</w:t>
        </w:r>
      </w:hyperlink>
    </w:p>
    <w:bookmarkEnd w:id="49"/>
    <w:bookmarkStart w:id="52" w:name="Xc2f2ab2f8cbc5a73ba0b9836b1856b0d84a74f4"/>
    <w:p>
      <w:pPr>
        <w:pStyle w:val="Heading3"/>
      </w:pPr>
      <w:r>
        <w:t xml:space="preserve">The first creation proofs gathered from Sūrat al-Wāqiʿah</w:t>
      </w:r>
    </w:p>
    <w:p>
      <w:pPr>
        <w:pStyle w:val="FirstParagraph"/>
      </w:pPr>
      <w:r>
        <w:t xml:space="preserve">In his essay and accompanying PDF on Sūrat al-Wāqiʿah</w:t>
      </w:r>
      <w:hyperlink r:id="rId32">
        <w:r>
          <w:rPr>
            <w:rStyle w:val="Hyperlink"/>
          </w:rPr>
          <w:t xml:space="preserve">[38]</w:t>
        </w:r>
      </w:hyperlink>
      <w:r>
        <w:t xml:space="preserve"> </w:t>
      </w:r>
      <w:r>
        <w:t xml:space="preserve">(56:47–81), he frames the passage as presenting “a profound scientific, philosophical, and theological argument for life after death, using the first creation as evidence for resurrection,” and he enumerates the Qur’an’s chosen analogies: human origin from a drop, crops from seeds, water from the sky, and fire from green wood.</w:t>
      </w:r>
      <w:r>
        <w:t xml:space="preserve"> </w:t>
      </w:r>
      <w:hyperlink r:id="rId50">
        <w:r>
          <w:rPr>
            <w:rStyle w:val="Hyperlink"/>
          </w:rPr>
          <w:t xml:space="preserve">[39]</w:t>
        </w:r>
      </w:hyperlink>
    </w:p>
    <w:p>
      <w:pPr>
        <w:pStyle w:val="BodyText"/>
      </w:pPr>
      <w:r>
        <w:t xml:space="preserve">The PDF explicitly interprets this as an a fortiori logic: creating from nothing is the “greater feat,” therefore recreating after death is within the same power, and it notes that the Qur’an itself articulates this move elsewhere (e.g., Q 50:15).</w:t>
      </w:r>
      <w:r>
        <w:t xml:space="preserve"> </w:t>
      </w:r>
      <w:hyperlink r:id="rId51">
        <w:r>
          <w:rPr>
            <w:rStyle w:val="Hyperlink"/>
          </w:rPr>
          <w:t xml:space="preserve">[40]</w:t>
        </w:r>
      </w:hyperlink>
    </w:p>
    <w:p>
      <w:pPr>
        <w:pStyle w:val="BodyText"/>
      </w:pPr>
      <w:r>
        <w:t xml:space="preserve">This cluster of proofs is especially relevant to Qur’an 56:83–87. The sūrah moves from creation-signs (56:57–74) to revelation (56:75–82) and then to the deathbed challenge (56:83–87), so the “first creation” argument and the “moment of death” argument are adjacent, mutually reinforcing modes of proof: one appeals to cosmic/natural observation, the other to existential immediacy and human helplessness.</w:t>
      </w:r>
      <w:r>
        <w:t xml:space="preserve"> </w:t>
      </w:r>
      <w:hyperlink r:id="rId21">
        <w:r>
          <w:rPr>
            <w:rStyle w:val="Hyperlink"/>
          </w:rPr>
          <w:t xml:space="preserve">[1]</w:t>
        </w:r>
      </w:hyperlink>
    </w:p>
    <w:bookmarkEnd w:id="52"/>
    <w:bookmarkStart w:id="54" w:name="Xfbf93a02489a2c2aab8532f529c8ef69bae9ae5"/>
    <w:p>
      <w:pPr>
        <w:pStyle w:val="Heading3"/>
      </w:pPr>
      <w:r>
        <w:t xml:space="preserve">The Yā Sīn sequence of bodily-resurrection reasoning</w:t>
      </w:r>
    </w:p>
    <w:p>
      <w:pPr>
        <w:pStyle w:val="FirstParagraph"/>
      </w:pPr>
      <w:r>
        <w:t xml:space="preserve">In his extensive commentary on Sūrat Yā Sīn</w:t>
      </w:r>
      <w:hyperlink r:id="rId32">
        <w:r>
          <w:rPr>
            <w:rStyle w:val="Hyperlink"/>
          </w:rPr>
          <w:t xml:space="preserve">[41]</w:t>
        </w:r>
      </w:hyperlink>
      <w:r>
        <w:t xml:space="preserve"> </w:t>
      </w:r>
      <w:r>
        <w:t xml:space="preserve">(36:77–83), he stages the Qur’an’s rebuttal to the skeptic who mocks the resurrection of decayed bones. The core answer is the central Qur’anic formula: “He who created them in the first place will give them life again.”</w:t>
      </w:r>
      <w:r>
        <w:t xml:space="preserve"> </w:t>
      </w:r>
      <w:hyperlink r:id="rId53">
        <w:r>
          <w:rPr>
            <w:rStyle w:val="Hyperlink"/>
          </w:rPr>
          <w:t xml:space="preserve">[42]</w:t>
        </w:r>
      </w:hyperlink>
      <w:r>
        <w:t xml:space="preserve"> </w:t>
      </w:r>
      <w:r>
        <w:t xml:space="preserve">He then emphasizes the Qur’an’s additional analogies—fire from green trees and the greater-to-lesser inference from creating the heavens and earth to recreating humans—while integrating classical exegesis and modern scientific framing.</w:t>
      </w:r>
      <w:r>
        <w:t xml:space="preserve"> </w:t>
      </w:r>
      <w:hyperlink r:id="rId53">
        <w:r>
          <w:rPr>
            <w:rStyle w:val="Hyperlink"/>
          </w:rPr>
          <w:t xml:space="preserve">[43]</w:t>
        </w:r>
      </w:hyperlink>
    </w:p>
    <w:p>
      <w:pPr>
        <w:pStyle w:val="BodyText"/>
      </w:pPr>
      <w:r>
        <w:t xml:space="preserve">Whether or not a reader accepts every scientific “amplification,” the underlying Qur’anic logic remains stable across these discussions: the denial of resurrection is presented as a failure to reason consistently from the fact of the first creation.</w:t>
      </w:r>
      <w:r>
        <w:t xml:space="preserve"> </w:t>
      </w:r>
      <w:hyperlink r:id="rId53">
        <w:r>
          <w:rPr>
            <w:rStyle w:val="Hyperlink"/>
          </w:rPr>
          <w:t xml:space="preserve">[44]</w:t>
        </w:r>
      </w:hyperlink>
    </w:p>
    <w:bookmarkEnd w:id="54"/>
    <w:bookmarkStart w:id="55" w:name="X1c036c5b59b2974abb0435af36b02718ea399d0"/>
    <w:p>
      <w:pPr>
        <w:pStyle w:val="Heading3"/>
      </w:pPr>
      <w:r>
        <w:t xml:space="preserve">Cosmic-scale proofs in Qur’an 17:99 and related commentary</w:t>
      </w:r>
    </w:p>
    <w:p>
      <w:pPr>
        <w:pStyle w:val="FirstParagraph"/>
      </w:pPr>
      <w:r>
        <w:t xml:space="preserve">In his commentary on Qur’an 17:99, he identifies the verse’s spine as a direct cosmological inference: if God created “the vast heavens and earth,” He can re-create human beings; resurrection is set at an appointed time “beyond doubt.”</w:t>
      </w:r>
      <w:r>
        <w:t xml:space="preserve"> </w:t>
      </w:r>
      <w:hyperlink r:id="rId41">
        <w:r>
          <w:rPr>
            <w:rStyle w:val="Hyperlink"/>
          </w:rPr>
          <w:t xml:space="preserve">[45]</w:t>
        </w:r>
      </w:hyperlink>
      <w:r>
        <w:t xml:space="preserve"> </w:t>
      </w:r>
      <w:r>
        <w:t xml:space="preserve">The essay also notes that classical authorities frame re-creation as “as easy…as the first creation,” and it positions modern cosmology and embryology as contemporary contexts in which the Qur’an’s reasoning appears even more intuitive to some readers than it did to its first audience.</w:t>
      </w:r>
      <w:r>
        <w:t xml:space="preserve"> </w:t>
      </w:r>
      <w:hyperlink r:id="rId41">
        <w:r>
          <w:rPr>
            <w:rStyle w:val="Hyperlink"/>
          </w:rPr>
          <w:t xml:space="preserve">[46]</w:t>
        </w:r>
      </w:hyperlink>
    </w:p>
    <w:bookmarkEnd w:id="55"/>
    <w:bookmarkStart w:id="57" w:name="Xe9ed694c90c7e5a4c9eb2cd68d10e277fda6727"/>
    <w:p>
      <w:pPr>
        <w:pStyle w:val="Heading3"/>
      </w:pPr>
      <w:r>
        <w:t xml:space="preserve">Biological first-creation arguments through embryology and pregnancy</w:t>
      </w:r>
    </w:p>
    <w:p>
      <w:pPr>
        <w:pStyle w:val="FirstParagraph"/>
      </w:pPr>
      <w:r>
        <w:t xml:space="preserve">Beyond cosmic signs, he repeatedly returns to biological genesis as a lived “first creation” that humans observe but do not ultimately control. His long essay on mammalian pregnancy and the placenta culminates in a section explicitly titled “Embryonic Development and Resurrection in the Qur’an,” quoting passages (e.g., Q 23:12–16; Q 22:5–6; Q 75:36–40) where embryological stages are invoked as arguments for resurrection.</w:t>
      </w:r>
      <w:r>
        <w:t xml:space="preserve"> </w:t>
      </w:r>
      <w:hyperlink r:id="rId56">
        <w:r>
          <w:rPr>
            <w:rStyle w:val="Hyperlink"/>
          </w:rPr>
          <w:t xml:space="preserve">[47]</w:t>
        </w:r>
      </w:hyperlink>
    </w:p>
    <w:p>
      <w:pPr>
        <w:pStyle w:val="BodyText"/>
      </w:pPr>
      <w:r>
        <w:t xml:space="preserve">This is not merely decorative: the Qur’an’s logic here is structurally identical to Qur’an 56:83–87. Human beings can describe stages, name tissues, and intervene medically, but they neither initiate life from nothing nor guarantee its permanence. The biological “first creation” becomes an experiential sign that underwrites (for the believer) the plausibility of the second creation.</w:t>
      </w:r>
      <w:r>
        <w:t xml:space="preserve"> </w:t>
      </w:r>
      <w:hyperlink r:id="rId56">
        <w:r>
          <w:rPr>
            <w:rStyle w:val="Hyperlink"/>
          </w:rPr>
          <w:t xml:space="preserve">[48]</w:t>
        </w:r>
      </w:hyperlink>
    </w:p>
    <w:bookmarkEnd w:id="57"/>
    <w:bookmarkStart w:id="58" w:name="X9f4c3e9ac68f97186e8bcb3a048c78c6038b074"/>
    <w:p>
      <w:pPr>
        <w:pStyle w:val="Heading3"/>
      </w:pPr>
      <w:r>
        <w:t xml:space="preserve">Consciousness and epistemic humility as a bridge</w:t>
      </w:r>
    </w:p>
    <w:p>
      <w:pPr>
        <w:pStyle w:val="FirstParagraph"/>
      </w:pPr>
      <w:r>
        <w:t xml:space="preserve">Finally, he explicitly links two “limited knowledge” themes: consciousness (soul) and afterlife. In one concise post, he cites Qur’an 17:85 (limited knowledge of the soul) and Qur’an 32:17 (hidden joy of the afterlife) and frames them as paired domains where the Qur’an itself schedules humility.</w:t>
      </w:r>
      <w:r>
        <w:t xml:space="preserve"> </w:t>
      </w:r>
      <w:hyperlink r:id="rId44">
        <w:r>
          <w:rPr>
            <w:rStyle w:val="Hyperlink"/>
          </w:rPr>
          <w:t xml:space="preserve">[32]</w:t>
        </w:r>
      </w:hyperlink>
    </w:p>
    <w:p>
      <w:pPr>
        <w:pStyle w:val="BodyText"/>
      </w:pPr>
      <w:r>
        <w:t xml:space="preserve">This bridge is directly relevant to Qur’an 56:83–87: the deathbed challenge is not only about bodily incapacity, but about the boundary of consciousness and its fate. The Qur’an’s strategy is to turn that boundary into both a moral reminder and an epistemic correction: do not pretend comprehensive knowledge where revelation itself announces human limitation; do not deny accountability when the most certain human experience—death—already refutes fantasies of self-sovereignty.</w:t>
      </w:r>
      <w:r>
        <w:t xml:space="preserve"> </w:t>
      </w:r>
      <w:hyperlink r:id="rId44">
        <w:r>
          <w:rPr>
            <w:rStyle w:val="Hyperlink"/>
          </w:rPr>
          <w:t xml:space="preserve">[49]</w:t>
        </w:r>
      </w:hyperlink>
    </w:p>
    <w:bookmarkEnd w:id="58"/>
    <w:bookmarkEnd w:id="59"/>
    <w:bookmarkStart w:id="60" w:name="thematic-epilogue"/>
    <w:p>
      <w:pPr>
        <w:pStyle w:val="Heading2"/>
      </w:pPr>
      <w:r>
        <w:t xml:space="preserve">Thematic epilogue</w:t>
      </w:r>
    </w:p>
    <w:p>
      <w:pPr>
        <w:pStyle w:val="FirstParagraph"/>
      </w:pPr>
      <w:r>
        <w:t xml:space="preserve">Qur’an 56:83–87 is, in one sense, an argument addressed to skeptics; in another, it is spiritual formation addressed to everyone. It compels a shift from the posture of mastery (“we decide,” “we control,” “we are unaccountable”) to the posture of creaturely truth: we are near to the dying, yet we are not the authors of their continued consciousness; we can witness the threshold, yet we cannot see the decisive agents and realities that the Qur’an declares present there.</w:t>
      </w:r>
      <w:r>
        <w:t xml:space="preserve"> </w:t>
      </w:r>
      <w:hyperlink r:id="rId21">
        <w:r>
          <w:rPr>
            <w:rStyle w:val="Hyperlink"/>
          </w:rPr>
          <w:t xml:space="preserve">[50]</w:t>
        </w:r>
      </w:hyperlink>
    </w:p>
    <w:p>
      <w:pPr>
        <w:pStyle w:val="BodyText"/>
      </w:pPr>
      <w:r>
        <w:t xml:space="preserve">Scientifically, we can improve care, relieve suffering, and sometimes restart failing systems—but clinical medicine itself defines death around the permanence of lost consciousness and breathing, and it recognizes how rapidly consciousness depends on conditions humans cannot instantly restore once they truly fail.</w:t>
      </w:r>
      <w:r>
        <w:t xml:space="preserve"> </w:t>
      </w:r>
      <w:hyperlink r:id="rId23">
        <w:r>
          <w:rPr>
            <w:rStyle w:val="Hyperlink"/>
          </w:rPr>
          <w:t xml:space="preserve">[51]</w:t>
        </w:r>
      </w:hyperlink>
      <w:r>
        <w:t xml:space="preserve"> </w:t>
      </w:r>
      <w:r>
        <w:t xml:space="preserve">Philosophically, the deathbed scene exposes the deep asymmetry between observing a body and possessing access to the subjective “someone” who was there; the very structure of consciousness makes it resistant to complete capture by third-person methods, even as neuroscience advances.</w:t>
      </w:r>
      <w:r>
        <w:t xml:space="preserve"> </w:t>
      </w:r>
      <w:hyperlink r:id="rId31">
        <w:r>
          <w:rPr>
            <w:rStyle w:val="Hyperlink"/>
          </w:rPr>
          <w:t xml:space="preserve">[52]</w:t>
        </w:r>
      </w:hyperlink>
    </w:p>
    <w:p>
      <w:pPr>
        <w:pStyle w:val="BodyText"/>
      </w:pPr>
      <w:r>
        <w:t xml:space="preserve">Theologically, the passage insists that this exposure is not meaningless. Human incapacity here is not random humiliation; it is an unveiling of dependence and therefore a sign pointing toward governance, recompense, and return. The Qur’an’s “restore it if you are truthful” functions like a final audit of metaphysical claims: if you truly live outside judgment, show it where it matters; if you cannot, then acknowledge the One to whom dominion belongs—and live accordingly.</w:t>
      </w:r>
      <w:r>
        <w:t xml:space="preserve"> </w:t>
      </w:r>
      <w:hyperlink r:id="rId35">
        <w:r>
          <w:rPr>
            <w:rStyle w:val="Hyperlink"/>
          </w:rPr>
          <w:t xml:space="preserve">[53]</w:t>
        </w:r>
      </w:hyperlink>
    </w:p>
    <w:p>
      <w:pPr>
        <w:pStyle w:val="BodyText"/>
      </w:pPr>
      <w:r>
        <w:t xml:space="preserve">In that frame, the right response combines humility and trust: humility about what we do not and cannot fully know about the soul (the Qur’an itself says our knowledge is “little”), and trust in the Qur’an’s repeated insistence that the One who created first can create again—restoring consciousness in a new mode of embodiment, and convening the moral meaning of a life that otherwise dissolves into silence at the throat.</w:t>
      </w:r>
      <w:r>
        <w:t xml:space="preserve"> </w:t>
      </w:r>
      <w:hyperlink r:id="rId44">
        <w:r>
          <w:rPr>
            <w:rStyle w:val="Hyperlink"/>
          </w:rPr>
          <w:t xml:space="preserve">[54]</w:t>
        </w:r>
      </w:hyperlink>
    </w:p>
    <w:bookmarkEnd w:id="60"/>
    <w:bookmarkEnd w:id="61"/>
    <w:bookmarkEnd w:id="62"/>
    <w:p>
      <w:r>
        <w:pict>
          <v:rect style="width:0;height:1.5pt" o:hralign="center" o:hrstd="t" o:hr="t"/>
        </w:pict>
      </w:r>
    </w:p>
    <w:bookmarkStart w:id="63" w:name="citations"/>
    <w:p>
      <w:pPr>
        <w:pStyle w:val="FirstParagraph"/>
      </w:pPr>
      <w:hyperlink r:id="rId21">
        <w:r>
          <w:rPr>
            <w:rStyle w:val="Hyperlink"/>
          </w:rPr>
          <w:t xml:space="preserve">[1]</w:t>
        </w:r>
      </w:hyperlink>
      <w:r>
        <w:t xml:space="preserve"> </w:t>
      </w:r>
      <w:hyperlink r:id="rId21">
        <w:r>
          <w:rPr>
            <w:rStyle w:val="Hyperlink"/>
          </w:rPr>
          <w:t xml:space="preserve">[6]</w:t>
        </w:r>
      </w:hyperlink>
      <w:r>
        <w:t xml:space="preserve"> </w:t>
      </w:r>
      <w:hyperlink r:id="rId21">
        <w:r>
          <w:rPr>
            <w:rStyle w:val="Hyperlink"/>
          </w:rPr>
          <w:t xml:space="preserve">[7]</w:t>
        </w:r>
      </w:hyperlink>
      <w:r>
        <w:t xml:space="preserve"> </w:t>
      </w:r>
      <w:hyperlink r:id="rId21">
        <w:r>
          <w:rPr>
            <w:rStyle w:val="Hyperlink"/>
          </w:rPr>
          <w:t xml:space="preserve">[8]</w:t>
        </w:r>
      </w:hyperlink>
      <w:r>
        <w:t xml:space="preserve"> </w:t>
      </w:r>
      <w:hyperlink r:id="rId21">
        <w:r>
          <w:rPr>
            <w:rStyle w:val="Hyperlink"/>
          </w:rPr>
          <w:t xml:space="preserve">[12]</w:t>
        </w:r>
      </w:hyperlink>
      <w:r>
        <w:t xml:space="preserve"> </w:t>
      </w:r>
      <w:hyperlink r:id="rId21">
        <w:r>
          <w:rPr>
            <w:rStyle w:val="Hyperlink"/>
          </w:rPr>
          <w:t xml:space="preserve">[20]</w:t>
        </w:r>
      </w:hyperlink>
      <w:r>
        <w:t xml:space="preserve"> </w:t>
      </w:r>
      <w:hyperlink r:id="rId21">
        <w:r>
          <w:rPr>
            <w:rStyle w:val="Hyperlink"/>
          </w:rPr>
          <w:t xml:space="preserve">[21]</w:t>
        </w:r>
      </w:hyperlink>
      <w:r>
        <w:t xml:space="preserve"> </w:t>
      </w:r>
      <w:hyperlink r:id="rId21">
        <w:r>
          <w:rPr>
            <w:rStyle w:val="Hyperlink"/>
          </w:rPr>
          <w:t xml:space="preserve">[50]</w:t>
        </w:r>
      </w:hyperlink>
      <w:r>
        <w:t xml:space="preserve"> </w:t>
      </w:r>
      <w:r>
        <w:t xml:space="preserve">al-Waqi`ah (The Event, The Inevitable, That Which is Coming) at IslamAwakened.com</w:t>
      </w:r>
    </w:p>
    <w:p>
      <w:pPr>
        <w:pStyle w:val="BodyText"/>
      </w:pPr>
      <w:hyperlink r:id="rId21">
        <w:r>
          <w:rPr>
            <w:rStyle w:val="Hyperlink"/>
          </w:rPr>
          <w:t xml:space="preserve">https://www.islamawakened.com/quran/56/st3.htm</w:t>
        </w:r>
      </w:hyperlink>
    </w:p>
    <w:p>
      <w:pPr>
        <w:pStyle w:val="BodyText"/>
      </w:pPr>
      <w:hyperlink r:id="rId22">
        <w:r>
          <w:rPr>
            <w:rStyle w:val="Hyperlink"/>
          </w:rPr>
          <w:t xml:space="preserve">[2]</w:t>
        </w:r>
      </w:hyperlink>
      <w:r>
        <w:t xml:space="preserve"> </w:t>
      </w:r>
      <w:hyperlink r:id="rId22">
        <w:r>
          <w:rPr>
            <w:rStyle w:val="Hyperlink"/>
          </w:rPr>
          <w:t xml:space="preserve">[11]</w:t>
        </w:r>
      </w:hyperlink>
      <w:r>
        <w:t xml:space="preserve"> </w:t>
      </w:r>
      <w:r>
        <w:t xml:space="preserve">القرآن الكريم - تفسير القرطبي - تفسير سورة الواقعة - الآية 85</w:t>
      </w:r>
    </w:p>
    <w:p>
      <w:pPr>
        <w:pStyle w:val="BodyText"/>
      </w:pPr>
      <w:hyperlink r:id="rId22">
        <w:r>
          <w:rPr>
            <w:rStyle w:val="Hyperlink"/>
          </w:rPr>
          <w:t xml:space="preserve">https://quran.ksu.edu.sa/tafseer/qortobi/sura56-aya85.html</w:t>
        </w:r>
      </w:hyperlink>
    </w:p>
    <w:p>
      <w:pPr>
        <w:pStyle w:val="BodyText"/>
      </w:pPr>
      <w:hyperlink r:id="rId23">
        <w:r>
          <w:rPr>
            <w:rStyle w:val="Hyperlink"/>
          </w:rPr>
          <w:t xml:space="preserve">[3]</w:t>
        </w:r>
      </w:hyperlink>
      <w:r>
        <w:t xml:space="preserve"> </w:t>
      </w:r>
      <w:hyperlink r:id="rId23">
        <w:r>
          <w:rPr>
            <w:rStyle w:val="Hyperlink"/>
          </w:rPr>
          <w:t xml:space="preserve">[26]</w:t>
        </w:r>
      </w:hyperlink>
      <w:r>
        <w:t xml:space="preserve"> </w:t>
      </w:r>
      <w:hyperlink r:id="rId23">
        <w:r>
          <w:rPr>
            <w:rStyle w:val="Hyperlink"/>
          </w:rPr>
          <w:t xml:space="preserve">[27]</w:t>
        </w:r>
      </w:hyperlink>
      <w:r>
        <w:t xml:space="preserve"> </w:t>
      </w:r>
      <w:hyperlink r:id="rId23">
        <w:r>
          <w:rPr>
            <w:rStyle w:val="Hyperlink"/>
          </w:rPr>
          <w:t xml:space="preserve">[28]</w:t>
        </w:r>
      </w:hyperlink>
      <w:r>
        <w:t xml:space="preserve"> </w:t>
      </w:r>
      <w:hyperlink r:id="rId23">
        <w:r>
          <w:rPr>
            <w:rStyle w:val="Hyperlink"/>
          </w:rPr>
          <w:t xml:space="preserve">[30]</w:t>
        </w:r>
      </w:hyperlink>
      <w:r>
        <w:t xml:space="preserve"> </w:t>
      </w:r>
      <w:hyperlink r:id="rId23">
        <w:r>
          <w:rPr>
            <w:rStyle w:val="Hyperlink"/>
          </w:rPr>
          <w:t xml:space="preserve">[36]</w:t>
        </w:r>
      </w:hyperlink>
      <w:r>
        <w:t xml:space="preserve"> </w:t>
      </w:r>
      <w:hyperlink r:id="rId23">
        <w:r>
          <w:rPr>
            <w:rStyle w:val="Hyperlink"/>
          </w:rPr>
          <w:t xml:space="preserve">[51]</w:t>
        </w:r>
      </w:hyperlink>
      <w:r>
        <w:t xml:space="preserve"> </w:t>
      </w:r>
      <w:r>
        <w:t xml:space="preserve">aomrc.org.uk</w:t>
      </w:r>
    </w:p>
    <w:p>
      <w:pPr>
        <w:pStyle w:val="BodyText"/>
      </w:pPr>
      <w:hyperlink r:id="rId23">
        <w:r>
          <w:rPr>
            <w:rStyle w:val="Hyperlink"/>
          </w:rPr>
          <w:t xml:space="preserve">https://www.aomrc.org.uk/publication/a-code-of-practice-for-the-diagnosis-and-confirmation-of-death-2025-update/</w:t>
        </w:r>
      </w:hyperlink>
    </w:p>
    <w:p>
      <w:pPr>
        <w:pStyle w:val="BodyText"/>
      </w:pPr>
      <w:hyperlink r:id="rId24">
        <w:r>
          <w:rPr>
            <w:rStyle w:val="Hyperlink"/>
          </w:rPr>
          <w:t xml:space="preserve">[4]</w:t>
        </w:r>
      </w:hyperlink>
      <w:r>
        <w:t xml:space="preserve"> </w:t>
      </w:r>
      <w:hyperlink r:id="rId24">
        <w:r>
          <w:rPr>
            <w:rStyle w:val="Hyperlink"/>
          </w:rPr>
          <w:t xml:space="preserve">[22]</w:t>
        </w:r>
      </w:hyperlink>
      <w:r>
        <w:t xml:space="preserve"> </w:t>
      </w:r>
      <w:r>
        <w:t xml:space="preserve"> </w:t>
      </w:r>
      <w:r>
        <w:t xml:space="preserve">Consciousness (Stanford Encyclopedia of Philosophy)</w:t>
      </w:r>
      <w:r>
        <w:t xml:space="preserve"> </w:t>
      </w:r>
    </w:p>
    <w:p>
      <w:pPr>
        <w:pStyle w:val="BodyText"/>
      </w:pPr>
      <w:hyperlink r:id="rId24">
        <w:r>
          <w:rPr>
            <w:rStyle w:val="Hyperlink"/>
          </w:rPr>
          <w:t xml:space="preserve">https://plato.stanford.edu/entries/consciousness/</w:t>
        </w:r>
      </w:hyperlink>
    </w:p>
    <w:p>
      <w:pPr>
        <w:pStyle w:val="BodyText"/>
      </w:pPr>
      <w:hyperlink r:id="rId26">
        <w:r>
          <w:rPr>
            <w:rStyle w:val="Hyperlink"/>
          </w:rPr>
          <w:t xml:space="preserve">[5]</w:t>
        </w:r>
      </w:hyperlink>
      <w:r>
        <w:t xml:space="preserve"> </w:t>
      </w:r>
      <w:hyperlink r:id="rId26">
        <w:r>
          <w:rPr>
            <w:rStyle w:val="Hyperlink"/>
          </w:rPr>
          <w:t xml:space="preserve">[9]</w:t>
        </w:r>
      </w:hyperlink>
      <w:r>
        <w:t xml:space="preserve"> </w:t>
      </w:r>
      <w:hyperlink r:id="rId26">
        <w:r>
          <w:rPr>
            <w:rStyle w:val="Hyperlink"/>
          </w:rPr>
          <w:t xml:space="preserve">[19]</w:t>
        </w:r>
      </w:hyperlink>
      <w:r>
        <w:t xml:space="preserve"> </w:t>
      </w:r>
      <w:hyperlink r:id="rId26">
        <w:r>
          <w:rPr>
            <w:rStyle w:val="Hyperlink"/>
          </w:rPr>
          <w:t xml:space="preserve">[33]</w:t>
        </w:r>
      </w:hyperlink>
      <w:r>
        <w:t xml:space="preserve"> </w:t>
      </w:r>
      <w:r>
        <w:t xml:space="preserve">Tafsir Surah Al-Waqi'ah - 83 - Quran.com</w:t>
      </w:r>
    </w:p>
    <w:p>
      <w:pPr>
        <w:pStyle w:val="BodyText"/>
      </w:pPr>
      <w:hyperlink r:id="rId26">
        <w:r>
          <w:rPr>
            <w:rStyle w:val="Hyperlink"/>
          </w:rPr>
          <w:t xml:space="preserve">https://quran.com/en/56%3A83/tafsirs/en-tafsir-maarif-ul-quran</w:t>
        </w:r>
      </w:hyperlink>
    </w:p>
    <w:p>
      <w:pPr>
        <w:pStyle w:val="BodyText"/>
      </w:pPr>
      <w:hyperlink r:id="rId31">
        <w:r>
          <w:rPr>
            <w:rStyle w:val="Hyperlink"/>
          </w:rPr>
          <w:t xml:space="preserve">[10]</w:t>
        </w:r>
      </w:hyperlink>
      <w:r>
        <w:t xml:space="preserve"> </w:t>
      </w:r>
      <w:hyperlink r:id="rId31">
        <w:r>
          <w:rPr>
            <w:rStyle w:val="Hyperlink"/>
          </w:rPr>
          <w:t xml:space="preserve">[23]</w:t>
        </w:r>
      </w:hyperlink>
      <w:r>
        <w:t xml:space="preserve"> </w:t>
      </w:r>
      <w:hyperlink r:id="rId31">
        <w:r>
          <w:rPr>
            <w:rStyle w:val="Hyperlink"/>
          </w:rPr>
          <w:t xml:space="preserve">[52]</w:t>
        </w:r>
      </w:hyperlink>
      <w:r>
        <w:t xml:space="preserve"> </w:t>
      </w:r>
      <w:r>
        <w:t xml:space="preserve"> </w:t>
      </w:r>
      <w:r>
        <w:t xml:space="preserve">The Neuroscience of Consciousness (Stanford Encyclopedia of Philosophy)</w:t>
      </w:r>
      <w:r>
        <w:t xml:space="preserve"> </w:t>
      </w:r>
    </w:p>
    <w:p>
      <w:pPr>
        <w:pStyle w:val="BodyText"/>
      </w:pPr>
      <w:hyperlink r:id="rId31">
        <w:r>
          <w:rPr>
            <w:rStyle w:val="Hyperlink"/>
          </w:rPr>
          <w:t xml:space="preserve">https://plato.stanford.edu/entries/consciousness-neuroscience/</w:t>
        </w:r>
      </w:hyperlink>
    </w:p>
    <w:p>
      <w:pPr>
        <w:pStyle w:val="BodyText"/>
      </w:pPr>
      <w:hyperlink r:id="rId32">
        <w:r>
          <w:rPr>
            <w:rStyle w:val="Hyperlink"/>
          </w:rPr>
          <w:t xml:space="preserve">[13]</w:t>
        </w:r>
      </w:hyperlink>
      <w:r>
        <w:t xml:space="preserve"> </w:t>
      </w:r>
      <w:hyperlink r:id="rId32">
        <w:r>
          <w:rPr>
            <w:rStyle w:val="Hyperlink"/>
          </w:rPr>
          <w:t xml:space="preserve">[14]</w:t>
        </w:r>
      </w:hyperlink>
      <w:r>
        <w:t xml:space="preserve"> </w:t>
      </w:r>
      <w:hyperlink r:id="rId32">
        <w:r>
          <w:rPr>
            <w:rStyle w:val="Hyperlink"/>
          </w:rPr>
          <w:t xml:space="preserve">[24]</w:t>
        </w:r>
      </w:hyperlink>
      <w:r>
        <w:t xml:space="preserve"> </w:t>
      </w:r>
      <w:hyperlink r:id="rId32">
        <w:r>
          <w:rPr>
            <w:rStyle w:val="Hyperlink"/>
          </w:rPr>
          <w:t xml:space="preserve">[31]</w:t>
        </w:r>
      </w:hyperlink>
      <w:r>
        <w:t xml:space="preserve"> </w:t>
      </w:r>
      <w:hyperlink r:id="rId32">
        <w:r>
          <w:rPr>
            <w:rStyle w:val="Hyperlink"/>
          </w:rPr>
          <w:t xml:space="preserve">[38]</w:t>
        </w:r>
      </w:hyperlink>
      <w:r>
        <w:t xml:space="preserve"> </w:t>
      </w:r>
      <w:hyperlink r:id="rId32">
        <w:r>
          <w:rPr>
            <w:rStyle w:val="Hyperlink"/>
          </w:rPr>
          <w:t xml:space="preserve">[41]</w:t>
        </w:r>
      </w:hyperlink>
      <w:r>
        <w:t xml:space="preserve"> </w:t>
      </w:r>
      <w:r>
        <w:t xml:space="preserve">القرآن الكريم - تفسير ابن كثير - تفسير سورة الواقعة - الآية 85</w:t>
      </w:r>
    </w:p>
    <w:p>
      <w:pPr>
        <w:pStyle w:val="BodyText"/>
      </w:pPr>
      <w:hyperlink r:id="rId32">
        <w:r>
          <w:rPr>
            <w:rStyle w:val="Hyperlink"/>
          </w:rPr>
          <w:t xml:space="preserve">https://quran.ksu.edu.sa/tafseer/katheer/sura56-aya85.html</w:t>
        </w:r>
      </w:hyperlink>
    </w:p>
    <w:p>
      <w:pPr>
        <w:pStyle w:val="BodyText"/>
      </w:pPr>
      <w:hyperlink r:id="rId34">
        <w:r>
          <w:rPr>
            <w:rStyle w:val="Hyperlink"/>
          </w:rPr>
          <w:t xml:space="preserve">[15]</w:t>
        </w:r>
      </w:hyperlink>
      <w:r>
        <w:t xml:space="preserve"> </w:t>
      </w:r>
      <w:hyperlink r:id="rId34">
        <w:r>
          <w:rPr>
            <w:rStyle w:val="Hyperlink"/>
          </w:rPr>
          <w:t xml:space="preserve">[37]</w:t>
        </w:r>
      </w:hyperlink>
      <w:r>
        <w:t xml:space="preserve"> </w:t>
      </w:r>
      <w:r>
        <w:t xml:space="preserve">Surah Qaf: The First Creation as the Foremost Proof for Afterlife – The Glorious Quran and Science</w:t>
      </w:r>
    </w:p>
    <w:p>
      <w:pPr>
        <w:pStyle w:val="BodyText"/>
      </w:pPr>
      <w:hyperlink r:id="rId34">
        <w:r>
          <w:rPr>
            <w:rStyle w:val="Hyperlink"/>
          </w:rPr>
          <w:t xml:space="preserve">https://thequran.love/2018/02/04/sura-creation-the-first-creation-as-the-foremost-proof-for-afterlife/</w:t>
        </w:r>
      </w:hyperlink>
    </w:p>
    <w:p>
      <w:pPr>
        <w:pStyle w:val="BodyText"/>
      </w:pPr>
      <w:hyperlink r:id="rId35">
        <w:r>
          <w:rPr>
            <w:rStyle w:val="Hyperlink"/>
          </w:rPr>
          <w:t xml:space="preserve">[16]</w:t>
        </w:r>
      </w:hyperlink>
      <w:r>
        <w:t xml:space="preserve"> </w:t>
      </w:r>
      <w:hyperlink r:id="rId35">
        <w:r>
          <w:rPr>
            <w:rStyle w:val="Hyperlink"/>
          </w:rPr>
          <w:t xml:space="preserve">[18]</w:t>
        </w:r>
      </w:hyperlink>
      <w:r>
        <w:t xml:space="preserve"> </w:t>
      </w:r>
      <w:hyperlink r:id="rId35">
        <w:r>
          <w:rPr>
            <w:rStyle w:val="Hyperlink"/>
          </w:rPr>
          <w:t xml:space="preserve">[34]</w:t>
        </w:r>
      </w:hyperlink>
      <w:r>
        <w:t xml:space="preserve"> </w:t>
      </w:r>
      <w:hyperlink r:id="rId35">
        <w:r>
          <w:rPr>
            <w:rStyle w:val="Hyperlink"/>
          </w:rPr>
          <w:t xml:space="preserve">[53]</w:t>
        </w:r>
      </w:hyperlink>
      <w:r>
        <w:t xml:space="preserve"> </w:t>
      </w:r>
      <w:r>
        <w:t xml:space="preserve">القرآن الكريم - تفسير الطبري - تفسير سورة الواقعة - الآية 86</w:t>
      </w:r>
    </w:p>
    <w:p>
      <w:pPr>
        <w:pStyle w:val="BodyText"/>
      </w:pPr>
      <w:hyperlink r:id="rId35">
        <w:r>
          <w:rPr>
            <w:rStyle w:val="Hyperlink"/>
          </w:rPr>
          <w:t xml:space="preserve">https://quran.ksu.edu.sa/tafseer/tabary/sura56-aya86.html</w:t>
        </w:r>
      </w:hyperlink>
    </w:p>
    <w:p>
      <w:pPr>
        <w:pStyle w:val="BodyText"/>
      </w:pPr>
      <w:hyperlink r:id="rId36">
        <w:r>
          <w:rPr>
            <w:rStyle w:val="Hyperlink"/>
          </w:rPr>
          <w:t xml:space="preserve">[17]</w:t>
        </w:r>
      </w:hyperlink>
      <w:r>
        <w:t xml:space="preserve"> </w:t>
      </w:r>
      <w:r>
        <w:t xml:space="preserve">القرآن الكريم - تفسير ابن كثير - تفسير سورة الواقعة - الآية 86</w:t>
      </w:r>
    </w:p>
    <w:p>
      <w:pPr>
        <w:pStyle w:val="BodyText"/>
      </w:pPr>
      <w:hyperlink r:id="rId36">
        <w:r>
          <w:rPr>
            <w:rStyle w:val="Hyperlink"/>
          </w:rPr>
          <w:t xml:space="preserve">https://quran.ksu.edu.sa/tafseer/katheer/sura56-aya86.html</w:t>
        </w:r>
      </w:hyperlink>
    </w:p>
    <w:p>
      <w:pPr>
        <w:pStyle w:val="BodyText"/>
      </w:pPr>
      <w:hyperlink r:id="rId41">
        <w:r>
          <w:rPr>
            <w:rStyle w:val="Hyperlink"/>
          </w:rPr>
          <w:t xml:space="preserve">[25]</w:t>
        </w:r>
      </w:hyperlink>
      <w:r>
        <w:t xml:space="preserve"> </w:t>
      </w:r>
      <w:hyperlink r:id="rId41">
        <w:r>
          <w:rPr>
            <w:rStyle w:val="Hyperlink"/>
          </w:rPr>
          <w:t xml:space="preserve">[45]</w:t>
        </w:r>
      </w:hyperlink>
      <w:r>
        <w:t xml:space="preserve"> </w:t>
      </w:r>
      <w:hyperlink r:id="rId41">
        <w:r>
          <w:rPr>
            <w:rStyle w:val="Hyperlink"/>
          </w:rPr>
          <w:t xml:space="preserve">[46]</w:t>
        </w:r>
      </w:hyperlink>
      <w:r>
        <w:t xml:space="preserve"> </w:t>
      </w:r>
      <w:r>
        <w:t xml:space="preserve">Commentary on Quran 17:99 – Divine Power, Resurrection, and Human Rationality – The Glorious Quran and Science</w:t>
      </w:r>
    </w:p>
    <w:p>
      <w:pPr>
        <w:pStyle w:val="BodyText"/>
      </w:pPr>
      <w:hyperlink r:id="rId41">
        <w:r>
          <w:rPr>
            <w:rStyle w:val="Hyperlink"/>
          </w:rPr>
          <w:t xml:space="preserve">https://thequran.love/2025/09/28/commentary-on-quran-1799-divine-power-resurrection-and-human-rationality/</w:t>
        </w:r>
      </w:hyperlink>
    </w:p>
    <w:p>
      <w:pPr>
        <w:pStyle w:val="BodyText"/>
      </w:pPr>
      <w:hyperlink r:id="rId42">
        <w:r>
          <w:rPr>
            <w:rStyle w:val="Hyperlink"/>
          </w:rPr>
          <w:t xml:space="preserve">[29]</w:t>
        </w:r>
      </w:hyperlink>
      <w:r>
        <w:t xml:space="preserve"> </w:t>
      </w:r>
      <w:r>
        <w:t xml:space="preserve">CPR - adult and child after onset of puberty: MedlinePlus Medical Encyclopedia</w:t>
      </w:r>
    </w:p>
    <w:p>
      <w:pPr>
        <w:pStyle w:val="BodyText"/>
      </w:pPr>
      <w:hyperlink r:id="rId42">
        <w:r>
          <w:rPr>
            <w:rStyle w:val="Hyperlink"/>
          </w:rPr>
          <w:t xml:space="preserve">https://medlineplus.gov/ency/article/000013.htm</w:t>
        </w:r>
      </w:hyperlink>
    </w:p>
    <w:p>
      <w:pPr>
        <w:pStyle w:val="BodyText"/>
      </w:pPr>
      <w:hyperlink r:id="rId44">
        <w:r>
          <w:rPr>
            <w:rStyle w:val="Hyperlink"/>
          </w:rPr>
          <w:t xml:space="preserve">[32]</w:t>
        </w:r>
      </w:hyperlink>
      <w:r>
        <w:t xml:space="preserve"> </w:t>
      </w:r>
      <w:hyperlink r:id="rId44">
        <w:r>
          <w:rPr>
            <w:rStyle w:val="Hyperlink"/>
          </w:rPr>
          <w:t xml:space="preserve">[49]</w:t>
        </w:r>
      </w:hyperlink>
      <w:r>
        <w:t xml:space="preserve"> </w:t>
      </w:r>
      <w:hyperlink r:id="rId44">
        <w:r>
          <w:rPr>
            <w:rStyle w:val="Hyperlink"/>
          </w:rPr>
          <w:t xml:space="preserve">[54]</w:t>
        </w:r>
      </w:hyperlink>
      <w:r>
        <w:t xml:space="preserve"> </w:t>
      </w:r>
      <w:r>
        <w:t xml:space="preserve">There are only two things that the Quran says we will have only limited knowledge – The Glorious Quran and Science</w:t>
      </w:r>
    </w:p>
    <w:p>
      <w:pPr>
        <w:pStyle w:val="BodyText"/>
      </w:pPr>
      <w:hyperlink r:id="rId44">
        <w:r>
          <w:rPr>
            <w:rStyle w:val="Hyperlink"/>
          </w:rPr>
          <w:t xml:space="preserve">https://thequran.love/2024/03/22/there-are-only-two-things-that-the-quran-says-we-will-have-only-limited-knowledge/</w:t>
        </w:r>
      </w:hyperlink>
    </w:p>
    <w:p>
      <w:pPr>
        <w:pStyle w:val="BodyText"/>
      </w:pPr>
      <w:hyperlink r:id="rId48">
        <w:r>
          <w:rPr>
            <w:rStyle w:val="Hyperlink"/>
          </w:rPr>
          <w:t xml:space="preserve">[35]</w:t>
        </w:r>
      </w:hyperlink>
      <w:r>
        <w:t xml:space="preserve"> </w:t>
      </w:r>
      <w:r>
        <w:t xml:space="preserve">Afterlife – The Glorious Quran and Science</w:t>
      </w:r>
    </w:p>
    <w:p>
      <w:pPr>
        <w:pStyle w:val="BodyText"/>
      </w:pPr>
      <w:hyperlink r:id="rId48">
        <w:r>
          <w:rPr>
            <w:rStyle w:val="Hyperlink"/>
          </w:rPr>
          <w:t xml:space="preserve">https://thequran.love/category/afterlife/</w:t>
        </w:r>
      </w:hyperlink>
    </w:p>
    <w:p>
      <w:pPr>
        <w:pStyle w:val="BodyText"/>
      </w:pPr>
      <w:hyperlink r:id="rId50">
        <w:r>
          <w:rPr>
            <w:rStyle w:val="Hyperlink"/>
          </w:rPr>
          <w:t xml:space="preserve">[39]</w:t>
        </w:r>
      </w:hyperlink>
      <w:r>
        <w:t xml:space="preserve"> </w:t>
      </w:r>
      <w:r>
        <w:t xml:space="preserve">Surah Al Waqiah (Qur’an 56:47–81) – First Creation as Proof of Afterlife – The Glorious Quran and Science</w:t>
      </w:r>
    </w:p>
    <w:p>
      <w:pPr>
        <w:pStyle w:val="BodyText"/>
      </w:pPr>
      <w:hyperlink r:id="rId50">
        <w:r>
          <w:rPr>
            <w:rStyle w:val="Hyperlink"/>
          </w:rPr>
          <w:t xml:space="preserve">https://thequran.love/2025/07/02/quran-5647-81-first-creation-as-proof-of-afterlife/</w:t>
        </w:r>
      </w:hyperlink>
    </w:p>
    <w:p>
      <w:pPr>
        <w:pStyle w:val="BodyText"/>
      </w:pPr>
      <w:hyperlink r:id="rId51">
        <w:r>
          <w:rPr>
            <w:rStyle w:val="Hyperlink"/>
          </w:rPr>
          <w:t xml:space="preserve">[40]</w:t>
        </w:r>
      </w:hyperlink>
      <w:r>
        <w:t xml:space="preserve"> </w:t>
      </w:r>
      <w:r>
        <w:t xml:space="preserve">**Qur’an 56:47–81 – First Creation as Proof of Afterlife**</w:t>
      </w:r>
    </w:p>
    <w:p>
      <w:pPr>
        <w:pStyle w:val="BodyText"/>
      </w:pPr>
      <w:hyperlink r:id="rId51">
        <w:r>
          <w:rPr>
            <w:rStyle w:val="Hyperlink"/>
          </w:rPr>
          <w:t xml:space="preserve">https://thequran.love/wp-content/uploads/2025/07/surah-al-waqiah-the-first-creation-as-proof-of-afterlife.pdf</w:t>
        </w:r>
      </w:hyperlink>
    </w:p>
    <w:p>
      <w:pPr>
        <w:pStyle w:val="BodyText"/>
      </w:pPr>
      <w:hyperlink r:id="rId53">
        <w:r>
          <w:rPr>
            <w:rStyle w:val="Hyperlink"/>
          </w:rPr>
          <w:t xml:space="preserve">[42]</w:t>
        </w:r>
      </w:hyperlink>
      <w:r>
        <w:t xml:space="preserve"> </w:t>
      </w:r>
      <w:hyperlink r:id="rId53">
        <w:r>
          <w:rPr>
            <w:rStyle w:val="Hyperlink"/>
          </w:rPr>
          <w:t xml:space="preserve">[43]</w:t>
        </w:r>
      </w:hyperlink>
      <w:r>
        <w:t xml:space="preserve"> </w:t>
      </w:r>
      <w:hyperlink r:id="rId53">
        <w:r>
          <w:rPr>
            <w:rStyle w:val="Hyperlink"/>
          </w:rPr>
          <w:t xml:space="preserve">[44]</w:t>
        </w:r>
      </w:hyperlink>
      <w:r>
        <w:t xml:space="preserve"> </w:t>
      </w:r>
      <w:r>
        <w:t xml:space="preserve">The Glorious Surah Yā Sīn: Arguing from the First Creation to Afterlife – The Glorious Quran and Science</w:t>
      </w:r>
    </w:p>
    <w:p>
      <w:pPr>
        <w:pStyle w:val="BodyText"/>
      </w:pPr>
      <w:hyperlink r:id="rId53">
        <w:r>
          <w:rPr>
            <w:rStyle w:val="Hyperlink"/>
          </w:rPr>
          <w:t xml:space="preserve">https://thequran.love/2025/04/24/surah-ya-sin-arguing-from-the-first-creation-to-afterlife/</w:t>
        </w:r>
      </w:hyperlink>
    </w:p>
    <w:p>
      <w:pPr>
        <w:pStyle w:val="BodyText"/>
      </w:pPr>
      <w:hyperlink r:id="rId56">
        <w:r>
          <w:rPr>
            <w:rStyle w:val="Hyperlink"/>
          </w:rPr>
          <w:t xml:space="preserve">[47]</w:t>
        </w:r>
      </w:hyperlink>
      <w:r>
        <w:t xml:space="preserve"> </w:t>
      </w:r>
      <w:hyperlink r:id="rId56">
        <w:r>
          <w:rPr>
            <w:rStyle w:val="Hyperlink"/>
          </w:rPr>
          <w:t xml:space="preserve">[48]</w:t>
        </w:r>
      </w:hyperlink>
      <w:r>
        <w:t xml:space="preserve"> </w:t>
      </w:r>
      <w:r>
        <w:t xml:space="preserve">Arguing the Afterlife from the Miracle of Mammalian Pregnancy – The Glorious Quran and Science</w:t>
      </w:r>
    </w:p>
    <w:p>
      <w:pPr>
        <w:pStyle w:val="BodyText"/>
      </w:pPr>
      <w:hyperlink r:id="rId56">
        <w:r>
          <w:rPr>
            <w:rStyle w:val="Hyperlink"/>
          </w:rPr>
          <w:t xml:space="preserve">https://thequran.love/2025/05/01/arguing-the-afterlife-from-the-miracle-of-mammalian-pregnancy/</w:t>
        </w:r>
      </w:hyperlink>
    </w:p>
    <w:bookmarkEnd w:id="63"/>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42" Target="https://medlineplus.gov/ency/article/000013.htm" TargetMode="External" /><Relationship Type="http://schemas.openxmlformats.org/officeDocument/2006/relationships/hyperlink" Id="rId31" Target="https://plato.stanford.edu/entries/consciousness-neuroscience/" TargetMode="External" /><Relationship Type="http://schemas.openxmlformats.org/officeDocument/2006/relationships/hyperlink" Id="rId24" Target="https://plato.stanford.edu/entries/consciousness/" TargetMode="External" /><Relationship Type="http://schemas.openxmlformats.org/officeDocument/2006/relationships/hyperlink" Id="rId26" Target="https://quran.com/en/56%3A83/tafsirs/en-tafsir-maarif-ul-quran" TargetMode="External" /><Relationship Type="http://schemas.openxmlformats.org/officeDocument/2006/relationships/hyperlink" Id="rId32" Target="https://quran.ksu.edu.sa/tafseer/katheer/sura56-aya85.html" TargetMode="External" /><Relationship Type="http://schemas.openxmlformats.org/officeDocument/2006/relationships/hyperlink" Id="rId36" Target="https://quran.ksu.edu.sa/tafseer/katheer/sura56-aya86.html" TargetMode="External" /><Relationship Type="http://schemas.openxmlformats.org/officeDocument/2006/relationships/hyperlink" Id="rId22" Target="https://quran.ksu.edu.sa/tafseer/qortobi/sura56-aya85.html" TargetMode="External" /><Relationship Type="http://schemas.openxmlformats.org/officeDocument/2006/relationships/hyperlink" Id="rId35" Target="https://quran.ksu.edu.sa/tafseer/tabary/sura56-aya86.html" TargetMode="External" /><Relationship Type="http://schemas.openxmlformats.org/officeDocument/2006/relationships/hyperlink" Id="rId34" Target="https://thequran.love/2018/02/04/sura-creation-the-first-creation-as-the-foremost-proof-for-afterlife/" TargetMode="External" /><Relationship Type="http://schemas.openxmlformats.org/officeDocument/2006/relationships/hyperlink" Id="rId44" Target="https://thequran.love/2024/03/22/there-are-only-two-things-that-the-quran-says-we-will-have-only-limited-knowledge/" TargetMode="External" /><Relationship Type="http://schemas.openxmlformats.org/officeDocument/2006/relationships/hyperlink" Id="rId53" Target="https://thequran.love/2025/04/24/surah-ya-sin-arguing-from-the-first-creation-to-afterlife/" TargetMode="External" /><Relationship Type="http://schemas.openxmlformats.org/officeDocument/2006/relationships/hyperlink" Id="rId56" Target="https://thequran.love/2025/05/01/arguing-the-afterlife-from-the-miracle-of-mammalian-pregnancy/" TargetMode="External" /><Relationship Type="http://schemas.openxmlformats.org/officeDocument/2006/relationships/hyperlink" Id="rId50" Target="https://thequran.love/2025/07/02/quran-5647-81-first-creation-as-proof-of-afterlife/" TargetMode="External" /><Relationship Type="http://schemas.openxmlformats.org/officeDocument/2006/relationships/hyperlink" Id="rId41" Target="https://thequran.love/2025/09/28/commentary-on-quran-1799-divine-power-resurrection-and-human-rationality/" TargetMode="External" /><Relationship Type="http://schemas.openxmlformats.org/officeDocument/2006/relationships/hyperlink" Id="rId48" Target="https://thequran.love/category/afterlife/" TargetMode="External" /><Relationship Type="http://schemas.openxmlformats.org/officeDocument/2006/relationships/hyperlink" Id="rId51" Target="https://thequran.love/wp-content/uploads/2025/07/surah-al-waqiah-the-first-creation-as-proof-of-afterlife.pdf" TargetMode="External" /><Relationship Type="http://schemas.openxmlformats.org/officeDocument/2006/relationships/hyperlink" Id="rId23" Target="https://www.aomrc.org.uk/publication/a-code-of-practice-for-the-diagnosis-and-confirmation-of-death-2025-update/" TargetMode="External" /><Relationship Type="http://schemas.openxmlformats.org/officeDocument/2006/relationships/hyperlink" Id="rId21" Target="https://www.islamawakened.com/quran/56/st3.htm" TargetMode="External" /></Relationships>
</file>

<file path=word/_rels/footnotes.xml.rels><?xml version="1.0" encoding="UTF-8"?><Relationships xmlns="http://schemas.openxmlformats.org/package/2006/relationships"><Relationship Type="http://schemas.openxmlformats.org/officeDocument/2006/relationships/hyperlink" Id="rId42" Target="https://medlineplus.gov/ency/article/000013.htm" TargetMode="External" /><Relationship Type="http://schemas.openxmlformats.org/officeDocument/2006/relationships/hyperlink" Id="rId31" Target="https://plato.stanford.edu/entries/consciousness-neuroscience/" TargetMode="External" /><Relationship Type="http://schemas.openxmlformats.org/officeDocument/2006/relationships/hyperlink" Id="rId24" Target="https://plato.stanford.edu/entries/consciousness/" TargetMode="External" /><Relationship Type="http://schemas.openxmlformats.org/officeDocument/2006/relationships/hyperlink" Id="rId26" Target="https://quran.com/en/56%3A83/tafsirs/en-tafsir-maarif-ul-quran" TargetMode="External" /><Relationship Type="http://schemas.openxmlformats.org/officeDocument/2006/relationships/hyperlink" Id="rId32" Target="https://quran.ksu.edu.sa/tafseer/katheer/sura56-aya85.html" TargetMode="External" /><Relationship Type="http://schemas.openxmlformats.org/officeDocument/2006/relationships/hyperlink" Id="rId36" Target="https://quran.ksu.edu.sa/tafseer/katheer/sura56-aya86.html" TargetMode="External" /><Relationship Type="http://schemas.openxmlformats.org/officeDocument/2006/relationships/hyperlink" Id="rId22" Target="https://quran.ksu.edu.sa/tafseer/qortobi/sura56-aya85.html" TargetMode="External" /><Relationship Type="http://schemas.openxmlformats.org/officeDocument/2006/relationships/hyperlink" Id="rId35" Target="https://quran.ksu.edu.sa/tafseer/tabary/sura56-aya86.html" TargetMode="External" /><Relationship Type="http://schemas.openxmlformats.org/officeDocument/2006/relationships/hyperlink" Id="rId34" Target="https://thequran.love/2018/02/04/sura-creation-the-first-creation-as-the-foremost-proof-for-afterlife/" TargetMode="External" /><Relationship Type="http://schemas.openxmlformats.org/officeDocument/2006/relationships/hyperlink" Id="rId44" Target="https://thequran.love/2024/03/22/there-are-only-two-things-that-the-quran-says-we-will-have-only-limited-knowledge/" TargetMode="External" /><Relationship Type="http://schemas.openxmlformats.org/officeDocument/2006/relationships/hyperlink" Id="rId53" Target="https://thequran.love/2025/04/24/surah-ya-sin-arguing-from-the-first-creation-to-afterlife/" TargetMode="External" /><Relationship Type="http://schemas.openxmlformats.org/officeDocument/2006/relationships/hyperlink" Id="rId56" Target="https://thequran.love/2025/05/01/arguing-the-afterlife-from-the-miracle-of-mammalian-pregnancy/" TargetMode="External" /><Relationship Type="http://schemas.openxmlformats.org/officeDocument/2006/relationships/hyperlink" Id="rId50" Target="https://thequran.love/2025/07/02/quran-5647-81-first-creation-as-proof-of-afterlife/" TargetMode="External" /><Relationship Type="http://schemas.openxmlformats.org/officeDocument/2006/relationships/hyperlink" Id="rId41" Target="https://thequran.love/2025/09/28/commentary-on-quran-1799-divine-power-resurrection-and-human-rationality/" TargetMode="External" /><Relationship Type="http://schemas.openxmlformats.org/officeDocument/2006/relationships/hyperlink" Id="rId48" Target="https://thequran.love/category/afterlife/" TargetMode="External" /><Relationship Type="http://schemas.openxmlformats.org/officeDocument/2006/relationships/hyperlink" Id="rId51" Target="https://thequran.love/wp-content/uploads/2025/07/surah-al-waqiah-the-first-creation-as-proof-of-afterlife.pdf" TargetMode="External" /><Relationship Type="http://schemas.openxmlformats.org/officeDocument/2006/relationships/hyperlink" Id="rId23" Target="https://www.aomrc.org.uk/publication/a-code-of-practice-for-the-diagnosis-and-confirmation-of-death-2025-update/" TargetMode="External" /><Relationship Type="http://schemas.openxmlformats.org/officeDocument/2006/relationships/hyperlink" Id="rId21" Target="https://www.islamawakened.com/quran/56/st3.ht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2026-04-04T07:39:20Z</dcterms:created>
  <dcterms:modified xsi:type="dcterms:W3CDTF">2026-04-04T07:39:20Z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