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480" w:after="120"/>
        <w:jc w:val="center"/>
      </w:pPr>
      <w:r>
        <w:rPr>
          <w:rFonts w:ascii="Georgia" w:cs="Georgia" w:eastAsia="Georgia" w:hAnsi="Georgia"/>
          <w:b/>
          <w:bCs/>
          <w:color w:val="1B6B8A"/>
          <w:sz w:val="52"/>
          <w:szCs w:val="52"/>
        </w:rPr>
        <w:t xml:space="preserve">Salvation, War &amp; Peace</w:t>
      </w:r>
    </w:p>
    <w:p>
      <w:pPr>
        <w:spacing w:before="0" w:after="80"/>
        <w:jc w:val="center"/>
      </w:pPr>
      <w:r>
        <w:rPr>
          <w:rFonts w:ascii="Georgia" w:cs="Georgia" w:eastAsia="Georgia" w:hAnsi="Georgia"/>
          <w:i/>
          <w:iCs/>
          <w:color w:val="8B6914"/>
          <w:sz w:val="28"/>
          <w:szCs w:val="28"/>
        </w:rPr>
        <w:t xml:space="preserve">How Faith Traditions Navigate the Promise of Salvation</w:t>
      </w:r>
    </w:p>
    <w:p>
      <w:pPr>
        <w:pBdr>
          <w:bottom w:val="double" w:color="1B6B8A" w:sz="6" w:space="8"/>
        </w:pBdr>
        <w:spacing w:before="0" w:after="60"/>
        <w:jc w:val="center"/>
      </w:pPr>
      <w:r>
        <w:rPr>
          <w:rFonts w:ascii="Calibri" w:cs="Calibri" w:eastAsia="Calibri" w:hAnsi="Calibri"/>
          <w:color w:val="555555"/>
          <w:sz w:val="22"/>
          <w:szCs w:val="22"/>
        </w:rPr>
        <w:t xml:space="preserve">Across Islam, Christianity, and Judaism</w:t>
      </w:r>
    </w:p>
    <w:p>
      <w:pPr>
        <w:spacing w:before="80" w:after="80"/>
      </w:pPr>
      <w:r>
        <w:t xml:space="preserve"/>
      </w:r>
    </w:p>
    <w:p>
      <w:pPr>
        <w:pBdr>
          <w:top w:val="single" w:color="1B6B8A" w:sz="6"/>
          <w:left w:val="single" w:color="1B6B8A" w:sz="6"/>
          <w:bottom w:val="single" w:color="1B6B8A" w:sz="6"/>
          <w:right w:val="single" w:color="1B6B8A" w:sz="6"/>
        </w:pBdr>
        <w:shd w:fill="E8F4F8" w:val="clear"/>
        <w:spacing w:before="200" w:after="160"/>
        <w:ind w:left="360" w:right="360"/>
      </w:pPr>
      <w:r>
        <w:rPr>
          <w:rFonts w:ascii="Georgia" w:cs="Georgia" w:eastAsia="Georgia" w:hAnsi="Georgia"/>
          <w:b/>
          <w:bCs/>
          <w:caps/>
          <w:color w:val="1B6B8A"/>
          <w:sz w:val="20"/>
          <w:szCs w:val="20"/>
        </w:rPr>
        <w:t xml:space="preserve">ABSTRACT</w:t>
      </w:r>
    </w:p>
    <w:p>
      <w:pPr>
        <w:shd w:fill="E8F4F8" w:val="clear"/>
        <w:spacing w:before="0" w:after="200"/>
        <w:ind w:left="360" w:right="360"/>
        <w:jc w:val="both"/>
      </w:pPr>
      <w:r>
        <w:rPr>
          <w:rFonts w:ascii="Calibri" w:cs="Calibri" w:eastAsia="Calibri" w:hAnsi="Calibri"/>
          <w:i/>
          <w:iCs/>
          <w:color w:val="2C3E50"/>
          <w:sz w:val="21"/>
          <w:szCs w:val="21"/>
        </w:rPr>
        <w:t xml:space="preserve">The concept of universal salvation — the question of who is ultimately saved and by what criteria — stands as one of the most profound and contested questions in the history of religion. Across Islam, Christianity, and Judaism, this question has never been answered in a vacuum. Rather, it has been shaped, stretched, and reoriented by the political, military, and social contexts in which believers found themselves. In times of peace and coexistence, theologians have emphasized inclusive verses, divine mercy, and the salvific potential of sincere seekers regardless of formal affiliation. In times of war, siege, and persecution, the pendulum has swung toward exclusivism, particularism, and the conviction that only one's own community possesses the keys to divine approval. This article examines that dialectic across the three Abrahamic faiths — drawing on their scriptures, their history, and the psychological forces that make universal salvation a luxury of peaceful times.</w:t>
      </w:r>
    </w:p>
    <w:p>
      <w:pPr>
        <w:spacing w:before="80" w:after="80"/>
      </w:pPr>
      <w:r>
        <w:t xml:space="preserve"/>
      </w:r>
    </w:p>
    <w:p>
      <w:pPr>
        <w:pStyle w:val="Heading1"/>
        <w:pBdr>
          <w:bottom w:val="single" w:color="1B6B8A" w:sz="4" w:space="6"/>
        </w:pBdr>
        <w:spacing w:before="400" w:after="200"/>
      </w:pPr>
      <w:r>
        <w:rPr>
          <w:rFonts w:ascii="Georgia" w:cs="Georgia" w:eastAsia="Georgia" w:hAnsi="Georgia"/>
          <w:b/>
          <w:bCs/>
          <w:color w:val="1B6B8A"/>
          <w:sz w:val="32"/>
          <w:szCs w:val="32"/>
        </w:rPr>
        <w:t xml:space="preserve">Part I: Islam — The Tension Between Mercy and Exclusivity</w:t>
      </w:r>
    </w:p>
    <w:p>
      <w:pPr>
        <w:spacing w:before="80" w:after="80"/>
      </w:pPr>
      <w:r>
        <w:t xml:space="preserve"/>
      </w:r>
    </w:p>
    <w:p>
      <w:pPr>
        <w:pStyle w:val="Heading2"/>
        <w:spacing w:before="300" w:after="120"/>
      </w:pPr>
      <w:r>
        <w:rPr>
          <w:rFonts w:ascii="Georgia" w:cs="Georgia" w:eastAsia="Georgia" w:hAnsi="Georgia"/>
          <w:b/>
          <w:bCs/>
          <w:color w:val="8B6914"/>
          <w:sz w:val="26"/>
          <w:szCs w:val="26"/>
        </w:rPr>
        <w:t xml:space="preserve">The Quranic Architecture of Salvation</w:t>
      </w:r>
    </w:p>
    <w:p>
      <w:pPr>
        <w:spacing w:before="80" w:after="120" w:line="320"/>
        <w:jc w:val="both"/>
      </w:pPr>
      <w:r>
        <w:rPr>
          <w:rFonts w:ascii="Calibri" w:cs="Calibri" w:eastAsia="Calibri" w:hAnsi="Calibri"/>
          <w:color w:val="1A1A2E"/>
          <w:sz w:val="22"/>
          <w:szCs w:val="22"/>
        </w:rPr>
        <w:t xml:space="preserve">The Quran presents what appears, at first reading, to be two irreconcilable visions of salvation. On one hand, it articulates a breathtakingly inclusive promise: that sincere faith in God, moral accountability at the Last Day, and righteous deeds are the criteria by which all human beings — regardless of formal religious designation — will be judged. On the other hand, it declares Islam to be the only religion acceptable in the sight of God, and warns that those who seek another path will be among the losers in the Hereafter. The resolution of this tension has never been purely theological. It has been deeply political.</w:t>
      </w:r>
    </w:p>
    <w:p>
      <w:pPr>
        <w:spacing w:before="80" w:after="80"/>
      </w:pPr>
      <w:r>
        <w:t xml:space="preserve"/>
      </w:r>
    </w:p>
    <w:p>
      <w:pPr>
        <w:pStyle w:val="Heading3"/>
        <w:spacing w:before="200" w:after="80"/>
      </w:pPr>
      <w:r>
        <w:rPr>
          <w:rFonts w:ascii="Georgia" w:cs="Georgia" w:eastAsia="Georgia" w:hAnsi="Georgia"/>
          <w:b/>
          <w:bCs/>
          <w:color w:val="555555"/>
          <w:sz w:val="22"/>
          <w:szCs w:val="22"/>
        </w:rPr>
        <w:t xml:space="preserve">The Inclusive Verses</w:t>
      </w:r>
    </w:p>
    <w:p>
      <w:pPr>
        <w:spacing w:before="80" w:after="120" w:line="320"/>
        <w:jc w:val="both"/>
      </w:pPr>
      <w:r>
        <w:rPr>
          <w:rFonts w:ascii="Calibri" w:cs="Calibri" w:eastAsia="Calibri" w:hAnsi="Calibri"/>
          <w:color w:val="1A1A2E"/>
          <w:sz w:val="22"/>
          <w:szCs w:val="22"/>
        </w:rPr>
        <w:t xml:space="preserve">The most celebrated of the inclusive texts is Surah Al-Baqarah 2:62, a verse that has been at the center of Islamic theological debate for fourteen centuries:</w:t>
      </w:r>
    </w:p>
    <w:p>
      <w:pPr>
        <w:shd w:fill="E8F4F8" w:val="clear"/>
        <w:spacing w:before="180" w:after="180" w:line="300"/>
        <w:ind w:left="720" w:right="720"/>
      </w:pPr>
      <w:r>
        <w:rPr>
          <w:rFonts w:ascii="Georgia" w:cs="Georgia" w:eastAsia="Georgia" w:hAnsi="Georgia"/>
          <w:i/>
          <w:iCs/>
          <w:color w:val="2C3E50"/>
          <w:sz w:val="22"/>
          <w:szCs w:val="22"/>
        </w:rPr>
        <w:t xml:space="preserve">"Indeed, those who believed and those who were Jews or Christians or Sabeans — those among them who believed in Allah and the Last Day and did righteousness — will have their reward with their Lord, and no fear will there be concerning them, nor will they grieve."</w:t>
      </w:r>
      <w:r>
        <w:rPr>
          <w:rFonts w:ascii="Calibri" w:cs="Calibri" w:eastAsia="Calibri" w:hAnsi="Calibri"/>
          <w:b/>
          <w:bCs/>
          <w:color w:val="1B6B8A"/>
          <w:sz w:val="18"/>
          <w:szCs w:val="18"/>
        </w:rPr>
        <w:br/>
        <w:t xml:space="preserve">
— Quran 2:62</w:t>
      </w:r>
    </w:p>
    <w:p>
      <w:pPr>
        <w:spacing w:before="80" w:after="120" w:line="320"/>
        <w:jc w:val="both"/>
      </w:pPr>
      <w:r>
        <w:rPr>
          <w:rFonts w:ascii="Calibri" w:cs="Calibri" w:eastAsia="Calibri" w:hAnsi="Calibri"/>
          <w:color w:val="1A1A2E"/>
          <w:sz w:val="22"/>
          <w:szCs w:val="22"/>
        </w:rPr>
        <w:t xml:space="preserve">This verse — nearly identical in content to Surah Al-Ma'idah 5:69 — extends divine reward to named non-Muslim communities on the basis of three criteria: belief in God, belief in the Last Day (moral accountability), and righteous action. The Sabeans — a mysterious community mentioned only three times in the Quran, likely referring to a monotheistic sect in Mesopotamia or South Arabia — are also included, suggesting that the circle of the potentially saved extends even beyond recognized scriptural religions.</w:t>
      </w:r>
    </w:p>
    <w:p>
      <w:pPr>
        <w:spacing w:before="80" w:after="120" w:line="320"/>
        <w:jc w:val="both"/>
      </w:pPr>
      <w:r>
        <w:rPr>
          <w:rFonts w:ascii="Calibri" w:cs="Calibri" w:eastAsia="Calibri" w:hAnsi="Calibri"/>
          <w:color w:val="1A1A2E"/>
          <w:sz w:val="22"/>
          <w:szCs w:val="22"/>
        </w:rPr>
        <w:t xml:space="preserve">Surah Ali 'Imran 3:113–115 reinforces this picture, acknowledging the presence of a genuinely righteous community among the People of the Book — those who recite scripture through the night, prostrate themselves in prayer, and hasten to do good deeds. The Quran declares that they 'will not be denied the reward of their good deeds,' a statement of striking theological generosity toward communities outside the formal boundaries of the Muslim ummah.</w:t>
      </w:r>
    </w:p>
    <w:p>
      <w:pPr>
        <w:spacing w:before="80" w:after="120" w:line="320"/>
        <w:jc w:val="both"/>
      </w:pPr>
      <w:r>
        <w:rPr>
          <w:rFonts w:ascii="Calibri" w:cs="Calibri" w:eastAsia="Calibri" w:hAnsi="Calibri"/>
          <w:color w:val="1A1A2E"/>
          <w:sz w:val="22"/>
          <w:szCs w:val="22"/>
        </w:rPr>
        <w:t xml:space="preserve">Perhaps the most affectively charged verse is Al-Ma'idah 5:82, which notes that Christians are 'closest in affection' to the believers — a statement of sociological warmth that reflects the experience of the early Muslim community's relationship with the Christian kingdom of Abyssinia, whose king, the Negus (Ashama ibn Abjar), offered sanctuary to the persecuted early Muslims when Mecca had become unbearable.</w:t>
      </w:r>
    </w:p>
    <w:p>
      <w:pPr>
        <w:spacing w:before="80" w:after="80"/>
      </w:pPr>
      <w:r>
        <w:t xml:space="preserve"/>
      </w:r>
    </w:p>
    <w:p>
      <w:pPr>
        <w:pStyle w:val="Heading3"/>
        <w:spacing w:before="200" w:after="80"/>
      </w:pPr>
      <w:r>
        <w:rPr>
          <w:rFonts w:ascii="Georgia" w:cs="Georgia" w:eastAsia="Georgia" w:hAnsi="Georgia"/>
          <w:b/>
          <w:bCs/>
          <w:color w:val="555555"/>
          <w:sz w:val="22"/>
          <w:szCs w:val="22"/>
        </w:rPr>
        <w:t xml:space="preserve">The Exclusive Verses</w:t>
      </w:r>
    </w:p>
    <w:p>
      <w:pPr>
        <w:spacing w:before="80" w:after="120" w:line="320"/>
        <w:jc w:val="both"/>
      </w:pPr>
      <w:r>
        <w:rPr>
          <w:rFonts w:ascii="Calibri" w:cs="Calibri" w:eastAsia="Calibri" w:hAnsi="Calibri"/>
          <w:color w:val="1A1A2E"/>
          <w:sz w:val="22"/>
          <w:szCs w:val="22"/>
        </w:rPr>
        <w:t xml:space="preserve">Set against these passages are verses of stark exclusivity. The foundational statement is Surah Ali 'Imran 3:19:</w:t>
      </w:r>
    </w:p>
    <w:p>
      <w:pPr>
        <w:shd w:fill="E8F4F8" w:val="clear"/>
        <w:spacing w:before="180" w:after="180" w:line="300"/>
        <w:ind w:left="720" w:right="720"/>
      </w:pPr>
      <w:r>
        <w:rPr>
          <w:rFonts w:ascii="Georgia" w:cs="Georgia" w:eastAsia="Georgia" w:hAnsi="Georgia"/>
          <w:i/>
          <w:iCs/>
          <w:color w:val="2C3E50"/>
          <w:sz w:val="22"/>
          <w:szCs w:val="22"/>
        </w:rPr>
        <w:t xml:space="preserve">"Truly, the religion in the sight of Allah is Islam."</w:t>
      </w:r>
      <w:r>
        <w:rPr>
          <w:rFonts w:ascii="Calibri" w:cs="Calibri" w:eastAsia="Calibri" w:hAnsi="Calibri"/>
          <w:b/>
          <w:bCs/>
          <w:color w:val="1B6B8A"/>
          <w:sz w:val="18"/>
          <w:szCs w:val="18"/>
        </w:rPr>
        <w:br/>
        <w:t xml:space="preserve">
— Quran 3:19</w:t>
      </w:r>
    </w:p>
    <w:p>
      <w:pPr>
        <w:spacing w:before="80" w:after="120" w:line="320"/>
        <w:jc w:val="both"/>
      </w:pPr>
      <w:r>
        <w:rPr>
          <w:rFonts w:ascii="Calibri" w:cs="Calibri" w:eastAsia="Calibri" w:hAnsi="Calibri"/>
          <w:color w:val="1A1A2E"/>
          <w:sz w:val="22"/>
          <w:szCs w:val="22"/>
        </w:rPr>
        <w:t xml:space="preserve">This verse, combined with 3:85 — 'Whoever desires other than Islam as religion, never will it be accepted from him, and he will be among the losers in the Hereafter' — forms the scriptural bedrock of Islamic exclusivism. The perfection verse of Surah Al-Ma'idah 5:3, revealed near the end of the Prophet's mission, seals the argument: divine guidance has been completed, the religion perfected, and the favor of God upon the Muslim community consummated.</w:t>
      </w:r>
    </w:p>
    <w:p>
      <w:pPr>
        <w:spacing w:before="80" w:after="120" w:line="320"/>
        <w:jc w:val="both"/>
      </w:pPr>
      <w:r>
        <w:rPr>
          <w:rFonts w:ascii="Calibri" w:cs="Calibri" w:eastAsia="Calibri" w:hAnsi="Calibri"/>
          <w:color w:val="1A1A2E"/>
          <w:sz w:val="22"/>
          <w:szCs w:val="22"/>
        </w:rPr>
        <w:t xml:space="preserve">The proclamation of Surah Al-Fath 48:28, that God sent His Messenger 'with guidance and the religion of truth that He may make it prevail over all religions,' introduces a note not merely of theological superiority but of historical destiny — Islam as the culmination and corrective of all prior revelation.</w:t>
      </w:r>
    </w:p>
    <w:p>
      <w:pPr>
        <w:spacing w:before="80" w:after="80"/>
      </w:pPr>
      <w:r>
        <w:t xml:space="preserve"/>
      </w:r>
    </w:p>
    <w:p>
      <w:pPr>
        <w:pStyle w:val="Heading2"/>
        <w:spacing w:before="300" w:after="120"/>
      </w:pPr>
      <w:r>
        <w:rPr>
          <w:rFonts w:ascii="Georgia" w:cs="Georgia" w:eastAsia="Georgia" w:hAnsi="Georgia"/>
          <w:b/>
          <w:bCs/>
          <w:color w:val="8B6914"/>
          <w:sz w:val="26"/>
          <w:szCs w:val="26"/>
        </w:rPr>
        <w:t xml:space="preserve">The Historical Oscillation: Peace, Crusade, and Coexistence</w:t>
      </w:r>
    </w:p>
    <w:p>
      <w:pPr>
        <w:spacing w:before="80" w:after="120" w:line="320"/>
        <w:jc w:val="both"/>
      </w:pPr>
      <w:r>
        <w:rPr>
          <w:rFonts w:ascii="Calibri" w:cs="Calibri" w:eastAsia="Calibri" w:hAnsi="Calibri"/>
          <w:color w:val="1A1A2E"/>
          <w:sz w:val="22"/>
          <w:szCs w:val="22"/>
        </w:rPr>
        <w:t xml:space="preserve">The conflict between these two streams of Quranic interpretation is not merely academic. It has played out in real time across Islamic history, with the balance tipping dramatically depending on the political weather.</w:t>
      </w:r>
    </w:p>
    <w:p>
      <w:pPr>
        <w:spacing w:before="80" w:after="120" w:line="320"/>
        <w:jc w:val="both"/>
      </w:pPr>
      <w:r>
        <w:rPr>
          <w:rFonts w:ascii="Calibri" w:cs="Calibri" w:eastAsia="Calibri" w:hAnsi="Calibri"/>
          <w:color w:val="1A1A2E"/>
          <w:sz w:val="22"/>
          <w:szCs w:val="22"/>
        </w:rPr>
        <w:t xml:space="preserve">The classical period of Islamic civilization — roughly from the 8th to the 13th century — represents perhaps the high-water mark of Islamic theological pluralism. Under the Abbasid Caliphate in Baghdad, the Umayyad Caliphate in Andalusia, and the Fatimid Caliphate in Egypt, Muslim rulers presided over communities of extraordinary religious diversity. Jewish philosophers like Saadia Gaon and later Maimonides flourished under Islamic rule. Christian theologians participated in the great translation movement that transmitted Greek philosophy to the Islamic world. Nestorian Christians served as court physicians. Jewish scholars debated Muslim jurists in public forums. In this context, theologians like Ibn 'Arabi could develop his doctrine of wahdatul wujud (unity of being) and his radical notion that God is worshipped in every religious form — a view that, while never orthodox, could be entertained without immediate violence.</w:t>
      </w:r>
    </w:p>
    <w:p>
      <w:pPr>
        <w:spacing w:before="80" w:after="120" w:line="320"/>
        <w:jc w:val="both"/>
      </w:pPr>
      <w:r>
        <w:rPr>
          <w:rFonts w:ascii="Calibri" w:cs="Calibri" w:eastAsia="Calibri" w:hAnsi="Calibri"/>
          <w:color w:val="1A1A2E"/>
          <w:sz w:val="22"/>
          <w:szCs w:val="22"/>
        </w:rPr>
        <w:t xml:space="preserve">The Crusades shattered this. Beginning in 1095 CE, when Pope Urban II called the first Crusade and Latin Christian armies began their advance toward Jerusalem, the texture of Muslim theological discourse changed. The jurist and warrior Saladin, who recaptured Jerusalem in 1187, was celebrated as a defender of Islam — and in the literature of that era, the theological generosity toward Christians largely evaporates. What replaces it is the language of jihad, of religious duty, of a world divided between Dar al-Islam (the Abode of Peace) and Dar al-Harb (the Abode of War). The inclusive verses did not disappear from the Quran, but they were less read, less preached, less politically useful.</w:t>
      </w:r>
    </w:p>
    <w:p>
      <w:pPr>
        <w:spacing w:before="80" w:after="120" w:line="320"/>
        <w:jc w:val="both"/>
      </w:pPr>
      <w:r>
        <w:rPr>
          <w:rFonts w:ascii="Calibri" w:cs="Calibri" w:eastAsia="Calibri" w:hAnsi="Calibri"/>
          <w:color w:val="1A1A2E"/>
          <w:sz w:val="22"/>
          <w:szCs w:val="22"/>
        </w:rPr>
        <w:t xml:space="preserve">This is not hypocrisy. It is a deeply human psychological response that transcends any single religion. When communities are under existential threat, the theological imagination narrows. The other becomes enemy, and enemies do not easily receive generous theological treatment.</w:t>
      </w:r>
    </w:p>
    <w:p>
      <w:pPr>
        <w:spacing w:before="80" w:after="80"/>
      </w:pPr>
      <w:r>
        <w:t xml:space="preserve"/>
      </w:r>
    </w:p>
    <w:p>
      <w:pPr>
        <w:pStyle w:val="Heading2"/>
        <w:spacing w:before="300" w:after="120"/>
      </w:pPr>
      <w:r>
        <w:rPr>
          <w:rFonts w:ascii="Georgia" w:cs="Georgia" w:eastAsia="Georgia" w:hAnsi="Georgia"/>
          <w:b/>
          <w:bCs/>
          <w:color w:val="8B6914"/>
          <w:sz w:val="26"/>
          <w:szCs w:val="26"/>
        </w:rPr>
        <w:t xml:space="preserve">The Great Classical Debate: Al-Ghazali and Ibn Taymiyyah</w:t>
      </w:r>
    </w:p>
    <w:p>
      <w:pPr>
        <w:spacing w:before="80" w:after="120" w:line="320"/>
        <w:jc w:val="both"/>
      </w:pPr>
      <w:r>
        <w:rPr>
          <w:rFonts w:ascii="Calibri" w:cs="Calibri" w:eastAsia="Calibri" w:hAnsi="Calibri"/>
          <w:color w:val="1A1A2E"/>
          <w:sz w:val="22"/>
          <w:szCs w:val="22"/>
        </w:rPr>
        <w:t xml:space="preserve">Two towering intellectual figures represent the poles of this Islamic debate across history. Abu Hamid al-Ghazali (1058–1111 CE), writing in a period of relative stability in the eastern Islamic world, argued in his Faysal al-Tafriqa (The Decisive Criterion for Distinguishing Islam from Clandestine Unbelief) that many non-Muslims who had never received a true and undistorted presentation of Islam might be excused — and potentially saved — through divine mercy. For al-Ghazali, culpability required knowledge, and knowledge required fair encounter. Those who had encountered only a distorted version of Islam's message could not be judged by the same standard as those who had rejected it in full awareness.</w:t>
      </w:r>
    </w:p>
    <w:p>
      <w:pPr>
        <w:spacing w:before="80" w:after="120" w:line="320"/>
        <w:jc w:val="both"/>
      </w:pPr>
      <w:r>
        <w:rPr>
          <w:rFonts w:ascii="Calibri" w:cs="Calibri" w:eastAsia="Calibri" w:hAnsi="Calibri"/>
          <w:color w:val="1A1A2E"/>
          <w:sz w:val="22"/>
          <w:szCs w:val="22"/>
        </w:rPr>
        <w:t xml:space="preserve">Ibn Taymiyyah (1263–1328 CE), writing in the aftermath of the Mongol invasions that had devastated Baghdad in 1258 and shattered the Abbasid Caliphate, took a sterner view. His fatwa that Mongol rulers who had nominally converted to Islam but retained pre-Islamic laws were apostates — and that jihad against them was obligatory — reflects a theology shaped by crisis and collapse. For Ibn Taymiyyah, the boundaries of the community must be enforced or the community ceases to exist.</w:t>
      </w:r>
    </w:p>
    <w:p>
      <w:pPr>
        <w:spacing w:before="80" w:after="80"/>
      </w:pPr>
      <w:r>
        <w:t xml:space="preserve"/>
      </w:r>
    </w:p>
    <w:p>
      <w:pPr>
        <w:pStyle w:val="Heading1"/>
        <w:pBdr>
          <w:bottom w:val="single" w:color="1B6B8A" w:sz="4" w:space="6"/>
        </w:pBdr>
        <w:spacing w:before="400" w:after="200"/>
      </w:pPr>
      <w:r>
        <w:rPr>
          <w:rFonts w:ascii="Georgia" w:cs="Georgia" w:eastAsia="Georgia" w:hAnsi="Georgia"/>
          <w:b/>
          <w:bCs/>
          <w:color w:val="1B6B8A"/>
          <w:sz w:val="32"/>
          <w:szCs w:val="32"/>
        </w:rPr>
        <w:t xml:space="preserve">Part II: Christianity — Salvation Between Grace and Exclusion</w:t>
      </w:r>
    </w:p>
    <w:p>
      <w:pPr>
        <w:spacing w:before="80" w:after="80"/>
      </w:pPr>
      <w:r>
        <w:t xml:space="preserve"/>
      </w:r>
    </w:p>
    <w:p>
      <w:pPr>
        <w:pStyle w:val="Heading2"/>
        <w:spacing w:before="300" w:after="120"/>
      </w:pPr>
      <w:r>
        <w:rPr>
          <w:rFonts w:ascii="Georgia" w:cs="Georgia" w:eastAsia="Georgia" w:hAnsi="Georgia"/>
          <w:b/>
          <w:bCs/>
          <w:color w:val="8B6914"/>
          <w:sz w:val="26"/>
          <w:szCs w:val="26"/>
        </w:rPr>
        <w:t xml:space="preserve">The New Testament Polyphony</w:t>
      </w:r>
    </w:p>
    <w:p>
      <w:pPr>
        <w:spacing w:before="80" w:after="120" w:line="320"/>
        <w:jc w:val="both"/>
      </w:pPr>
      <w:r>
        <w:rPr>
          <w:rFonts w:ascii="Calibri" w:cs="Calibri" w:eastAsia="Calibri" w:hAnsi="Calibri"/>
          <w:color w:val="1A1A2E"/>
          <w:sz w:val="22"/>
          <w:szCs w:val="22"/>
        </w:rPr>
        <w:t xml:space="preserve">Christianity presents an equally complex internal debate about the scope of salvation, with scriptural texts that pull powerfully in opposite directions.</w:t>
      </w:r>
    </w:p>
    <w:p>
      <w:pPr>
        <w:spacing w:before="80" w:after="120" w:line="320"/>
        <w:jc w:val="both"/>
      </w:pPr>
      <w:r>
        <w:rPr>
          <w:rFonts w:ascii="Calibri" w:cs="Calibri" w:eastAsia="Calibri" w:hAnsi="Calibri"/>
          <w:color w:val="1A1A2E"/>
          <w:sz w:val="22"/>
          <w:szCs w:val="22"/>
        </w:rPr>
        <w:t xml:space="preserve">The foundational text of Christian universalism is John 3:16: 'For God so loved the world that He gave His only begotten Son, that whoever believes in Him should not perish but have eternal life.' The word 'world' (Greek: kosmos) here is sweeping — not Israel, not the baptized, not the doctrinally correct, but the world. The Johannine literature elsewhere affirms that Christ is 'the light of the world' (John 8:12) and the 'Lamb of God who takes away the sin of the world' (John 1:29).</w:t>
      </w:r>
    </w:p>
    <w:p>
      <w:pPr>
        <w:spacing w:before="80" w:after="120" w:line="320"/>
        <w:jc w:val="both"/>
      </w:pPr>
      <w:r>
        <w:rPr>
          <w:rFonts w:ascii="Calibri" w:cs="Calibri" w:eastAsia="Calibri" w:hAnsi="Calibri"/>
          <w:color w:val="1A1A2E"/>
          <w:sz w:val="22"/>
          <w:szCs w:val="22"/>
        </w:rPr>
        <w:t xml:space="preserve">Paul's first letter to Timothy (2:4) declares that God 'desires all people to be saved and to come to the knowledge of the truth' — a statement of divine will toward universal salvation that has anchored centuries of universalist Christian theology. Romans 5:18 draws a direct parallel between Adam's sin and Christ's redemption: 'As one trespass led to condemnation for all men, so one act of righteousness leads to justification and life for all men.'</w:t>
      </w:r>
    </w:p>
    <w:p>
      <w:pPr>
        <w:shd w:fill="E8F4F8" w:val="clear"/>
        <w:spacing w:before="180" w:after="180" w:line="300"/>
        <w:ind w:left="720" w:right="720"/>
      </w:pPr>
      <w:r>
        <w:rPr>
          <w:rFonts w:ascii="Georgia" w:cs="Georgia" w:eastAsia="Georgia" w:hAnsi="Georgia"/>
          <w:i/>
          <w:iCs/>
          <w:color w:val="2C3E50"/>
          <w:sz w:val="22"/>
          <w:szCs w:val="22"/>
        </w:rPr>
        <w:t xml:space="preserve">"For I am convinced that neither death nor life, neither angels nor demons, neither the present nor the future, nor any powers, neither height nor depth, nor anything else in all creation, will be able to separate us from the love of God that is in Christ Jesus our Lord."</w:t>
      </w:r>
      <w:r>
        <w:rPr>
          <w:rFonts w:ascii="Calibri" w:cs="Calibri" w:eastAsia="Calibri" w:hAnsi="Calibri"/>
          <w:b/>
          <w:bCs/>
          <w:color w:val="1B6B8A"/>
          <w:sz w:val="18"/>
          <w:szCs w:val="18"/>
        </w:rPr>
        <w:br/>
        <w:t xml:space="preserve">
— Romans 8:38-39</w:t>
      </w:r>
    </w:p>
    <w:p>
      <w:pPr>
        <w:spacing w:before="80" w:after="80"/>
      </w:pPr>
      <w:r>
        <w:t xml:space="preserve"/>
      </w:r>
    </w:p>
    <w:p>
      <w:pPr>
        <w:pStyle w:val="Heading2"/>
        <w:spacing w:before="300" w:after="120"/>
      </w:pPr>
      <w:r>
        <w:rPr>
          <w:rFonts w:ascii="Georgia" w:cs="Georgia" w:eastAsia="Georgia" w:hAnsi="Georgia"/>
          <w:b/>
          <w:bCs/>
          <w:color w:val="8B6914"/>
          <w:sz w:val="26"/>
          <w:szCs w:val="26"/>
        </w:rPr>
        <w:t xml:space="preserve">The Exclusivist Strand</w:t>
      </w:r>
    </w:p>
    <w:p>
      <w:pPr>
        <w:spacing w:before="80" w:after="120" w:line="320"/>
        <w:jc w:val="both"/>
      </w:pPr>
      <w:r>
        <w:rPr>
          <w:rFonts w:ascii="Calibri" w:cs="Calibri" w:eastAsia="Calibri" w:hAnsi="Calibri"/>
          <w:color w:val="1A1A2E"/>
          <w:sz w:val="22"/>
          <w:szCs w:val="22"/>
        </w:rPr>
        <w:t xml:space="preserve">Against this stands Acts 4:12: 'Salvation is found in no one else, for there is no other name under heaven given to mankind by which we must be saved.' And John 14:6, in which Jesus declares: 'I am the way and the truth and the life. No one comes to the Father except through me.' These verses have anchored Christian exclusivism — the conviction that explicit faith in Jesus Christ is the necessary and sufficient condition of salvation.</w:t>
      </w:r>
    </w:p>
    <w:p>
      <w:pPr>
        <w:spacing w:before="80" w:after="120" w:line="320"/>
        <w:jc w:val="both"/>
      </w:pPr>
      <w:r>
        <w:rPr>
          <w:rFonts w:ascii="Calibri" w:cs="Calibri" w:eastAsia="Calibri" w:hAnsi="Calibri"/>
          <w:color w:val="1A1A2E"/>
          <w:sz w:val="22"/>
          <w:szCs w:val="22"/>
        </w:rPr>
        <w:t xml:space="preserve">The theology of hell, developed extensively by figures like Tertullian and Augustine in the early centuries of Christianity, added institutional force to this exclusivism. Augustine's doctrine of massa damnata (the damned mass of humanity, saved only by divine election) and his defense of predestination effectively made salvation a narrow gate for the few rather than a wide door for the many.</w:t>
      </w:r>
    </w:p>
    <w:p>
      <w:pPr>
        <w:spacing w:before="80" w:after="80"/>
      </w:pPr>
      <w:r>
        <w:t xml:space="preserve"/>
      </w:r>
    </w:p>
    <w:p>
      <w:pPr>
        <w:pStyle w:val="Heading2"/>
        <w:spacing w:before="300" w:after="120"/>
      </w:pPr>
      <w:r>
        <w:rPr>
          <w:rFonts w:ascii="Georgia" w:cs="Georgia" w:eastAsia="Georgia" w:hAnsi="Georgia"/>
          <w:b/>
          <w:bCs/>
          <w:color w:val="8B6914"/>
          <w:sz w:val="26"/>
          <w:szCs w:val="26"/>
        </w:rPr>
        <w:t xml:space="preserve">Historical Context: Persecution, Empire, and the Crusades</w:t>
      </w:r>
    </w:p>
    <w:p>
      <w:pPr>
        <w:spacing w:before="80" w:after="120" w:line="320"/>
        <w:jc w:val="both"/>
      </w:pPr>
      <w:r>
        <w:rPr>
          <w:rFonts w:ascii="Calibri" w:cs="Calibri" w:eastAsia="Calibri" w:hAnsi="Calibri"/>
          <w:color w:val="1A1A2E"/>
          <w:sz w:val="22"/>
          <w:szCs w:val="22"/>
        </w:rPr>
        <w:t xml:space="preserve">The early Christian communities, gathered in secret in Roman catacombs, persecuted under Nero and Diocletian, had little theological incentive toward inclusivism regarding Rome. The Book of Revelation, written likely under Domitian's persecution (circa 95 CE), is a text saturated with the language of divine judgment against empire — the whore of Babylon, the mark of the beast, the wrath of the Lamb poured out upon the wicked. It is theology forged in the crucible of existential threat.</w:t>
      </w:r>
    </w:p>
    <w:p>
      <w:pPr>
        <w:spacing w:before="80" w:after="120" w:line="320"/>
        <w:jc w:val="both"/>
      </w:pPr>
      <w:r>
        <w:rPr>
          <w:rFonts w:ascii="Calibri" w:cs="Calibri" w:eastAsia="Calibri" w:hAnsi="Calibri"/>
          <w:color w:val="1A1A2E"/>
          <w:sz w:val="22"/>
          <w:szCs w:val="22"/>
        </w:rPr>
        <w:t xml:space="preserve">After Constantine's conversion in 312 CE and Christianity's establishment as the official religion of the Roman Empire, the theological landscape transformed. Now the question of salvation intersected with the question of political power. The First Council of Nicaea (325 CE) formalized doctrine — and those outside orthodox definition became heretics. Augustine's anti-Donatist writings and his defense of using state coercion against schismatics reflect the logic of a faith that now had an empire to defend.</w:t>
      </w:r>
    </w:p>
    <w:p>
      <w:pPr>
        <w:spacing w:before="80" w:after="120" w:line="320"/>
        <w:jc w:val="both"/>
      </w:pPr>
      <w:r>
        <w:rPr>
          <w:rFonts w:ascii="Calibri" w:cs="Calibri" w:eastAsia="Calibri" w:hAnsi="Calibri"/>
          <w:color w:val="1A1A2E"/>
          <w:sz w:val="22"/>
          <w:szCs w:val="22"/>
        </w:rPr>
        <w:t xml:space="preserve">The Crusades, launched ostensibly to recover Jerusalem from Muslim rule, were accompanied by a theology of violence — the idea that death in holy war constituted martyrdom and could secure salvation. The massacre of Jewish communities along the Rhine Valley in 1096 by Crusader mobs — acts of anti-Semitic violence carried out in the very beginning of the First Crusade, before a single Muslim was encountered — illustrates how the logic of exclusion metastasizes in times of declared holy war.</w:t>
      </w:r>
    </w:p>
    <w:p>
      <w:pPr>
        <w:spacing w:before="80" w:after="80"/>
      </w:pPr>
      <w:r>
        <w:t xml:space="preserve"/>
      </w:r>
    </w:p>
    <w:p>
      <w:pPr>
        <w:pStyle w:val="Heading2"/>
        <w:spacing w:before="300" w:after="120"/>
      </w:pPr>
      <w:r>
        <w:rPr>
          <w:rFonts w:ascii="Georgia" w:cs="Georgia" w:eastAsia="Georgia" w:hAnsi="Georgia"/>
          <w:b/>
          <w:bCs/>
          <w:color w:val="8B6914"/>
          <w:sz w:val="26"/>
          <w:szCs w:val="26"/>
        </w:rPr>
        <w:t xml:space="preserve">The Modern Debate: From Extra Ecclesiam to Inclusive Theology</w:t>
      </w:r>
    </w:p>
    <w:p>
      <w:pPr>
        <w:spacing w:before="80" w:after="120" w:line="320"/>
        <w:jc w:val="both"/>
      </w:pPr>
      <w:r>
        <w:rPr>
          <w:rFonts w:ascii="Calibri" w:cs="Calibri" w:eastAsia="Calibri" w:hAnsi="Calibri"/>
          <w:color w:val="1A1A2E"/>
          <w:sz w:val="22"/>
          <w:szCs w:val="22"/>
        </w:rPr>
        <w:t xml:space="preserve">The Council of Florence (1442) declared Extra Ecclesiam nulla salus — 'outside the Church there is no salvation' — with full conciliar authority, condemning pagans, Jews, heretics, and schismatics to eternal fire. This was the theological high-water mark of Christian exclusivism.</w:t>
      </w:r>
    </w:p>
    <w:p>
      <w:pPr>
        <w:spacing w:before="80" w:after="120" w:line="320"/>
        <w:jc w:val="both"/>
      </w:pPr>
      <w:r>
        <w:rPr>
          <w:rFonts w:ascii="Calibri" w:cs="Calibri" w:eastAsia="Calibri" w:hAnsi="Calibri"/>
          <w:color w:val="1A1A2E"/>
          <w:sz w:val="22"/>
          <w:szCs w:val="22"/>
        </w:rPr>
        <w:t xml:space="preserve">The Second Vatican Council (1962–1965) represented a tectonic shift. Lumen Gentium acknowledged that those who through no fault of their own do not know the Gospel of Christ or His Church, but who nevertheless seek God with a sincere heart — guided by the workings of grace — may achieve eternal salvation. Karl Rahner's concept of the 'anonymous Christian' — the idea that sincere seekers of truth are implicitly oriented toward Christ even without knowing it — attempted to square the universalist impulse with traditional christological claims.</w:t>
      </w:r>
    </w:p>
    <w:p>
      <w:pPr>
        <w:shd w:fill="FDF6E3" w:val="clear"/>
        <w:spacing w:before="180" w:after="180" w:line="300"/>
        <w:ind w:left="720" w:right="720"/>
      </w:pPr>
      <w:r>
        <w:rPr>
          <w:rFonts w:ascii="Georgia" w:cs="Georgia" w:eastAsia="Georgia" w:hAnsi="Georgia"/>
          <w:i/>
          <w:iCs/>
          <w:color w:val="3E2C00"/>
          <w:sz w:val="22"/>
          <w:szCs w:val="22"/>
        </w:rPr>
        <w:t xml:space="preserve">"The Catholic Church rejects nothing that is true and holy in these religions. She regards with sincere reverence those ways of conduct and of life, those precepts and teachings which, though differing in many aspects from the ones she holds and sets forth, nonetheless often reflect a ray of that Truth which enlightens all men."</w:t>
      </w:r>
      <w:r>
        <w:rPr>
          <w:rFonts w:ascii="Calibri" w:cs="Calibri" w:eastAsia="Calibri" w:hAnsi="Calibri"/>
          <w:b/>
          <w:bCs/>
          <w:color w:val="8B6914"/>
          <w:sz w:val="18"/>
          <w:szCs w:val="18"/>
        </w:rPr>
        <w:br/>
        <w:t xml:space="preserve">
— Nostra Aetate, Vatican II (1965)</w:t>
      </w:r>
    </w:p>
    <w:p>
      <w:pPr>
        <w:spacing w:before="80" w:after="80"/>
      </w:pPr>
      <w:r>
        <w:t xml:space="preserve"/>
      </w:r>
    </w:p>
    <w:p>
      <w:pPr>
        <w:pStyle w:val="Heading1"/>
        <w:pBdr>
          <w:bottom w:val="single" w:color="1B6B8A" w:sz="4" w:space="6"/>
        </w:pBdr>
        <w:spacing w:before="400" w:after="200"/>
      </w:pPr>
      <w:r>
        <w:rPr>
          <w:rFonts w:ascii="Georgia" w:cs="Georgia" w:eastAsia="Georgia" w:hAnsi="Georgia"/>
          <w:b/>
          <w:bCs/>
          <w:color w:val="1B6B8A"/>
          <w:sz w:val="32"/>
          <w:szCs w:val="32"/>
        </w:rPr>
        <w:t xml:space="preserve">Part III: Judaism — The Righteous of All Nations</w:t>
      </w:r>
    </w:p>
    <w:p>
      <w:pPr>
        <w:spacing w:before="80" w:after="80"/>
      </w:pPr>
      <w:r>
        <w:t xml:space="preserve"/>
      </w:r>
    </w:p>
    <w:p>
      <w:pPr>
        <w:pStyle w:val="Heading2"/>
        <w:spacing w:before="300" w:after="120"/>
      </w:pPr>
      <w:r>
        <w:rPr>
          <w:rFonts w:ascii="Georgia" w:cs="Georgia" w:eastAsia="Georgia" w:hAnsi="Georgia"/>
          <w:b/>
          <w:bCs/>
          <w:color w:val="8B6914"/>
          <w:sz w:val="26"/>
          <w:szCs w:val="26"/>
        </w:rPr>
        <w:t xml:space="preserve">A Different Architecture of Salvation</w:t>
      </w:r>
    </w:p>
    <w:p>
      <w:pPr>
        <w:spacing w:before="80" w:after="120" w:line="320"/>
        <w:jc w:val="both"/>
      </w:pPr>
      <w:r>
        <w:rPr>
          <w:rFonts w:ascii="Calibri" w:cs="Calibri" w:eastAsia="Calibri" w:hAnsi="Calibri"/>
          <w:color w:val="1A1A2E"/>
          <w:sz w:val="22"/>
          <w:szCs w:val="22"/>
        </w:rPr>
        <w:t xml:space="preserve">Judaism approaches the question of salvation from a fundamentally different theological starting point than either Islam or Christianity. For rabbinic Judaism, the primary locus of divine relationship is not the afterlife but the covenant — the ongoing, historical relationship between God and the people of Israel, mediated through Torah. The question 'who is saved?' is therefore less central to Jewish theology than it is to Islamic or Christian thought, where salvation serves as the culminating moment of God's plan for humanity.</w:t>
      </w:r>
    </w:p>
    <w:p>
      <w:pPr>
        <w:spacing w:before="80" w:after="120" w:line="320"/>
        <w:jc w:val="both"/>
      </w:pPr>
      <w:r>
        <w:rPr>
          <w:rFonts w:ascii="Calibri" w:cs="Calibri" w:eastAsia="Calibri" w:hAnsi="Calibri"/>
          <w:color w:val="1A1A2E"/>
          <w:sz w:val="22"/>
          <w:szCs w:val="22"/>
        </w:rPr>
        <w:t xml:space="preserve">This does not mean that Judaism lacks a theology of salvation. But it means the question is framed differently: not 'who goes to heaven?' but 'who is righteous?'</w:t>
      </w:r>
    </w:p>
    <w:p>
      <w:pPr>
        <w:spacing w:before="80" w:after="80"/>
      </w:pPr>
      <w:r>
        <w:t xml:space="preserve"/>
      </w:r>
    </w:p>
    <w:p>
      <w:pPr>
        <w:pStyle w:val="Heading2"/>
        <w:spacing w:before="300" w:after="120"/>
      </w:pPr>
      <w:r>
        <w:rPr>
          <w:rFonts w:ascii="Georgia" w:cs="Georgia" w:eastAsia="Georgia" w:hAnsi="Georgia"/>
          <w:b/>
          <w:bCs/>
          <w:color w:val="8B6914"/>
          <w:sz w:val="26"/>
          <w:szCs w:val="26"/>
        </w:rPr>
        <w:t xml:space="preserve">The Seven Laws of Noah — Universal Ethics for All Humanity</w:t>
      </w:r>
    </w:p>
    <w:p>
      <w:pPr>
        <w:spacing w:before="80" w:after="120" w:line="320"/>
        <w:jc w:val="both"/>
      </w:pPr>
      <w:r>
        <w:rPr>
          <w:rFonts w:ascii="Calibri" w:cs="Calibri" w:eastAsia="Calibri" w:hAnsi="Calibri"/>
          <w:color w:val="1A1A2E"/>
          <w:sz w:val="22"/>
          <w:szCs w:val="22"/>
        </w:rPr>
        <w:t xml:space="preserve">The most important Jewish theological concept for understanding salvation across religions is the Noahide Laws (Sheva Mitzvot Bnei Noach) — the seven commandments that, according to rabbinic tradition, were given to all of humanity through Noah after the Flood, prior to the specific covenant with Abraham and the giving of Torah at Sinai.</w:t>
      </w:r>
    </w:p>
    <w:p>
      <w:pPr>
        <w:spacing w:before="80" w:after="120" w:line="320"/>
        <w:jc w:val="both"/>
      </w:pPr>
      <w:r>
        <w:rPr>
          <w:rFonts w:ascii="Calibri" w:cs="Calibri" w:eastAsia="Calibri" w:hAnsi="Calibri"/>
          <w:color w:val="1A1A2E"/>
          <w:sz w:val="22"/>
          <w:szCs w:val="22"/>
        </w:rPr>
        <w:t xml:space="preserve">These seven commandments are: the establishment of courts of justice; the prohibition of blasphemy; the prohibition of idolatry; the prohibition of sexual immorality; the prohibition of murder; the prohibition of theft; and the prohibition of eating flesh torn from a living animal. Any human being — of any nation, culture, or religion — who observes these laws is considered a Ger Toshav (a righteous resident alien) and is promised a share in the World to Come (Olam Ha-Ba).</w:t>
      </w:r>
    </w:p>
    <w:p>
      <w:pPr>
        <w:shd w:fill="E8F4F8" w:val="clear"/>
        <w:spacing w:before="180" w:after="180" w:line="300"/>
        <w:ind w:left="720" w:right="720"/>
      </w:pPr>
      <w:r>
        <w:rPr>
          <w:rFonts w:ascii="Georgia" w:cs="Georgia" w:eastAsia="Georgia" w:hAnsi="Georgia"/>
          <w:i/>
          <w:iCs/>
          <w:color w:val="2C3E50"/>
          <w:sz w:val="22"/>
          <w:szCs w:val="22"/>
        </w:rPr>
        <w:t xml:space="preserve">"The righteous of all nations have a share in the World to Come."</w:t>
      </w:r>
      <w:r>
        <w:rPr>
          <w:rFonts w:ascii="Calibri" w:cs="Calibri" w:eastAsia="Calibri" w:hAnsi="Calibri"/>
          <w:b/>
          <w:bCs/>
          <w:color w:val="1B6B8A"/>
          <w:sz w:val="18"/>
          <w:szCs w:val="18"/>
        </w:rPr>
        <w:br/>
        <w:t xml:space="preserve">
— Tosefta Sanhedrin 13:2</w:t>
      </w:r>
    </w:p>
    <w:p>
      <w:pPr>
        <w:spacing w:before="80" w:after="120" w:line="320"/>
        <w:jc w:val="both"/>
      </w:pPr>
      <w:r>
        <w:rPr>
          <w:rFonts w:ascii="Calibri" w:cs="Calibri" w:eastAsia="Calibri" w:hAnsi="Calibri"/>
          <w:color w:val="1A1A2E"/>
          <w:sz w:val="22"/>
          <w:szCs w:val="22"/>
        </w:rPr>
        <w:t xml:space="preserve">This teaching, attributed to Rabbi Joshua in a debate with Rabbi Eliezer (who held the stricter view that only converts to Judaism could be saved), represents one of the most pluralistic theological statements in any Abrahamic tradition. The righteous of all nations — not Jews alone, not Torah-observers alone, but any person who lives ethically and honors the basic moral framework that God established for humanity — receives a share in the ultimate divine dispensation.</w:t>
      </w:r>
    </w:p>
    <w:p>
      <w:pPr>
        <w:spacing w:before="80" w:after="120" w:line="320"/>
        <w:jc w:val="both"/>
      </w:pPr>
      <w:r>
        <w:rPr>
          <w:rFonts w:ascii="Calibri" w:cs="Calibri" w:eastAsia="Calibri" w:hAnsi="Calibri"/>
          <w:color w:val="1A1A2E"/>
          <w:sz w:val="22"/>
          <w:szCs w:val="22"/>
        </w:rPr>
        <w:t xml:space="preserve">Maimonides (Rabbi Moses ben Maimon, 1138–1204 CE), the greatest medieval Jewish philosopher and jurist, codifies this teaching in his Mishneh Torah. He adds a crucial nuance: the Noahide who observes these laws because they are rationally compelling differs from one who observes them because they are divine commandments. Full status as a Ger Toshav — with its accompanying promise of the World to Come — requires recognition that these laws are divine in origin.</w:t>
      </w:r>
    </w:p>
    <w:p>
      <w:pPr>
        <w:spacing w:before="80" w:after="80"/>
      </w:pPr>
      <w:r>
        <w:t xml:space="preserve"/>
      </w:r>
    </w:p>
    <w:p>
      <w:pPr>
        <w:pStyle w:val="Heading2"/>
        <w:spacing w:before="300" w:after="120"/>
      </w:pPr>
      <w:r>
        <w:rPr>
          <w:rFonts w:ascii="Georgia" w:cs="Georgia" w:eastAsia="Georgia" w:hAnsi="Georgia"/>
          <w:b/>
          <w:bCs/>
          <w:color w:val="8B6914"/>
          <w:sz w:val="26"/>
          <w:szCs w:val="26"/>
        </w:rPr>
        <w:t xml:space="preserve">The Historical Pendulum: Exile, Persecution, and the Narrowing Circle</w:t>
      </w:r>
    </w:p>
    <w:p>
      <w:pPr>
        <w:spacing w:before="80" w:after="120" w:line="320"/>
        <w:jc w:val="both"/>
      </w:pPr>
      <w:r>
        <w:rPr>
          <w:rFonts w:ascii="Calibri" w:cs="Calibri" w:eastAsia="Calibri" w:hAnsi="Calibri"/>
          <w:color w:val="1A1A2E"/>
          <w:sz w:val="22"/>
          <w:szCs w:val="22"/>
        </w:rPr>
        <w:t xml:space="preserve">Jewish history is substantially a history of persecution, and it is impossible to understand Jewish theology of salvation without that context. The destruction of the First Temple in 586 BCE by Babylon, the destruction of the Second Temple in 70 CE by Rome, the expulsion from England in 1290 CE, the expulsion from Spain in 1492 CE, the Cossack massacres of 1648–1649 CE, the Russian pogroms of the 19th century, the Holocaust — each catastrophe has left its mark on Jewish theology.</w:t>
      </w:r>
    </w:p>
    <w:p>
      <w:pPr>
        <w:spacing w:before="80" w:after="120" w:line="320"/>
        <w:jc w:val="both"/>
      </w:pPr>
      <w:r>
        <w:rPr>
          <w:rFonts w:ascii="Calibri" w:cs="Calibri" w:eastAsia="Calibri" w:hAnsi="Calibri"/>
          <w:color w:val="1A1A2E"/>
          <w:sz w:val="22"/>
          <w:szCs w:val="22"/>
        </w:rPr>
        <w:t xml:space="preserve">In times of extreme persecution, the theological imagination of Jewish communities naturally contracted. The generosity of Rabbi Joshua's teaching — that righteous Gentiles have a share in the World to Come — is less present in the Ashkenazi literature written in the shadow of Crusader massacres than it is in the philosophy of Maimonides writing in the relative safety of Islamic Cairo. The Aleinu prayer, recited three times daily in traditional Jewish worship, includes a passage that was historically suppressed by Christian censors because it appeared to condemn other religions — a reminder that even Jewish liturgy has been shaped by the presence or absence of external threat.</w:t>
      </w:r>
    </w:p>
    <w:p>
      <w:pPr>
        <w:spacing w:before="80" w:after="120" w:line="320"/>
        <w:jc w:val="both"/>
      </w:pPr>
      <w:r>
        <w:rPr>
          <w:rFonts w:ascii="Calibri" w:cs="Calibri" w:eastAsia="Calibri" w:hAnsi="Calibri"/>
          <w:color w:val="1A1A2E"/>
          <w:sz w:val="22"/>
          <w:szCs w:val="22"/>
        </w:rPr>
        <w:t xml:space="preserve">The Kabbalistic tradition added another dimension. The Lurianic Kabbalah of Isaac Luria (1534–1572 CE), developed in Safed in the Ottoman Empire — a city of Jewish refugees from the Spanish Expulsion — spoke of the divine sparks (nitzotzot) scattered throughout creation, embedded in every human soul and in every created thing. The work of tikkun olam (repair of the world) involves raising these sparks back to their divine source. In this framework, no soul is entirely beyond redemption, and the lines between the sacred and the profane, between Israel and the nations, are more porous than in strict legal discourse.</w:t>
      </w:r>
    </w:p>
    <w:p>
      <w:pPr>
        <w:spacing w:before="80" w:after="80"/>
      </w:pPr>
      <w:r>
        <w:t xml:space="preserve"/>
      </w:r>
    </w:p>
    <w:p>
      <w:pPr>
        <w:pStyle w:val="Heading1"/>
        <w:pBdr>
          <w:bottom w:val="single" w:color="1B6B8A" w:sz="4" w:space="6"/>
        </w:pBdr>
        <w:spacing w:before="400" w:after="200"/>
      </w:pPr>
      <w:r>
        <w:rPr>
          <w:rFonts w:ascii="Georgia" w:cs="Georgia" w:eastAsia="Georgia" w:hAnsi="Georgia"/>
          <w:b/>
          <w:bCs/>
          <w:color w:val="1B6B8A"/>
          <w:sz w:val="32"/>
          <w:szCs w:val="32"/>
        </w:rPr>
        <w:t xml:space="preserve">Part IV: The Psychology of Salvation — War, Peace, and the Theological Imagination</w:t>
      </w:r>
    </w:p>
    <w:p>
      <w:pPr>
        <w:spacing w:before="80" w:after="80"/>
      </w:pPr>
      <w:r>
        <w:t xml:space="preserve"/>
      </w:r>
    </w:p>
    <w:p>
      <w:pPr>
        <w:spacing w:before="80" w:after="120" w:line="320"/>
        <w:jc w:val="both"/>
      </w:pPr>
      <w:r>
        <w:rPr>
          <w:rFonts w:ascii="Calibri" w:cs="Calibri" w:eastAsia="Calibri" w:hAnsi="Calibri"/>
          <w:color w:val="1A1A2E"/>
          <w:sz w:val="22"/>
          <w:szCs w:val="22"/>
        </w:rPr>
        <w:t xml:space="preserve">The pattern we have traced across three traditions reveals a consistent psychological dynamic that transcends any single religion. The theological imagination — the capacity to envision the divine as generous, inclusive, and universally concerned with human flourishing — expands in conditions of security and contracts in conditions of threat.</w:t>
      </w:r>
    </w:p>
    <w:p>
      <w:pPr>
        <w:spacing w:before="80" w:after="120" w:line="320"/>
        <w:jc w:val="both"/>
      </w:pPr>
      <w:r>
        <w:rPr>
          <w:rFonts w:ascii="Calibri" w:cs="Calibri" w:eastAsia="Calibri" w:hAnsi="Calibri"/>
          <w:color w:val="1A1A2E"/>
          <w:sz w:val="22"/>
          <w:szCs w:val="22"/>
        </w:rPr>
        <w:t xml:space="preserve">This is not mere opportunism or hypocrisy. It reflects something deep about how human cognition operates under existential pressure. Social psychologists speak of terror management theory — the notion that awareness of mortality drives human beings toward their cultural worldviews, which serve as buffers against the anxiety of death. When those worldviews are threatened externally, the response is not nuance but consolidation. The boundaries of the in-group harden; the out-group becomes more threatening; theological generosity toward the enemy becomes psychologically and politically unsustainable.</w:t>
      </w:r>
    </w:p>
    <w:p>
      <w:pPr>
        <w:spacing w:before="80" w:after="120" w:line="320"/>
        <w:jc w:val="both"/>
      </w:pPr>
      <w:r>
        <w:rPr>
          <w:rFonts w:ascii="Calibri" w:cs="Calibri" w:eastAsia="Calibri" w:hAnsi="Calibri"/>
          <w:color w:val="1A1A2E"/>
          <w:sz w:val="22"/>
          <w:szCs w:val="22"/>
        </w:rPr>
        <w:t xml:space="preserve">In the cognitive framework developed by Henri Tajfel and John Turner's Social Identity Theory, group identity is always constructed in relation to an out-group. In peaceful times, the out-group can be acknowledged as sharing in a common humanity — perhaps even in a common divine concern. In times of war, the out-group becomes defined primarily by its opposition, its hostility, its otherness. Theological exclusivism is, in part, an expression of this dynamic in the language of the sacred.</w:t>
      </w:r>
    </w:p>
    <w:p>
      <w:pPr>
        <w:spacing w:before="80" w:after="120" w:line="320"/>
        <w:jc w:val="both"/>
      </w:pPr>
      <w:r>
        <w:rPr>
          <w:rFonts w:ascii="Calibri" w:cs="Calibri" w:eastAsia="Calibri" w:hAnsi="Calibri"/>
          <w:color w:val="1A1A2E"/>
          <w:sz w:val="22"/>
          <w:szCs w:val="22"/>
        </w:rPr>
        <w:t xml:space="preserve">The Crusades are the most dramatic example. Both Muslim jurists and Christian theologians — who had, in other contexts, acknowledged the moral seriousness of the other tradition — produced, during the Crusading period, a literature of remarkable hostility. Christians wrote of Muslims as followers of a false prophet, agents of the Antichrist, worshippers of an idol called 'Mahound.' Muslims wrote of Crusaders as barbaric polytheists — ignoring the fact that Crusaders were monotheists — and emphasized Quranic verses about the enemies of God. Both were doing something recognizably human: they were reading their scriptures through the lens of their fear.</w:t>
      </w:r>
    </w:p>
    <w:p>
      <w:pPr>
        <w:spacing w:before="80" w:after="80"/>
      </w:pPr>
      <w:r>
        <w:t xml:space="preserve"/>
      </w:r>
    </w:p>
    <w:p>
      <w:pPr>
        <w:pStyle w:val="Heading2"/>
        <w:spacing w:before="300" w:after="120"/>
      </w:pPr>
      <w:r>
        <w:rPr>
          <w:rFonts w:ascii="Georgia" w:cs="Georgia" w:eastAsia="Georgia" w:hAnsi="Georgia"/>
          <w:b/>
          <w:bCs/>
          <w:color w:val="8B6914"/>
          <w:sz w:val="26"/>
          <w:szCs w:val="26"/>
        </w:rPr>
        <w:t xml:space="preserve">Dehumanization and the Sacred Text</w:t>
      </w:r>
    </w:p>
    <w:p>
      <w:pPr>
        <w:spacing w:before="80" w:after="120" w:line="320"/>
        <w:jc w:val="both"/>
      </w:pPr>
      <w:r>
        <w:rPr>
          <w:rFonts w:ascii="Calibri" w:cs="Calibri" w:eastAsia="Calibri" w:hAnsi="Calibri"/>
          <w:color w:val="1A1A2E"/>
          <w:sz w:val="22"/>
          <w:szCs w:val="22"/>
        </w:rPr>
        <w:t xml:space="preserve">The philosopher René Girard argued that all human communities require a scapegoat — a figure or group upon whom the community's violence and anxiety is projected and expelled. In religious traditions, this mechanism operates through theological language. The enemy is not merely an opponent; they are the damned, the unclean, the agents of darkness, the enemies of God. This language serves a social function: it sanctifies the violence against the enemy and reinforces the solidarity of the community.</w:t>
      </w:r>
    </w:p>
    <w:p>
      <w:pPr>
        <w:spacing w:before="80" w:after="120" w:line="320"/>
        <w:jc w:val="both"/>
      </w:pPr>
      <w:r>
        <w:rPr>
          <w:rFonts w:ascii="Calibri" w:cs="Calibri" w:eastAsia="Calibri" w:hAnsi="Calibri"/>
          <w:color w:val="1A1A2E"/>
          <w:sz w:val="22"/>
          <w:szCs w:val="22"/>
        </w:rPr>
        <w:t xml:space="preserve">What is remarkable is that all three Abrahamic traditions have internal critiques of this mechanism — often articulated by their most profound mystics and philosophers. The Sufi tradition within Islam, from Rumi to Ibn 'Arabi, consistently challenged the equation of religious form with divine reality. The Christian mystic Meister Eckhart spoke of a divine ground (Grund) in which all distinctions dissolve. The Hasidic movement in Judaism, emerging partly as a response to the trauma of Cossack massacres, emphasized the divine spark in every creature and the possibility of worship in every moment.</w:t>
      </w:r>
    </w:p>
    <w:p>
      <w:pPr>
        <w:spacing w:before="80" w:after="120" w:line="320"/>
        <w:jc w:val="both"/>
      </w:pPr>
      <w:r>
        <w:rPr>
          <w:rFonts w:ascii="Calibri" w:cs="Calibri" w:eastAsia="Calibri" w:hAnsi="Calibri"/>
          <w:color w:val="1A1A2E"/>
          <w:sz w:val="22"/>
          <w:szCs w:val="22"/>
        </w:rPr>
        <w:t xml:space="preserve">These mystical traditions represent, in each case, the theological imagination at its most capacious — reaching toward a vision of God whose love exceeds the boundaries of any human community. And they tend to emerge — significantly — from communities that have themselves experienced persecution and suffering. The experience of being on the receiving end of exclusion can, paradoxically, generate the deepest wells of theological generosity.</w:t>
      </w:r>
    </w:p>
    <w:p>
      <w:pPr>
        <w:spacing w:before="80" w:after="80"/>
      </w:pPr>
      <w:r>
        <w:t xml:space="preserve"/>
      </w:r>
    </w:p>
    <w:p>
      <w:pPr>
        <w:pStyle w:val="Heading1"/>
        <w:pBdr>
          <w:bottom w:val="single" w:color="1B6B8A" w:sz="4" w:space="6"/>
        </w:pBdr>
        <w:spacing w:before="400" w:after="200"/>
      </w:pPr>
      <w:r>
        <w:rPr>
          <w:rFonts w:ascii="Georgia" w:cs="Georgia" w:eastAsia="Georgia" w:hAnsi="Georgia"/>
          <w:b/>
          <w:bCs/>
          <w:color w:val="1B6B8A"/>
          <w:sz w:val="32"/>
          <w:szCs w:val="32"/>
        </w:rPr>
        <w:t xml:space="preserve">Part V: Convergences — Where the Traditions Speak with One Voice</w:t>
      </w:r>
    </w:p>
    <w:p>
      <w:pPr>
        <w:spacing w:before="80" w:after="80"/>
      </w:pPr>
      <w:r>
        <w:t xml:space="preserve"/>
      </w:r>
    </w:p>
    <w:p>
      <w:pPr>
        <w:spacing w:before="80" w:after="120" w:line="320"/>
        <w:jc w:val="both"/>
      </w:pPr>
      <w:r>
        <w:rPr>
          <w:rFonts w:ascii="Calibri" w:cs="Calibri" w:eastAsia="Calibri" w:hAnsi="Calibri"/>
          <w:color w:val="1A1A2E"/>
          <w:sz w:val="22"/>
          <w:szCs w:val="22"/>
        </w:rPr>
        <w:t xml:space="preserve">Beneath the historical oscillations and the theological tensions, there are remarkable convergences among the three Abrahamic faiths on the question of salvation. All three traditions affirm, at their most expansive moments, that sincere moral effort — righteousness without explicit membership in the right community — is recognized and honored by God.</w:t>
      </w:r>
    </w:p>
    <w:p>
      <w:pPr>
        <w:spacing w:before="80" w:after="120" w:line="320"/>
        <w:jc w:val="both"/>
      </w:pPr>
      <w:r>
        <w:rPr>
          <w:rFonts w:ascii="Calibri" w:cs="Calibri" w:eastAsia="Calibri" w:hAnsi="Calibri"/>
          <w:color w:val="1A1A2E"/>
          <w:sz w:val="22"/>
          <w:szCs w:val="22"/>
        </w:rPr>
        <w:t xml:space="preserve">The Quran's criterion of belief in God, the Last Day, and righteous deeds (2:62, 5:69) maps with striking closeness onto the Jewish concept of the Noahide Laws — which also require ethical living, acknowledgment of divine authority, and moral accountability. The Christian concept of 'common grace' — the idea that God extends blessings and moral insight to all human beings regardless of faith — similarly acknowledges a divine generosity that exceeds the boundaries of the church.</w:t>
      </w:r>
    </w:p>
    <w:p>
      <w:pPr>
        <w:spacing w:before="80" w:after="120" w:line="320"/>
        <w:jc w:val="both"/>
      </w:pPr>
      <w:r>
        <w:rPr>
          <w:rFonts w:ascii="Calibri" w:cs="Calibri" w:eastAsia="Calibri" w:hAnsi="Calibri"/>
          <w:color w:val="1A1A2E"/>
          <w:sz w:val="22"/>
          <w:szCs w:val="22"/>
        </w:rPr>
        <w:t xml:space="preserve">All three traditions also share a suspicion of those who perform the correct religious rituals while failing to embody justice. The Hebrew prophets — Amos, Isaiah, Micah — thundered against empty sacrifice unaccompanied by care for the poor and the widow. Jesus's parable of the Good Samaritan deliberately makes the moral hero a member of a despised outside community. Muhammad declared that the best of deeds in the sight of God is to make a Muslim brother happy — and the hadith literature is full of accounts of the Prophet's moral admiration for individuals whose formal religious status was ambiguous.</w:t>
      </w:r>
    </w:p>
    <w:p>
      <w:pPr>
        <w:shd w:fill="E8F4F8" w:val="clear"/>
        <w:spacing w:before="180" w:after="180" w:line="300"/>
        <w:ind w:left="720" w:right="720"/>
      </w:pPr>
      <w:r>
        <w:rPr>
          <w:rFonts w:ascii="Georgia" w:cs="Georgia" w:eastAsia="Georgia" w:hAnsi="Georgia"/>
          <w:i/>
          <w:iCs/>
          <w:color w:val="2C3E50"/>
          <w:sz w:val="22"/>
          <w:szCs w:val="22"/>
        </w:rPr>
        <w:t xml:space="preserve">"None of you truly believes until he loves for his brother what he loves for himself."</w:t>
      </w:r>
      <w:r>
        <w:rPr>
          <w:rFonts w:ascii="Calibri" w:cs="Calibri" w:eastAsia="Calibri" w:hAnsi="Calibri"/>
          <w:b/>
          <w:bCs/>
          <w:color w:val="1B6B8A"/>
          <w:sz w:val="18"/>
          <w:szCs w:val="18"/>
        </w:rPr>
        <w:br/>
        <w:t xml:space="preserve">
— Hadith, Bukhari &amp; Muslim</w:t>
      </w:r>
    </w:p>
    <w:p>
      <w:pPr>
        <w:shd w:fill="E8F4F8" w:val="clear"/>
        <w:spacing w:before="180" w:after="180" w:line="300"/>
        <w:ind w:left="720" w:right="720"/>
      </w:pPr>
      <w:r>
        <w:rPr>
          <w:rFonts w:ascii="Georgia" w:cs="Georgia" w:eastAsia="Georgia" w:hAnsi="Georgia"/>
          <w:i/>
          <w:iCs/>
          <w:color w:val="2C3E50"/>
          <w:sz w:val="22"/>
          <w:szCs w:val="22"/>
        </w:rPr>
        <w:t xml:space="preserve">"What is hateful to you, do not do to your neighbor. That is the whole Torah; the rest is commentary."</w:t>
      </w:r>
      <w:r>
        <w:rPr>
          <w:rFonts w:ascii="Calibri" w:cs="Calibri" w:eastAsia="Calibri" w:hAnsi="Calibri"/>
          <w:b/>
          <w:bCs/>
          <w:color w:val="1B6B8A"/>
          <w:sz w:val="18"/>
          <w:szCs w:val="18"/>
        </w:rPr>
        <w:br/>
        <w:t xml:space="preserve">
— Hillel, Talmud Shabbat 31a</w:t>
      </w:r>
    </w:p>
    <w:p>
      <w:pPr>
        <w:shd w:fill="E8F4F8" w:val="clear"/>
        <w:spacing w:before="180" w:after="180" w:line="300"/>
        <w:ind w:left="720" w:right="720"/>
      </w:pPr>
      <w:r>
        <w:rPr>
          <w:rFonts w:ascii="Georgia" w:cs="Georgia" w:eastAsia="Georgia" w:hAnsi="Georgia"/>
          <w:i/>
          <w:iCs/>
          <w:color w:val="2C3E50"/>
          <w:sz w:val="22"/>
          <w:szCs w:val="22"/>
        </w:rPr>
        <w:t xml:space="preserve">"In everything, do to others what you would have them do to you, for this sums up the Law and the Prophets."</w:t>
      </w:r>
      <w:r>
        <w:rPr>
          <w:rFonts w:ascii="Calibri" w:cs="Calibri" w:eastAsia="Calibri" w:hAnsi="Calibri"/>
          <w:b/>
          <w:bCs/>
          <w:color w:val="1B6B8A"/>
          <w:sz w:val="18"/>
          <w:szCs w:val="18"/>
        </w:rPr>
        <w:br/>
        <w:t xml:space="preserve">
— Matthew 7:12</w:t>
      </w:r>
    </w:p>
    <w:p>
      <w:pPr>
        <w:spacing w:before="80" w:after="120" w:line="320"/>
        <w:jc w:val="both"/>
      </w:pPr>
      <w:r>
        <w:rPr>
          <w:rFonts w:ascii="Calibri" w:cs="Calibri" w:eastAsia="Calibri" w:hAnsi="Calibri"/>
          <w:color w:val="1A1A2E"/>
          <w:sz w:val="22"/>
          <w:szCs w:val="22"/>
        </w:rPr>
        <w:t xml:space="preserve">The convergence of the Golden Rule across all three traditions — articulated almost identically in the Talmud, the Gospels, and the hadith literature — suggests a shared moral foundation that transcends formal religious distinction. At the level of practical ethics, the traditions arrive at the same place.</w:t>
      </w:r>
    </w:p>
    <w:p>
      <w:pPr>
        <w:spacing w:before="80" w:after="80"/>
      </w:pPr>
      <w:r>
        <w:t xml:space="preserve"/>
      </w:r>
    </w:p>
    <w:p>
      <w:pPr>
        <w:pStyle w:val="Heading1"/>
        <w:pBdr>
          <w:bottom w:val="single" w:color="1B6B8A" w:sz="4" w:space="6"/>
        </w:pBdr>
        <w:spacing w:before="400" w:after="200"/>
      </w:pPr>
      <w:r>
        <w:rPr>
          <w:rFonts w:ascii="Georgia" w:cs="Georgia" w:eastAsia="Georgia" w:hAnsi="Georgia"/>
          <w:b/>
          <w:bCs/>
          <w:color w:val="1B6B8A"/>
          <w:sz w:val="32"/>
          <w:szCs w:val="32"/>
        </w:rPr>
        <w:t xml:space="preserve">Epilogue: The Theological Imagination in a Fractured World</w:t>
      </w:r>
    </w:p>
    <w:p>
      <w:pPr>
        <w:spacing w:before="80" w:after="80"/>
      </w:pPr>
      <w:r>
        <w:t xml:space="preserve"/>
      </w:r>
    </w:p>
    <w:p>
      <w:pPr>
        <w:pBdr>
          <w:top w:val="single" w:color="8B6914" w:sz="6"/>
          <w:left w:val="single" w:color="8B6914" w:sz="6"/>
          <w:bottom w:val="single" w:color="8B6914" w:sz="6"/>
          <w:right w:val="single" w:color="8B6914" w:sz="6"/>
        </w:pBdr>
        <w:shd w:fill="FDF6E3" w:val="clear"/>
        <w:spacing w:before="160" w:after="160" w:line="340"/>
        <w:ind w:left="360" w:right="360"/>
        <w:jc w:val="both"/>
      </w:pPr>
      <w:r>
        <w:rPr>
          <w:rFonts w:ascii="Georgia" w:cs="Georgia" w:eastAsia="Georgia" w:hAnsi="Georgia"/>
          <w:i/>
          <w:iCs/>
          <w:color w:val="3E2C00"/>
          <w:sz w:val="22"/>
          <w:szCs w:val="22"/>
        </w:rPr>
        <w:t xml:space="preserve">The question of who is saved — and by what criteria — is ultimately inseparable from the question of who we are willing to see as fully human. Every tradition's theology of salvation is, at its core, a theology of the other: it defines who belongs to God's community of concern and who does not.</w:t>
      </w:r>
    </w:p>
    <w:p>
      <w:pPr>
        <w:spacing w:before="80" w:after="80"/>
      </w:pPr>
      <w:r>
        <w:t xml:space="preserve"/>
      </w:r>
    </w:p>
    <w:p>
      <w:pPr>
        <w:spacing w:before="80" w:after="120" w:line="320"/>
        <w:jc w:val="both"/>
      </w:pPr>
      <w:r>
        <w:rPr>
          <w:rFonts w:ascii="Calibri" w:cs="Calibri" w:eastAsia="Calibri" w:hAnsi="Calibri"/>
          <w:color w:val="1A1A2E"/>
          <w:sz w:val="22"/>
          <w:szCs w:val="22"/>
        </w:rPr>
        <w:t xml:space="preserve">We began with the observation that universal salvation is a luxury of peaceful times. This is true — but it is not the whole truth. The remarkable thing is not that religious communities have narrowed their theological generosity in times of war. That is entirely predictable. The remarkable thing is that, in each tradition, the inclusive impulse has never been entirely extinguished — that even in the darkest periods of crusade and persecution, voices have insisted that God's concern exceeds the boundaries of any human community.</w:t>
      </w:r>
    </w:p>
    <w:p>
      <w:pPr>
        <w:spacing w:before="80" w:after="120" w:line="320"/>
        <w:jc w:val="both"/>
      </w:pPr>
      <w:r>
        <w:rPr>
          <w:rFonts w:ascii="Calibri" w:cs="Calibri" w:eastAsia="Calibri" w:hAnsi="Calibri"/>
          <w:color w:val="1A1A2E"/>
          <w:sz w:val="22"/>
          <w:szCs w:val="22"/>
        </w:rPr>
        <w:t xml:space="preserve">Rumi, writing in the aftermath of the Mongol devastation of the Islamic heartland, composed poetry that transcended every human division. Maimonides, writing in exile after the collapse of Almohad-controlled Andalusia, maintained the teaching that the righteous of all nations have a share in the World to Come. Meister Eckhart, writing in a period of intense ecclesiastical exclusivism, spoke of a spark in the soul (Seelengrund) that is identical with the divine ground — present in every human being without exception.</w:t>
      </w:r>
    </w:p>
    <w:p>
      <w:pPr>
        <w:spacing w:before="80" w:after="120" w:line="320"/>
        <w:jc w:val="both"/>
      </w:pPr>
      <w:r>
        <w:rPr>
          <w:rFonts w:ascii="Calibri" w:cs="Calibri" w:eastAsia="Calibri" w:hAnsi="Calibri"/>
          <w:color w:val="1A1A2E"/>
          <w:sz w:val="22"/>
          <w:szCs w:val="22"/>
        </w:rPr>
        <w:t xml:space="preserve">What this history suggests is that the theological imagination is never entirely captured by its political context. Even when communities are under threat, individuals within those communities have managed to think beyond the logic of the siege — to articulate a vision of the divine that is larger than the fears of their moment. These voices have often been persecuted by their own communities. Al-Hallaj was executed by Muslim authorities for claiming union with God. Meister Eckhart was condemned by papal authority. Spinoza was excommunicated by the Amsterdam Jewish community. The price of theological expansiveness has often been high.</w:t>
      </w:r>
    </w:p>
    <w:p>
      <w:pPr>
        <w:spacing w:before="80" w:after="120" w:line="320"/>
        <w:jc w:val="both"/>
      </w:pPr>
      <w:r>
        <w:rPr>
          <w:rFonts w:ascii="Calibri" w:cs="Calibri" w:eastAsia="Calibri" w:hAnsi="Calibri"/>
          <w:color w:val="1A1A2E"/>
          <w:sz w:val="22"/>
          <w:szCs w:val="22"/>
        </w:rPr>
        <w:t xml:space="preserve">But the voices have survived. And in the contemporary world — a world that is simultaneously more interconnected than any previous civilization and more riven by religious violence than most optimistic observers expected — these voices have taken on new urgency. The question of whether Islam, Christianity, and Judaism can articulate theologies of salvation that honor the integrity of their own traditions while acknowledging the genuine moral seriousness of others is not merely an academic question. It is a question with geopolitical stakes.</w:t>
      </w:r>
    </w:p>
    <w:p>
      <w:pPr>
        <w:spacing w:before="80" w:after="120" w:line="320"/>
        <w:jc w:val="both"/>
      </w:pPr>
      <w:r>
        <w:rPr>
          <w:rFonts w:ascii="Calibri" w:cs="Calibri" w:eastAsia="Calibri" w:hAnsi="Calibri"/>
          <w:color w:val="1A1A2E"/>
          <w:sz w:val="22"/>
          <w:szCs w:val="22"/>
        </w:rPr>
        <w:t xml:space="preserve">The scriptural resources for such theologies exist in all three traditions. They have always existed. What changes — what has always changed — is whether communities are secure enough, peaceful enough, to read them.</w:t>
      </w:r>
    </w:p>
    <w:p>
      <w:pPr>
        <w:spacing w:before="80" w:after="80"/>
      </w:pPr>
      <w:r>
        <w:t xml:space="preserve"/>
      </w:r>
    </w:p>
    <w:p>
      <w:pPr>
        <w:shd w:fill="E8F4F8" w:val="clear"/>
        <w:spacing w:before="180" w:after="180" w:line="300"/>
        <w:ind w:left="720" w:right="720"/>
      </w:pPr>
      <w:r>
        <w:rPr>
          <w:rFonts w:ascii="Georgia" w:cs="Georgia" w:eastAsia="Georgia" w:hAnsi="Georgia"/>
          <w:i/>
          <w:iCs/>
          <w:color w:val="2C3E50"/>
          <w:sz w:val="22"/>
          <w:szCs w:val="22"/>
        </w:rPr>
        <w:t xml:space="preserve">"If God had willed, He would have made you one community. But He willed to test you in what He has given you. So race to good deeds. To God you will all return, and He will tell you the truth about that in which you used to differ."</w:t>
      </w:r>
      <w:r>
        <w:rPr>
          <w:rFonts w:ascii="Calibri" w:cs="Calibri" w:eastAsia="Calibri" w:hAnsi="Calibri"/>
          <w:b/>
          <w:bCs/>
          <w:color w:val="1B6B8A"/>
          <w:sz w:val="18"/>
          <w:szCs w:val="18"/>
        </w:rPr>
        <w:br/>
        <w:t xml:space="preserve">
— Quran 5:48</w:t>
      </w:r>
    </w:p>
    <w:p>
      <w:pPr>
        <w:spacing w:before="80" w:after="80"/>
      </w:pPr>
      <w:r>
        <w:t xml:space="preserve"/>
      </w:r>
    </w:p>
    <w:p>
      <w:pPr>
        <w:pBdr>
          <w:top w:val="double" w:color="1B6B8A" w:sz="6" w:space="6"/>
        </w:pBdr>
        <w:spacing w:before="240" w:after="80"/>
        <w:jc w:val="center"/>
      </w:pPr>
      <w:r>
        <w:rPr>
          <w:rFonts w:ascii="Georgia" w:cs="Georgia" w:eastAsia="Georgia" w:hAnsi="Georgia"/>
          <w:color w:val="1B6B8A"/>
          <w:sz w:val="22"/>
          <w:szCs w:val="22"/>
        </w:rPr>
        <w:t xml:space="preserve">~ ~ ~</w:t>
      </w:r>
    </w:p>
    <w:p>
      <w:pPr>
        <w:spacing w:before="80" w:after="40"/>
        <w:jc w:val="center"/>
      </w:pPr>
      <w:r>
        <w:rPr>
          <w:rFonts w:ascii="Georgia" w:cs="Georgia" w:eastAsia="Georgia" w:hAnsi="Georgia"/>
          <w:i/>
          <w:iCs/>
          <w:color w:val="555555"/>
          <w:sz w:val="20"/>
          <w:szCs w:val="20"/>
        </w:rPr>
        <w:t xml:space="preserve">The divine reality is one. The paths are many. Whether those paths converge at the summit</w:t>
      </w:r>
    </w:p>
    <w:p>
      <w:pPr>
        <w:spacing w:before="0" w:after="200"/>
        <w:jc w:val="center"/>
      </w:pPr>
      <w:r>
        <w:rPr>
          <w:rFonts w:ascii="Georgia" w:cs="Georgia" w:eastAsia="Georgia" w:hAnsi="Georgia"/>
          <w:i/>
          <w:iCs/>
          <w:color w:val="555555"/>
          <w:sz w:val="20"/>
          <w:szCs w:val="20"/>
        </w:rPr>
        <w:t xml:space="preserve">is the oldest and most humanly consequential question in the history of religion.</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Georgia" w:cs="Georgia" w:eastAsia="Georgia" w:hAnsi="Georgia"/>
      <w:b/>
      <w:bCs/>
      <w:color w:val="1B6B8A"/>
      <w:sz w:val="32"/>
      <w:szCs w:val="32"/>
    </w:rPr>
  </w:style>
  <w:style w:type="paragraph" w:styleId="Heading2">
    <w:name w:val="Heading 2"/>
    <w:basedOn w:val="Normal"/>
    <w:next w:val="Normal"/>
    <w:qFormat/>
    <w:pPr>
      <w:spacing w:before="300" w:after="120"/>
      <w:outlineLvl w:val="1"/>
    </w:pPr>
    <w:rPr>
      <w:rFonts w:ascii="Georgia" w:cs="Georgia" w:eastAsia="Georgia" w:hAnsi="Georgia"/>
      <w:b/>
      <w:bCs/>
      <w:color w:val="8B6914"/>
      <w:sz w:val="26"/>
      <w:szCs w:val="26"/>
    </w:rPr>
  </w:style>
  <w:style w:type="paragraph" w:styleId="Heading3">
    <w:name w:val="Heading 3"/>
    <w:basedOn w:val="Normal"/>
    <w:next w:val="Normal"/>
    <w:qFormat/>
    <w:pPr>
      <w:spacing w:before="200" w:after="80"/>
      <w:outlineLvl w:val="2"/>
    </w:pPr>
    <w:rPr>
      <w:rFonts w:ascii="Georgia" w:cs="Georgia" w:eastAsia="Georgia" w:hAnsi="Georgia"/>
      <w:b/>
      <w:bCs/>
      <w:color w:val="555555"/>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2026-03-04T10:34:50.331Z</dcterms:created>
  <dcterms:modified xsi:type="dcterms:W3CDTF">2026-03-04T10:34:50.332Z</dcterms:modified>
</cp:coreProperties>
</file>

<file path=docProps/custom.xml><?xml version="1.0" encoding="utf-8"?>
<Properties xmlns="http://schemas.openxmlformats.org/officeDocument/2006/custom-properties" xmlns:vt="http://schemas.openxmlformats.org/officeDocument/2006/docPropsVTypes"/>
</file>