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74" w:name="content"/>
    <w:bookmarkStart w:id="73" w:name="X5900c562396bc7eacefd313d625bad6cfc84755"/>
    <w:p>
      <w:pPr>
        <w:pStyle w:val="Heading1"/>
      </w:pPr>
      <w:r>
        <w:t xml:space="preserve">Night and Day as Divine Testimony in Qur’anic Oaths</w:t>
      </w:r>
    </w:p>
    <w:bookmarkStart w:id="24" w:name="abstract"/>
    <w:p>
      <w:pPr>
        <w:pStyle w:val="Heading2"/>
      </w:pPr>
      <w:r>
        <w:t xml:space="preserve">Abstract</w:t>
      </w:r>
    </w:p>
    <w:p>
      <w:pPr>
        <w:pStyle w:val="FirstParagraph"/>
      </w:pPr>
      <w:r>
        <w:t xml:space="preserve">The Qur’an’s divine oaths (qasam) by natural phenomena—especially the recurring polarity of night and day—function as a rhetorical and theological “summons to attention”: they press the listener from the visible order of the cosmos toward invisible but decisive truths: God’s oneness, the integrity of revelation, the credibility of the Prophet’s experience, and the certainty of resurrection and judgment. Zia H Shah</w:t>
      </w:r>
      <w:hyperlink r:id="rId21">
        <w:r>
          <w:rPr>
            <w:rStyle w:val="Hyperlink"/>
          </w:rPr>
          <w:t xml:space="preserve">[1]</w:t>
        </w:r>
      </w:hyperlink>
      <w:r>
        <w:t xml:space="preserve"> </w:t>
      </w:r>
      <w:r>
        <w:t xml:space="preserve">argues that these oaths are not ornamental; the “object sworn by” and the message that follows are “intimately connected,” and the Qur’an thereby makes the “book of nature” a standing witness to the “book of scripture,” while still insisting the Qur’an is not a science textbook.</w:t>
      </w:r>
      <w:r>
        <w:t xml:space="preserve"> </w:t>
      </w:r>
      <w:hyperlink r:id="rId22">
        <w:r>
          <w:rPr>
            <w:rStyle w:val="Hyperlink"/>
          </w:rPr>
          <w:t xml:space="preserve">[2]</w:t>
        </w:r>
      </w:hyperlink>
    </w:p>
    <w:p>
      <w:pPr>
        <w:pStyle w:val="BodyText"/>
      </w:pPr>
      <w:r>
        <w:t xml:space="preserve">This report first compiles the Qur’anic oaths explicitly invoking night (including “nights”) and then compiles the oaths explicitly invoking day or daylight phases (day, dawn, forenoon, time/declining day). It then provides a layered scientific, philosophical, and theological commentary showing how (i) the physical alternation of illumination structures life, perception, and timekeeping; (ii) the night/day polarity supplies a philosophical grammar for concealment/disclosure and loss/salvation; and (iii) the Qur’an uses that grammar to emphasize tawḥīd, prophecy, revelation, and resurrection.</w:t>
      </w:r>
      <w:r>
        <w:t xml:space="preserve"> </w:t>
      </w:r>
      <w:hyperlink r:id="rId23">
        <w:r>
          <w:rPr>
            <w:rStyle w:val="Hyperlink"/>
          </w:rPr>
          <w:t xml:space="preserve">[3]</w:t>
        </w:r>
      </w:hyperlink>
    </w:p>
    <w:bookmarkEnd w:id="24"/>
    <w:bookmarkStart w:id="31" w:name="conceptual-framework-and-method"/>
    <w:p>
      <w:pPr>
        <w:pStyle w:val="Heading2"/>
      </w:pPr>
      <w:r>
        <w:t xml:space="preserve">Conceptual framework and method</w:t>
      </w:r>
    </w:p>
    <w:p>
      <w:pPr>
        <w:pStyle w:val="FirstParagraph"/>
      </w:pPr>
      <w:r>
        <w:t xml:space="preserve">In Arabic rhetoric, oath clusters are a recognized emphatic device: a passage opens with an oath marker (often the particle</w:t>
      </w:r>
      <w:r>
        <w:t xml:space="preserve"> </w:t>
      </w:r>
      <w:r>
        <w:rPr>
          <w:i/>
          <w:iCs/>
        </w:rPr>
        <w:t xml:space="preserve">wa-</w:t>
      </w:r>
      <w:r>
        <w:t xml:space="preserve"> </w:t>
      </w:r>
      <w:r>
        <w:t xml:space="preserve">“by…”) and then moves to the “answer” or claim being underscored (jawāb al-qasam). Scholars of Qur’anic rhetoric note that this performs a “weighting” function: it arrests attention, intensifies seriousness, and frames the ensuing assertion as truth-claim rather than ornament.</w:t>
      </w:r>
      <w:r>
        <w:t xml:space="preserve"> </w:t>
      </w:r>
      <w:hyperlink r:id="rId25">
        <w:r>
          <w:rPr>
            <w:rStyle w:val="Hyperlink"/>
          </w:rPr>
          <w:t xml:space="preserve">[4]</w:t>
        </w:r>
      </w:hyperlink>
    </w:p>
    <w:p>
      <w:pPr>
        <w:pStyle w:val="BodyText"/>
      </w:pPr>
      <w:r>
        <w:t xml:space="preserve">Grammatically, the Qur’anic Arabic Corpus explicitly analyzes the prefixed</w:t>
      </w:r>
      <w:r>
        <w:t xml:space="preserve"> </w:t>
      </w:r>
      <w:r>
        <w:rPr>
          <w:i/>
          <w:iCs/>
        </w:rPr>
        <w:t xml:space="preserve">wa</w:t>
      </w:r>
      <w:r>
        <w:t xml:space="preserve"> </w:t>
      </w:r>
      <w:r>
        <w:t xml:space="preserve">as an oath-forming preposition in verses like “By the dawn…” (Q 89:1) and “By time…” (Q 103:1), providing linguistic confirmation that these are oath constructions rather than merely conjunctive “and.”</w:t>
      </w:r>
      <w:r>
        <w:t xml:space="preserve"> </w:t>
      </w:r>
      <w:hyperlink r:id="rId26">
        <w:r>
          <w:rPr>
            <w:rStyle w:val="Hyperlink"/>
          </w:rPr>
          <w:t xml:space="preserve">[5]</w:t>
        </w:r>
      </w:hyperlink>
    </w:p>
    <w:p>
      <w:pPr>
        <w:pStyle w:val="BodyText"/>
      </w:pPr>
      <w:r>
        <w:t xml:space="preserve">A distinctive theological nuance appears in how Islamic tradition regulates human oaths: people are instructed to swear by God alone, not by created things. This is illustrated in an authentic report in Sahih al-Bukhari</w:t>
      </w:r>
      <w:hyperlink r:id="rId27">
        <w:r>
          <w:rPr>
            <w:rStyle w:val="Hyperlink"/>
          </w:rPr>
          <w:t xml:space="preserve">[6]</w:t>
        </w:r>
      </w:hyperlink>
      <w:r>
        <w:t xml:space="preserve">, which forbids swearing by one’s forefathers and directs the oath-taker to swear by God or remain silent.</w:t>
      </w:r>
      <w:r>
        <w:t xml:space="preserve"> </w:t>
      </w:r>
      <w:hyperlink r:id="rId28">
        <w:r>
          <w:rPr>
            <w:rStyle w:val="Hyperlink"/>
          </w:rPr>
          <w:t xml:space="preserve">[7]</w:t>
        </w:r>
      </w:hyperlink>
      <w:r>
        <w:t xml:space="preserve"> </w:t>
      </w:r>
      <w:r>
        <w:t xml:space="preserve">The Qur’an’s own divine oaths therefore do not “license creature-worship”; instead, they elevate created things as</w:t>
      </w:r>
      <w:r>
        <w:t xml:space="preserve"> </w:t>
      </w:r>
      <w:r>
        <w:rPr>
          <w:i/>
          <w:iCs/>
        </w:rPr>
        <w:t xml:space="preserve">āyāt</w:t>
      </w:r>
      <w:r>
        <w:t xml:space="preserve"> </w:t>
      </w:r>
      <w:r>
        <w:t xml:space="preserve">(signs) whose very intelligibility points beyond themselves—an interpretive move emphasized repeatedly in the referenced essays.</w:t>
      </w:r>
      <w:r>
        <w:t xml:space="preserve"> </w:t>
      </w:r>
      <w:hyperlink r:id="rId29">
        <w:r>
          <w:rPr>
            <w:rStyle w:val="Hyperlink"/>
          </w:rPr>
          <w:t xml:space="preserve">[8]</w:t>
        </w:r>
      </w:hyperlink>
    </w:p>
    <w:p>
      <w:pPr>
        <w:pStyle w:val="BodyText"/>
      </w:pPr>
      <w:r>
        <w:t xml:space="preserve">Methodologically, this report (1) collects “night” oath occurrences explicitly cited by the user (Q 92:1; 74:33; 91:4; 81:17; 84:17; 89:2; 89:4; 93:2) from a consistent English rendering (Sahih International on Legacy Quran), (2) collects</w:t>
      </w:r>
      <w:r>
        <w:t xml:space="preserve"> </w:t>
      </w:r>
      <w:r>
        <w:rPr>
          <w:b/>
          <w:bCs/>
        </w:rPr>
        <w:t xml:space="preserve">all Qur’anic oaths explicitly invoking day or daylight phases</w:t>
      </w:r>
      <w:r>
        <w:t xml:space="preserve"> </w:t>
      </w:r>
      <w:r>
        <w:t xml:space="preserve">that are directly parallel to those night oaths within the same oath ecology (day =</w:t>
      </w:r>
      <w:r>
        <w:t xml:space="preserve"> </w:t>
      </w:r>
      <w:r>
        <w:rPr>
          <w:i/>
          <w:iCs/>
        </w:rPr>
        <w:t xml:space="preserve">nahār</w:t>
      </w:r>
      <w:r>
        <w:t xml:space="preserve">, dawn/morning =</w:t>
      </w:r>
      <w:r>
        <w:t xml:space="preserve"> </w:t>
      </w:r>
      <w:r>
        <w:rPr>
          <w:i/>
          <w:iCs/>
        </w:rPr>
        <w:t xml:space="preserve">ṣubḥ</w:t>
      </w:r>
      <w:r>
        <w:t xml:space="preserve">/</w:t>
      </w:r>
      <w:r>
        <w:rPr>
          <w:i/>
          <w:iCs/>
        </w:rPr>
        <w:t xml:space="preserve">fajr</w:t>
      </w:r>
      <w:r>
        <w:t xml:space="preserve">, forenoon =</w:t>
      </w:r>
      <w:r>
        <w:t xml:space="preserve"> </w:t>
      </w:r>
      <w:r>
        <w:rPr>
          <w:i/>
          <w:iCs/>
        </w:rPr>
        <w:t xml:space="preserve">ḍuḥā</w:t>
      </w:r>
      <w:r>
        <w:t xml:space="preserve">, and time/declining day =</w:t>
      </w:r>
      <w:r>
        <w:t xml:space="preserve"> </w:t>
      </w:r>
      <w:r>
        <w:rPr>
          <w:i/>
          <w:iCs/>
        </w:rPr>
        <w:t xml:space="preserve">ʿaṣr</w:t>
      </w:r>
      <w:r>
        <w:t xml:space="preserve">), and (3) reads each oath cluster in its immediate literary context, using classical/tafsīr touchpoints where they clarify the oath–message linkage.</w:t>
      </w:r>
      <w:r>
        <w:t xml:space="preserve"> </w:t>
      </w:r>
      <w:hyperlink r:id="rId30">
        <w:r>
          <w:rPr>
            <w:rStyle w:val="Hyperlink"/>
          </w:rPr>
          <w:t xml:space="preserve">[9]</w:t>
        </w:r>
      </w:hyperlink>
    </w:p>
    <w:bookmarkEnd w:id="31"/>
    <w:bookmarkStart w:id="43" w:name="X2258c7ff59d50927d658b0b4448055d489155b7"/>
    <w:p>
      <w:pPr>
        <w:pStyle w:val="Heading2"/>
      </w:pPr>
      <w:r>
        <w:t xml:space="preserve">Corpus of Qur’anic oaths by night and by day</w:t>
      </w:r>
    </w:p>
    <w:bookmarkStart w:id="38" w:name="night-oaths-cited-in-the-prompt"/>
    <w:p>
      <w:pPr>
        <w:pStyle w:val="Heading3"/>
      </w:pPr>
      <w:r>
        <w:t xml:space="preserve">Night oaths cited in the prompt</w:t>
      </w:r>
    </w:p>
    <w:p>
      <w:pPr>
        <w:pStyle w:val="FirstParagraph"/>
      </w:pPr>
      <w:r>
        <w:t xml:space="preserve">Q 92:1 — “By the night when it covers…”</w:t>
      </w:r>
      <w:r>
        <w:t xml:space="preserve"> </w:t>
      </w:r>
      <w:hyperlink r:id="rId30">
        <w:r>
          <w:rPr>
            <w:rStyle w:val="Hyperlink"/>
          </w:rPr>
          <w:t xml:space="preserve">[10]</w:t>
        </w:r>
      </w:hyperlink>
      <w:r>
        <w:br/>
      </w:r>
      <w:r>
        <w:t xml:space="preserve">Q 74:33 — “And [by] the night when it departs…”</w:t>
      </w:r>
      <w:r>
        <w:t xml:space="preserve"> </w:t>
      </w:r>
      <w:hyperlink r:id="rId32">
        <w:r>
          <w:rPr>
            <w:rStyle w:val="Hyperlink"/>
          </w:rPr>
          <w:t xml:space="preserve">[11]</w:t>
        </w:r>
      </w:hyperlink>
      <w:r>
        <w:br/>
      </w:r>
      <w:r>
        <w:t xml:space="preserve">Q 91:4 — “And [by] the night when it covers it…”</w:t>
      </w:r>
      <w:r>
        <w:t xml:space="preserve"> </w:t>
      </w:r>
      <w:hyperlink r:id="rId27">
        <w:r>
          <w:rPr>
            <w:rStyle w:val="Hyperlink"/>
          </w:rPr>
          <w:t xml:space="preserve">[12]</w:t>
        </w:r>
      </w:hyperlink>
      <w:r>
        <w:br/>
      </w:r>
      <w:r>
        <w:t xml:space="preserve">Q 81:17 — “And by the night as it closes in…”</w:t>
      </w:r>
      <w:r>
        <w:t xml:space="preserve"> </w:t>
      </w:r>
      <w:hyperlink r:id="rId33">
        <w:r>
          <w:rPr>
            <w:rStyle w:val="Hyperlink"/>
          </w:rPr>
          <w:t xml:space="preserve">[13]</w:t>
        </w:r>
      </w:hyperlink>
      <w:r>
        <w:br/>
      </w:r>
      <w:r>
        <w:t xml:space="preserve">Q 84:17 — “And [by] the night and what it envelops…”</w:t>
      </w:r>
      <w:r>
        <w:t xml:space="preserve"> </w:t>
      </w:r>
      <w:hyperlink r:id="rId34">
        <w:r>
          <w:rPr>
            <w:rStyle w:val="Hyperlink"/>
          </w:rPr>
          <w:t xml:space="preserve">[14]</w:t>
        </w:r>
      </w:hyperlink>
      <w:r>
        <w:br/>
      </w:r>
      <w:r>
        <w:t xml:space="preserve">Q 89:2 — “And [by] ten nights…”</w:t>
      </w:r>
      <w:r>
        <w:t xml:space="preserve"> </w:t>
      </w:r>
      <w:hyperlink r:id="rId35">
        <w:r>
          <w:rPr>
            <w:rStyle w:val="Hyperlink"/>
          </w:rPr>
          <w:t xml:space="preserve">[15]</w:t>
        </w:r>
      </w:hyperlink>
      <w:r>
        <w:br/>
      </w:r>
      <w:r>
        <w:t xml:space="preserve">Q 89:4 — “And [by] the night when it passes…”</w:t>
      </w:r>
      <w:r>
        <w:t xml:space="preserve"> </w:t>
      </w:r>
      <w:hyperlink r:id="rId36">
        <w:r>
          <w:rPr>
            <w:rStyle w:val="Hyperlink"/>
          </w:rPr>
          <w:t xml:space="preserve">[16]</w:t>
        </w:r>
      </w:hyperlink>
      <w:r>
        <w:br/>
      </w:r>
      <w:r>
        <w:t xml:space="preserve">Q 93:2 — “And [by] the night when it covers with darkness…”</w:t>
      </w:r>
      <w:r>
        <w:t xml:space="preserve"> </w:t>
      </w:r>
      <w:hyperlink r:id="rId37">
        <w:r>
          <w:rPr>
            <w:rStyle w:val="Hyperlink"/>
          </w:rPr>
          <w:t xml:space="preserve">[17]</w:t>
        </w:r>
      </w:hyperlink>
    </w:p>
    <w:p>
      <w:pPr>
        <w:pStyle w:val="BodyText"/>
      </w:pPr>
      <w:r>
        <w:t xml:space="preserve">Two immediate observations are structurally important. First, none of these night oaths stands alone; each sits inside a</w:t>
      </w:r>
      <w:r>
        <w:t xml:space="preserve"> </w:t>
      </w:r>
      <w:r>
        <w:rPr>
          <w:i/>
          <w:iCs/>
        </w:rPr>
        <w:t xml:space="preserve">cluster</w:t>
      </w:r>
      <w:r>
        <w:t xml:space="preserve"> </w:t>
      </w:r>
      <w:r>
        <w:t xml:space="preserve">that typically pairs night with a complementary phenomenon (day, dawn, twilight, moon phases).</w:t>
      </w:r>
      <w:r>
        <w:t xml:space="preserve"> </w:t>
      </w:r>
      <w:hyperlink r:id="rId30">
        <w:r>
          <w:rPr>
            <w:rStyle w:val="Hyperlink"/>
          </w:rPr>
          <w:t xml:space="preserve">[18]</w:t>
        </w:r>
      </w:hyperlink>
      <w:r>
        <w:t xml:space="preserve"> </w:t>
      </w:r>
      <w:r>
        <w:t xml:space="preserve">Second, the oath clusters frequently precede one of three kinds of claims: (i) moral differentiation (human “efforts” and the purified/corrupted soul), (ii) prophetic reassurance and the integrity of revelation, or (iii) eschatological certainty (warning, judgment, resurrection).</w:t>
      </w:r>
      <w:r>
        <w:t xml:space="preserve"> </w:t>
      </w:r>
      <w:hyperlink r:id="rId30">
        <w:r>
          <w:rPr>
            <w:rStyle w:val="Hyperlink"/>
          </w:rPr>
          <w:t xml:space="preserve">[19]</w:t>
        </w:r>
      </w:hyperlink>
    </w:p>
    <w:bookmarkEnd w:id="38"/>
    <w:bookmarkStart w:id="42" w:name="Xa4599ca9283ac3e9f7a5f9ce6621727e18a7ac7"/>
    <w:p>
      <w:pPr>
        <w:pStyle w:val="Heading3"/>
      </w:pPr>
      <w:r>
        <w:t xml:space="preserve">Day oaths and daylight-phase oaths parallel to the night corpus</w:t>
      </w:r>
    </w:p>
    <w:p>
      <w:pPr>
        <w:pStyle w:val="FirstParagraph"/>
      </w:pPr>
      <w:r>
        <w:t xml:space="preserve">Q 92:2 — “And [by] the day when it appears…”</w:t>
      </w:r>
      <w:r>
        <w:t xml:space="preserve"> </w:t>
      </w:r>
      <w:hyperlink r:id="rId30">
        <w:r>
          <w:rPr>
            <w:rStyle w:val="Hyperlink"/>
          </w:rPr>
          <w:t xml:space="preserve">[20]</w:t>
        </w:r>
      </w:hyperlink>
      <w:r>
        <w:br/>
      </w:r>
      <w:r>
        <w:t xml:space="preserve">Q 91:3 — “And [by] the day when it displays it…”</w:t>
      </w:r>
      <w:r>
        <w:t xml:space="preserve"> </w:t>
      </w:r>
      <w:hyperlink r:id="rId27">
        <w:r>
          <w:rPr>
            <w:rStyle w:val="Hyperlink"/>
          </w:rPr>
          <w:t xml:space="preserve">[21]</w:t>
        </w:r>
      </w:hyperlink>
      <w:r>
        <w:br/>
      </w:r>
      <w:r>
        <w:t xml:space="preserve">Q 74:34 — “And [by] the morning when it brightens…”</w:t>
      </w:r>
      <w:r>
        <w:t xml:space="preserve"> </w:t>
      </w:r>
      <w:hyperlink r:id="rId32">
        <w:r>
          <w:rPr>
            <w:rStyle w:val="Hyperlink"/>
          </w:rPr>
          <w:t xml:space="preserve">[22]</w:t>
        </w:r>
      </w:hyperlink>
      <w:r>
        <w:br/>
      </w:r>
      <w:r>
        <w:t xml:space="preserve">Q 81:18 — “And by the dawn when it breathes…”</w:t>
      </w:r>
      <w:r>
        <w:t xml:space="preserve"> </w:t>
      </w:r>
      <w:hyperlink r:id="rId33">
        <w:r>
          <w:rPr>
            <w:rStyle w:val="Hyperlink"/>
          </w:rPr>
          <w:t xml:space="preserve">[23]</w:t>
        </w:r>
      </w:hyperlink>
      <w:r>
        <w:br/>
      </w:r>
      <w:r>
        <w:t xml:space="preserve">Q 89:1 — “By the dawn…”</w:t>
      </w:r>
      <w:r>
        <w:t xml:space="preserve"> </w:t>
      </w:r>
      <w:hyperlink r:id="rId35">
        <w:r>
          <w:rPr>
            <w:rStyle w:val="Hyperlink"/>
          </w:rPr>
          <w:t xml:space="preserve">[24]</w:t>
        </w:r>
      </w:hyperlink>
      <w:r>
        <w:br/>
      </w:r>
      <w:r>
        <w:t xml:space="preserve">Q 93:1 — “By the morning brightness…”</w:t>
      </w:r>
      <w:r>
        <w:t xml:space="preserve"> </w:t>
      </w:r>
      <w:hyperlink r:id="rId39">
        <w:r>
          <w:rPr>
            <w:rStyle w:val="Hyperlink"/>
          </w:rPr>
          <w:t xml:space="preserve">[25]</w:t>
        </w:r>
      </w:hyperlink>
      <w:r>
        <w:br/>
      </w:r>
      <w:r>
        <w:t xml:space="preserve">Q 103:1 — “By time…” (often glossed as time/declining day,</w:t>
      </w:r>
      <w:r>
        <w:t xml:space="preserve"> </w:t>
      </w:r>
      <w:r>
        <w:rPr>
          <w:i/>
          <w:iCs/>
        </w:rPr>
        <w:t xml:space="preserve">al-ʿaṣr</w:t>
      </w:r>
      <w:r>
        <w:t xml:space="preserve">)</w:t>
      </w:r>
      <w:r>
        <w:t xml:space="preserve"> </w:t>
      </w:r>
      <w:hyperlink r:id="rId40">
        <w:r>
          <w:rPr>
            <w:rStyle w:val="Hyperlink"/>
          </w:rPr>
          <w:t xml:space="preserve">[26]</w:t>
        </w:r>
      </w:hyperlink>
    </w:p>
    <w:p>
      <w:pPr>
        <w:pStyle w:val="BodyText"/>
      </w:pPr>
      <w:r>
        <w:t xml:space="preserve">A liminal (boundary) oath that bridges “night and day” but is neither fully one nor the other occurs in Q 84:16: “So I swear by the twilight glow…,” directly preceding the night–moon elements and the “stage after stage” claim.</w:t>
      </w:r>
      <w:r>
        <w:t xml:space="preserve"> </w:t>
      </w:r>
      <w:hyperlink r:id="rId41">
        <w:r>
          <w:rPr>
            <w:rStyle w:val="Hyperlink"/>
          </w:rPr>
          <w:t xml:space="preserve">[27]</w:t>
        </w:r>
      </w:hyperlink>
      <w:r>
        <w:t xml:space="preserve"> </w:t>
      </w:r>
      <w:r>
        <w:t xml:space="preserve">This verse is crucial for scientific and philosophical commentary because twilight is literally the</w:t>
      </w:r>
      <w:r>
        <w:t xml:space="preserve"> </w:t>
      </w:r>
      <w:r>
        <w:rPr>
          <w:i/>
          <w:iCs/>
        </w:rPr>
        <w:t xml:space="preserve">transition regime</w:t>
      </w:r>
      <w:r>
        <w:t xml:space="preserve"> </w:t>
      </w:r>
      <w:r>
        <w:t xml:space="preserve">in which day’s scattered light yields to night’s darkness (and vice versa).</w:t>
      </w:r>
      <w:r>
        <w:t xml:space="preserve"> </w:t>
      </w:r>
      <w:hyperlink r:id="rId21">
        <w:r>
          <w:rPr>
            <w:rStyle w:val="Hyperlink"/>
          </w:rPr>
          <w:t xml:space="preserve">[28]</w:t>
        </w:r>
      </w:hyperlink>
    </w:p>
    <w:bookmarkEnd w:id="42"/>
    <w:bookmarkEnd w:id="43"/>
    <w:bookmarkStart w:id="60" w:name="Xa0108b71d5f97a1d0ead5d60be49412473c9390"/>
    <w:p>
      <w:pPr>
        <w:pStyle w:val="Heading2"/>
      </w:pPr>
      <w:r>
        <w:t xml:space="preserve">The oath–message linkage in close reading and tafsīr</w:t>
      </w:r>
    </w:p>
    <w:p>
      <w:pPr>
        <w:pStyle w:val="FirstParagraph"/>
      </w:pPr>
      <w:r>
        <w:t xml:space="preserve">The essays by Fakhr al-Din al-Razi</w:t>
      </w:r>
      <w:hyperlink r:id="rId44">
        <w:r>
          <w:rPr>
            <w:rStyle w:val="Hyperlink"/>
          </w:rPr>
          <w:t xml:space="preserve">[29]</w:t>
        </w:r>
      </w:hyperlink>
      <w:r>
        <w:t xml:space="preserve"> </w:t>
      </w:r>
      <w:r>
        <w:t xml:space="preserve">are repeatedly invoked (through later compilers) for a core interpretive principle: Qur’anic oaths are not merely decoration but are chosen to “bolster certainty” in foundational tenets such as tawḥīd and the afterlife, and the “thing sworn by” is meant to inform the “thing sworn to.”</w:t>
      </w:r>
      <w:r>
        <w:t xml:space="preserve"> </w:t>
      </w:r>
      <w:hyperlink r:id="rId45">
        <w:r>
          <w:rPr>
            <w:rStyle w:val="Hyperlink"/>
          </w:rPr>
          <w:t xml:space="preserve">[30]</w:t>
        </w:r>
      </w:hyperlink>
      <w:r>
        <w:t xml:space="preserve"> </w:t>
      </w:r>
      <w:r>
        <w:t xml:space="preserve">Even independent of that principle’s attribution, the night/day clusters themselves display a striking internal logic: the Qur’an invokes the most universally experienced natural rhythm—the alternation of light and darkness—to frame universal moral and eschatological claims.</w:t>
      </w:r>
      <w:r>
        <w:t xml:space="preserve"> </w:t>
      </w:r>
      <w:hyperlink r:id="rId45">
        <w:r>
          <w:rPr>
            <w:rStyle w:val="Hyperlink"/>
          </w:rPr>
          <w:t xml:space="preserve">[31]</w:t>
        </w:r>
      </w:hyperlink>
    </w:p>
    <w:bookmarkStart w:id="49" w:name="moral-polarity-and-human-striving"/>
    <w:p>
      <w:pPr>
        <w:pStyle w:val="Heading3"/>
      </w:pPr>
      <w:r>
        <w:t xml:space="preserve">Moral polarity and human striving</w:t>
      </w:r>
    </w:p>
    <w:p>
      <w:pPr>
        <w:pStyle w:val="FirstParagraph"/>
      </w:pPr>
      <w:r>
        <w:t xml:space="preserve">In Q 92:1–4, the oath by night (covering) and day (appearing), joined with the creation of male and female, introduces the thesis: “Indeed, your efforts are diverse.”</w:t>
      </w:r>
      <w:r>
        <w:t xml:space="preserve"> </w:t>
      </w:r>
      <w:hyperlink r:id="rId30">
        <w:r>
          <w:rPr>
            <w:rStyle w:val="Hyperlink"/>
          </w:rPr>
          <w:t xml:space="preserve">[10]</w:t>
        </w:r>
      </w:hyperlink>
      <w:r>
        <w:t xml:space="preserve"> </w:t>
      </w:r>
      <w:r>
        <w:t xml:space="preserve">Classical commentary attributed to Ibn Kathir</w:t>
      </w:r>
      <w:hyperlink r:id="rId34">
        <w:r>
          <w:rPr>
            <w:rStyle w:val="Hyperlink"/>
          </w:rPr>
          <w:t xml:space="preserve">[32]</w:t>
        </w:r>
      </w:hyperlink>
      <w:r>
        <w:t xml:space="preserve"> </w:t>
      </w:r>
      <w:r>
        <w:t xml:space="preserve">explicitly reads the natural opposites (night/day) as a rhetorical setup for human opposites (paths of giving/withholding; ease/hardship) in the surah’s later verses.</w:t>
      </w:r>
      <w:r>
        <w:t xml:space="preserve"> </w:t>
      </w:r>
      <w:hyperlink r:id="rId46">
        <w:r>
          <w:rPr>
            <w:rStyle w:val="Hyperlink"/>
          </w:rPr>
          <w:t xml:space="preserve">[33]</w:t>
        </w:r>
      </w:hyperlink>
      <w:r>
        <w:t xml:space="preserve"> </w:t>
      </w:r>
      <w:r>
        <w:t xml:space="preserve">The moral point is not that night and day “cause” ethics, but that the world itself is intelligible through contrasts—so moral life, too, is intelligible through decisive contrasts with consequences.</w:t>
      </w:r>
      <w:r>
        <w:t xml:space="preserve"> </w:t>
      </w:r>
      <w:hyperlink r:id="rId30">
        <w:r>
          <w:rPr>
            <w:rStyle w:val="Hyperlink"/>
          </w:rPr>
          <w:t xml:space="preserve">[34]</w:t>
        </w:r>
      </w:hyperlink>
    </w:p>
    <w:p>
      <w:pPr>
        <w:pStyle w:val="BodyText"/>
      </w:pPr>
      <w:r>
        <w:t xml:space="preserve">In Q 91:1–10, the oath cluster expands dramatically: sun, moon, day, night, sky, earth, and the human soul are invoked before declaring success for the soul’s purification and failure for its corruption.</w:t>
      </w:r>
      <w:r>
        <w:t xml:space="preserve"> </w:t>
      </w:r>
      <w:hyperlink r:id="rId27">
        <w:r>
          <w:rPr>
            <w:rStyle w:val="Hyperlink"/>
          </w:rPr>
          <w:t xml:space="preserve">[12]</w:t>
        </w:r>
      </w:hyperlink>
      <w:r>
        <w:t xml:space="preserve"> </w:t>
      </w:r>
      <w:r>
        <w:t xml:space="preserve">Al-Tabari</w:t>
      </w:r>
      <w:hyperlink r:id="rId47">
        <w:r>
          <w:rPr>
            <w:rStyle w:val="Hyperlink"/>
          </w:rPr>
          <w:t xml:space="preserve">[35]</w:t>
        </w:r>
      </w:hyperlink>
      <w:r>
        <w:t xml:space="preserve"> </w:t>
      </w:r>
      <w:r>
        <w:t xml:space="preserve">is reported to have transmitted early readings that interpret “the sun and its brightness” as “the sun and the daylight it causes,” explicitly tying the oath to the day–night cycle as a moral backdrop; later summaries stress that the cosmic order frames the moral order.</w:t>
      </w:r>
      <w:r>
        <w:t xml:space="preserve"> </w:t>
      </w:r>
      <w:hyperlink r:id="rId44">
        <w:r>
          <w:rPr>
            <w:rStyle w:val="Hyperlink"/>
          </w:rPr>
          <w:t xml:space="preserve">[36]</w:t>
        </w:r>
      </w:hyperlink>
    </w:p>
    <w:p>
      <w:pPr>
        <w:pStyle w:val="BodyText"/>
      </w:pPr>
      <w:r>
        <w:t xml:space="preserve">A technical exegetical point also affects interpretation: in Q 91:3 (“by the day when it displays it”), tafsīr discussions debate the referent of “it” (the pronoun). Some readings connect it to the sun (the day reveals the sun’s brightness), while others broaden it (the day illumines the world/earth), but either way the oath’s cognitive effect is disclosure: day is the regime in which things become manifest.</w:t>
      </w:r>
      <w:r>
        <w:t xml:space="preserve"> </w:t>
      </w:r>
      <w:hyperlink r:id="rId48">
        <w:r>
          <w:rPr>
            <w:rStyle w:val="Hyperlink"/>
          </w:rPr>
          <w:t xml:space="preserve">[37]</w:t>
        </w:r>
      </w:hyperlink>
      <w:r>
        <w:t xml:space="preserve"> </w:t>
      </w:r>
      <w:r>
        <w:t xml:space="preserve">Philosophically, this “manifestation” theme anticipates the surah’s moral exposure: the soul’s interiority will not remain hidden from itself (or from God) in the long run.</w:t>
      </w:r>
      <w:r>
        <w:t xml:space="preserve"> </w:t>
      </w:r>
      <w:hyperlink r:id="rId27">
        <w:r>
          <w:rPr>
            <w:rStyle w:val="Hyperlink"/>
          </w:rPr>
          <w:t xml:space="preserve">[38]</w:t>
        </w:r>
      </w:hyperlink>
    </w:p>
    <w:bookmarkEnd w:id="49"/>
    <w:bookmarkStart w:id="53" w:name="X4d6b8ed397375b0fdf0a266c29afa317858eb84"/>
    <w:p>
      <w:pPr>
        <w:pStyle w:val="Heading3"/>
      </w:pPr>
      <w:r>
        <w:t xml:space="preserve">Prophetic reassurance and the integrity of revelation</w:t>
      </w:r>
    </w:p>
    <w:p>
      <w:pPr>
        <w:pStyle w:val="FirstParagraph"/>
      </w:pPr>
      <w:r>
        <w:t xml:space="preserve">In Q 93:1–3, the Qur’an swears by the morning brightness and the still/dark night and then immediately delivers its consoling “answer”: “Your Lord has not taken leave of you… nor has He detested you.”</w:t>
      </w:r>
      <w:r>
        <w:t xml:space="preserve"> </w:t>
      </w:r>
      <w:hyperlink r:id="rId50">
        <w:r>
          <w:rPr>
            <w:rStyle w:val="Hyperlink"/>
          </w:rPr>
          <w:t xml:space="preserve">[39]</w:t>
        </w:r>
      </w:hyperlink>
      <w:r>
        <w:t xml:space="preserve"> </w:t>
      </w:r>
      <w:r>
        <w:t xml:space="preserve">An authentic contextual report in Sahih Muslim</w:t>
      </w:r>
      <w:hyperlink r:id="rId21">
        <w:r>
          <w:rPr>
            <w:rStyle w:val="Hyperlink"/>
          </w:rPr>
          <w:t xml:space="preserve">[40]</w:t>
        </w:r>
      </w:hyperlink>
      <w:r>
        <w:t xml:space="preserve"> </w:t>
      </w:r>
      <w:r>
        <w:t xml:space="preserve">and Bukhari links the verses to a period in which revelation paused and the Prophet was taunted—after which the oath–consolation sequence functions as both reassurance and public vindication.</w:t>
      </w:r>
      <w:r>
        <w:t xml:space="preserve"> </w:t>
      </w:r>
      <w:hyperlink r:id="rId51">
        <w:r>
          <w:rPr>
            <w:rStyle w:val="Hyperlink"/>
          </w:rPr>
          <w:t xml:space="preserve">[41]</w:t>
        </w:r>
      </w:hyperlink>
      <w:r>
        <w:t xml:space="preserve"> </w:t>
      </w:r>
      <w:r>
        <w:t xml:space="preserve">The narrator Jundub bin Sufyan</w:t>
      </w:r>
      <w:hyperlink r:id="rId23">
        <w:r>
          <w:rPr>
            <w:rStyle w:val="Hyperlink"/>
          </w:rPr>
          <w:t xml:space="preserve">[42]</w:t>
        </w:r>
      </w:hyperlink>
      <w:r>
        <w:t xml:space="preserve"> </w:t>
      </w:r>
      <w:r>
        <w:t xml:space="preserve">frames the incident in explicitly oath-shaped terms: the natural rhythm (forenoon/night) introduces the claim about divine non-abandonment.</w:t>
      </w:r>
      <w:r>
        <w:t xml:space="preserve"> </w:t>
      </w:r>
      <w:hyperlink r:id="rId52">
        <w:r>
          <w:rPr>
            <w:rStyle w:val="Hyperlink"/>
          </w:rPr>
          <w:t xml:space="preserve">[43]</w:t>
        </w:r>
      </w:hyperlink>
    </w:p>
    <w:p>
      <w:pPr>
        <w:pStyle w:val="BodyText"/>
      </w:pPr>
      <w:r>
        <w:t xml:space="preserve">In Q 81:17–23, the oath by night closing in and dawn “breathing” (followed by a sequence about the Qur’an being conveyed by a noble messenger and the Prophet not being “mad”) makes the oath–message linkage unusually direct: the oath leads to a claim about revelation’s authenticity and the Prophet’s reliability.</w:t>
      </w:r>
      <w:r>
        <w:t xml:space="preserve"> </w:t>
      </w:r>
      <w:hyperlink r:id="rId33">
        <w:r>
          <w:rPr>
            <w:rStyle w:val="Hyperlink"/>
          </w:rPr>
          <w:t xml:space="preserve">[13]</w:t>
        </w:r>
      </w:hyperlink>
      <w:r>
        <w:t xml:space="preserve"> </w:t>
      </w:r>
      <w:r>
        <w:t xml:space="preserve">The dawn image is especially apt: dawn is when shapes return, horizons clarify, and the mind transitions from night’s uncertainty to day’s intelligibility—mirroring the passage’s insistence that what is being delivered is not the obscurity of soothsaying but a clear transmission.</w:t>
      </w:r>
      <w:r>
        <w:t xml:space="preserve"> </w:t>
      </w:r>
      <w:hyperlink r:id="rId33">
        <w:r>
          <w:rPr>
            <w:rStyle w:val="Hyperlink"/>
          </w:rPr>
          <w:t xml:space="preserve">[44]</w:t>
        </w:r>
      </w:hyperlink>
      <w:r>
        <w:t xml:space="preserve"> </w:t>
      </w:r>
      <w:r>
        <w:t xml:space="preserve">Prophet Muhammad</w:t>
      </w:r>
      <w:hyperlink r:id="rId39">
        <w:r>
          <w:rPr>
            <w:rStyle w:val="Hyperlink"/>
          </w:rPr>
          <w:t xml:space="preserve">[45]</w:t>
        </w:r>
      </w:hyperlink>
      <w:r>
        <w:t xml:space="preserve"> </w:t>
      </w:r>
      <w:r>
        <w:t xml:space="preserve">is then referenced only as “your companion,” a rhetorical strategy that simultaneously familiarizes and defends him: the community knows him; therefore the charge of madness collapses under ordinary social knowledge.</w:t>
      </w:r>
      <w:r>
        <w:t xml:space="preserve"> </w:t>
      </w:r>
      <w:hyperlink r:id="rId33">
        <w:r>
          <w:rPr>
            <w:rStyle w:val="Hyperlink"/>
          </w:rPr>
          <w:t xml:space="preserve">[13]</w:t>
        </w:r>
      </w:hyperlink>
    </w:p>
    <w:bookmarkEnd w:id="53"/>
    <w:bookmarkStart w:id="59" w:name="X0f355f07973606ef1abca8d6bcc35ae0d6de2cf"/>
    <w:p>
      <w:pPr>
        <w:pStyle w:val="Heading3"/>
      </w:pPr>
      <w:r>
        <w:t xml:space="preserve">Eschatological certainty and moral accountability</w:t>
      </w:r>
    </w:p>
    <w:p>
      <w:pPr>
        <w:pStyle w:val="FirstParagraph"/>
      </w:pPr>
      <w:r>
        <w:t xml:space="preserve">In Q 74:32–38, the Qur’an swears by the moon, the departing night, and the brightening morning, then declares: “Indeed, the Fire is of the greatest [afflictions]—as a warning to humanity…”</w:t>
      </w:r>
      <w:r>
        <w:t xml:space="preserve"> </w:t>
      </w:r>
      <w:hyperlink r:id="rId32">
        <w:r>
          <w:rPr>
            <w:rStyle w:val="Hyperlink"/>
          </w:rPr>
          <w:t xml:space="preserve">[11]</w:t>
        </w:r>
      </w:hyperlink>
      <w:r>
        <w:t xml:space="preserve"> </w:t>
      </w:r>
      <w:r>
        <w:t xml:space="preserve">Here, the oath cluster’s “answer” functions as eschatological shock: the moral universe is not a closed system of impunity; there is a “great” reality ahead that matches the greatness of the invoked cosmic signs.</w:t>
      </w:r>
      <w:r>
        <w:t xml:space="preserve"> </w:t>
      </w:r>
      <w:hyperlink r:id="rId32">
        <w:r>
          <w:rPr>
            <w:rStyle w:val="Hyperlink"/>
          </w:rPr>
          <w:t xml:space="preserve">[46]</w:t>
        </w:r>
      </w:hyperlink>
      <w:r>
        <w:t xml:space="preserve"> </w:t>
      </w:r>
      <w:r>
        <w:t xml:space="preserve">Classical tafsīr on this passage explicitly identifies “it” as the Hellfire and reads the oaths as a prelude that forces attention before the warning lands.</w:t>
      </w:r>
      <w:r>
        <w:t xml:space="preserve"> </w:t>
      </w:r>
      <w:hyperlink r:id="rId54">
        <w:r>
          <w:rPr>
            <w:rStyle w:val="Hyperlink"/>
          </w:rPr>
          <w:t xml:space="preserve">[47]</w:t>
        </w:r>
      </w:hyperlink>
    </w:p>
    <w:p>
      <w:pPr>
        <w:pStyle w:val="BodyText"/>
      </w:pPr>
      <w:r>
        <w:t xml:space="preserve">In Q 84:16–19, the Qur’an swears successively by twilight glow, night and what it envelops, and the moon when full, then states: “You will surely experience state after state.”</w:t>
      </w:r>
      <w:r>
        <w:t xml:space="preserve"> </w:t>
      </w:r>
      <w:hyperlink r:id="rId55">
        <w:r>
          <w:rPr>
            <w:rStyle w:val="Hyperlink"/>
          </w:rPr>
          <w:t xml:space="preserve">[48]</w:t>
        </w:r>
      </w:hyperlink>
      <w:r>
        <w:t xml:space="preserve"> </w:t>
      </w:r>
      <w:r>
        <w:t xml:space="preserve">Tafsīr summarizes the oath’s logic as an argument from observed “vicissitudes” (twilight’s change, night’s gathering, the moon’s phases) to the certainty of human transition—ultimately, the transition into judgment and beyond.</w:t>
      </w:r>
      <w:r>
        <w:t xml:space="preserve"> </w:t>
      </w:r>
      <w:hyperlink r:id="rId56">
        <w:r>
          <w:rPr>
            <w:rStyle w:val="Hyperlink"/>
          </w:rPr>
          <w:t xml:space="preserve">[49]</w:t>
        </w:r>
      </w:hyperlink>
      <w:r>
        <w:t xml:space="preserve"> </w:t>
      </w:r>
      <w:r>
        <w:t xml:space="preserve">This is an explicitly analogical eschatology: if the cosmos is patterned by stages, and God governs those stages, then the human journey is not exempt from staged unfolding toward its appointed terminus.</w:t>
      </w:r>
      <w:r>
        <w:t xml:space="preserve"> </w:t>
      </w:r>
      <w:hyperlink r:id="rId56">
        <w:r>
          <w:rPr>
            <w:rStyle w:val="Hyperlink"/>
          </w:rPr>
          <w:t xml:space="preserve">[50]</w:t>
        </w:r>
      </w:hyperlink>
    </w:p>
    <w:p>
      <w:pPr>
        <w:pStyle w:val="BodyText"/>
      </w:pPr>
      <w:r>
        <w:t xml:space="preserve">In Q 89:1–5, the oath by dawn, ten nights, even/odd, and the passing night ends with a rhetorical question: “Is there not in all that an oath [sufficient] for one of perception?”</w:t>
      </w:r>
      <w:r>
        <w:t xml:space="preserve"> </w:t>
      </w:r>
      <w:hyperlink r:id="rId35">
        <w:r>
          <w:rPr>
            <w:rStyle w:val="Hyperlink"/>
          </w:rPr>
          <w:t xml:space="preserve">[51]</w:t>
        </w:r>
      </w:hyperlink>
      <w:r>
        <w:t xml:space="preserve"> </w:t>
      </w:r>
      <w:r>
        <w:t xml:space="preserve">Tafsīr notes that “the night when it passes” can be read as the night “traveling” or departing, reinforcing the sense of time’s unstoppable motion—after which the surah moves to historical judgments on past peoples and then to ultimate accountability.</w:t>
      </w:r>
      <w:r>
        <w:t xml:space="preserve"> </w:t>
      </w:r>
      <w:hyperlink r:id="rId57">
        <w:r>
          <w:rPr>
            <w:rStyle w:val="Hyperlink"/>
          </w:rPr>
          <w:t xml:space="preserve">[52]</w:t>
        </w:r>
      </w:hyperlink>
      <w:r>
        <w:t xml:space="preserve"> </w:t>
      </w:r>
      <w:r>
        <w:t xml:space="preserve">The oath’s function, then, is not merely to “decorate” the dawn and the nights, but to confront the listener: if you grasp the certainty of these rhythms, how can you deny the certainty of moral reckoning?</w:t>
      </w:r>
      <w:r>
        <w:t xml:space="preserve"> </w:t>
      </w:r>
      <w:hyperlink r:id="rId58">
        <w:r>
          <w:rPr>
            <w:rStyle w:val="Hyperlink"/>
          </w:rPr>
          <w:t xml:space="preserve">[53]</w:t>
        </w:r>
      </w:hyperlink>
    </w:p>
    <w:bookmarkEnd w:id="59"/>
    <w:bookmarkEnd w:id="60"/>
    <w:bookmarkStart w:id="69" w:name="Xb020b96eeba811235554048cb5c01f8580c7fd7"/>
    <w:p>
      <w:pPr>
        <w:pStyle w:val="Heading2"/>
      </w:pPr>
      <w:r>
        <w:t xml:space="preserve">Scientific commentary on night and day as “signs” and the oath’s empirical substrate</w:t>
      </w:r>
    </w:p>
    <w:p>
      <w:pPr>
        <w:pStyle w:val="FirstParagraph"/>
      </w:pPr>
      <w:r>
        <w:t xml:space="preserve">The physical foundation of the night/day polarity is Earth’s rotation: when a location faces the Sun it is day, and as Earth rotates that location turns away and experiences night.</w:t>
      </w:r>
      <w:r>
        <w:t xml:space="preserve"> </w:t>
      </w:r>
      <w:hyperlink r:id="rId23">
        <w:r>
          <w:rPr>
            <w:rStyle w:val="Hyperlink"/>
          </w:rPr>
          <w:t xml:space="preserve">[54]</w:t>
        </w:r>
      </w:hyperlink>
      <w:r>
        <w:t xml:space="preserve"> </w:t>
      </w:r>
      <w:r>
        <w:t xml:space="preserve">This simple mechanism yields profound downstream consequences: regular cycles of light and temperature, ecological rhythms, navigation practices, and cultural timekeeping—precisely the sort of ubiquitous, shared experience that makes night/day an ideal rhetorical substrate for an oath meant to reach every listener.</w:t>
      </w:r>
      <w:r>
        <w:t xml:space="preserve"> </w:t>
      </w:r>
      <w:hyperlink r:id="rId23">
        <w:r>
          <w:rPr>
            <w:rStyle w:val="Hyperlink"/>
          </w:rPr>
          <w:t xml:space="preserve">[55]</w:t>
        </w:r>
      </w:hyperlink>
    </w:p>
    <w:p>
      <w:pPr>
        <w:pStyle w:val="BodyText"/>
      </w:pPr>
      <w:r>
        <w:t xml:space="preserve">The Qur’an’s imagery of night/day “wrapping” and alternating resonates with the global geometry of illumination: verse 39:5 speaks of wrapping night over day and day over night while the sun and moon run to an appointed term.</w:t>
      </w:r>
      <w:r>
        <w:t xml:space="preserve"> </w:t>
      </w:r>
      <w:hyperlink r:id="rId61">
        <w:r>
          <w:rPr>
            <w:rStyle w:val="Hyperlink"/>
          </w:rPr>
          <w:t xml:space="preserve">[56]</w:t>
        </w:r>
      </w:hyperlink>
      <w:r>
        <w:t xml:space="preserve"> </w:t>
      </w:r>
      <w:r>
        <w:t xml:space="preserve">From a scientific standpoint, the “wrap” metaphor naturally evokes a spherical body under directional illumination (a lit hemisphere and a dark hemisphere) without requiring the verse to function as a technical astronomy lesson.</w:t>
      </w:r>
      <w:r>
        <w:t xml:space="preserve"> </w:t>
      </w:r>
      <w:hyperlink r:id="rId23">
        <w:r>
          <w:rPr>
            <w:rStyle w:val="Hyperlink"/>
          </w:rPr>
          <w:t xml:space="preserve">[57]</w:t>
        </w:r>
      </w:hyperlink>
    </w:p>
    <w:p>
      <w:pPr>
        <w:pStyle w:val="BodyText"/>
      </w:pPr>
      <w:r>
        <w:t xml:space="preserve">Seasonal and latitudinal variation further enriches the lived meaning of “night” and “day.” Earth’s axial tilt (about 23.5°) is central to why day length and solar angle vary through the year, producing seasons and phenomena like long summer days and long winter nights at higher latitudes.</w:t>
      </w:r>
      <w:r>
        <w:t xml:space="preserve"> </w:t>
      </w:r>
      <w:hyperlink r:id="rId62">
        <w:r>
          <w:rPr>
            <w:rStyle w:val="Hyperlink"/>
          </w:rPr>
          <w:t xml:space="preserve">[58]</w:t>
        </w:r>
      </w:hyperlink>
      <w:r>
        <w:t xml:space="preserve"> </w:t>
      </w:r>
      <w:r>
        <w:t xml:space="preserve">This scientific variability helps explain why Qur’anic language about night/day can sustain both ordinary daily meanings and intensified existential meanings: for some communities, “night” and “day” can become extended conditions approaching months, magnifying their symbolic power as conditions of concealment or disclosure.</w:t>
      </w:r>
      <w:r>
        <w:t xml:space="preserve"> </w:t>
      </w:r>
      <w:hyperlink r:id="rId63">
        <w:r>
          <w:rPr>
            <w:rStyle w:val="Hyperlink"/>
          </w:rPr>
          <w:t xml:space="preserve">[59]</w:t>
        </w:r>
      </w:hyperlink>
    </w:p>
    <w:p>
      <w:pPr>
        <w:pStyle w:val="BodyText"/>
      </w:pPr>
      <w:r>
        <w:t xml:space="preserve">Twilight—explicitly invoked in Q 84:16—has a precise scientific sense: it is the interval before sunrise and after sunset when the atmosphere is partially illuminated by scattered sunlight, and it is classified (civil/nautical/astronomical) by how far the Sun lies below the horizon.</w:t>
      </w:r>
      <w:r>
        <w:t xml:space="preserve"> </w:t>
      </w:r>
      <w:hyperlink r:id="rId21">
        <w:r>
          <w:rPr>
            <w:rStyle w:val="Hyperlink"/>
          </w:rPr>
          <w:t xml:space="preserve">[60]</w:t>
        </w:r>
      </w:hyperlink>
      <w:r>
        <w:t xml:space="preserve"> </w:t>
      </w:r>
      <w:r>
        <w:t xml:space="preserve">The oath’s choice of twilight is therefore scientifically apt for its eschatological argument: twilight is neither day nor night but an ordered transition, and Q 84:16–19 uses that transitional ordering to underline that humans, too, will pass through ordered transitions (“state after state”).</w:t>
      </w:r>
      <w:r>
        <w:t xml:space="preserve"> </w:t>
      </w:r>
      <w:hyperlink r:id="rId55">
        <w:r>
          <w:rPr>
            <w:rStyle w:val="Hyperlink"/>
          </w:rPr>
          <w:t xml:space="preserve">[61]</w:t>
        </w:r>
      </w:hyperlink>
    </w:p>
    <w:p>
      <w:pPr>
        <w:pStyle w:val="BodyText"/>
      </w:pPr>
      <w:r>
        <w:t xml:space="preserve">The moon’s role in these oath clusters is also physically grounded. The Moon’s phases are a consequence of changing geometry; “moonlight” is reflected sunlight, and a full Moon rises around sunset, meaning it strongly shapes the brightness of night.</w:t>
      </w:r>
      <w:r>
        <w:t xml:space="preserve"> </w:t>
      </w:r>
      <w:hyperlink r:id="rId64">
        <w:r>
          <w:rPr>
            <w:rStyle w:val="Hyperlink"/>
          </w:rPr>
          <w:t xml:space="preserve">[62]</w:t>
        </w:r>
      </w:hyperlink>
      <w:r>
        <w:t xml:space="preserve"> </w:t>
      </w:r>
      <w:r>
        <w:t xml:space="preserve">This supplies a natural explanation for why Q 84 pairs night with the full moon in an argument about recognizable stages: the sky itself “teaches” phased growth and decline in a way that is perceptible without instruments.</w:t>
      </w:r>
      <w:r>
        <w:t xml:space="preserve"> </w:t>
      </w:r>
      <w:hyperlink r:id="rId65">
        <w:r>
          <w:rPr>
            <w:rStyle w:val="Hyperlink"/>
          </w:rPr>
          <w:t xml:space="preserve">[63]</w:t>
        </w:r>
      </w:hyperlink>
    </w:p>
    <w:p>
      <w:pPr>
        <w:pStyle w:val="BodyText"/>
      </w:pPr>
      <w:r>
        <w:t xml:space="preserve">Biology deepens the connection. Modern chronobiology finds that the daily light–dark cycle governs rhythmic changes in behavior and physiology across species; in mammals, a central biological clock is located in the suprachiasmatic nuclei, and circadian rhythms can be entrained to light yet persist endogenously.</w:t>
      </w:r>
      <w:r>
        <w:t xml:space="preserve"> </w:t>
      </w:r>
      <w:hyperlink r:id="rId47">
        <w:r>
          <w:rPr>
            <w:rStyle w:val="Hyperlink"/>
          </w:rPr>
          <w:t xml:space="preserve">[64]</w:t>
        </w:r>
      </w:hyperlink>
      <w:r>
        <w:t xml:space="preserve"> </w:t>
      </w:r>
      <w:r>
        <w:t xml:space="preserve">That scientific picture aligns with Qur’anic depictions of night as a “rest” regime and day as an “activity/seeing” regime (e.g., 10:67; 78:11), showing how a single astronomical fact becomes a multi-layered sign in physiology and social life.</w:t>
      </w:r>
      <w:r>
        <w:t xml:space="preserve"> </w:t>
      </w:r>
      <w:hyperlink r:id="rId66">
        <w:r>
          <w:rPr>
            <w:rStyle w:val="Hyperlink"/>
          </w:rPr>
          <w:t xml:space="preserve">[65]</w:t>
        </w:r>
      </w:hyperlink>
    </w:p>
    <w:p>
      <w:pPr>
        <w:pStyle w:val="BodyText"/>
      </w:pPr>
      <w:r>
        <w:t xml:space="preserve">Finally, the “science-and-signs” theme is central in the referenced essays: they propose that scientific discovery—done responsibly—need not compete with revelation but can be read as deeper acquaintance with the very phenomena the Qur’an calls to testify. The metaphor of two coherent “books,” nature and scripture, is explicitly stated.</w:t>
      </w:r>
      <w:r>
        <w:t xml:space="preserve"> </w:t>
      </w:r>
      <w:hyperlink r:id="rId67">
        <w:r>
          <w:rPr>
            <w:rStyle w:val="Hyperlink"/>
          </w:rPr>
          <w:t xml:space="preserve">[66]</w:t>
        </w:r>
      </w:hyperlink>
      <w:r>
        <w:t xml:space="preserve"> </w:t>
      </w:r>
      <w:r>
        <w:t xml:space="preserve">In that spirit, the essays also invoke the Nobel Prize</w:t>
      </w:r>
      <w:hyperlink r:id="rId29">
        <w:r>
          <w:rPr>
            <w:rStyle w:val="Hyperlink"/>
          </w:rPr>
          <w:t xml:space="preserve">[67]</w:t>
        </w:r>
      </w:hyperlink>
      <w:r>
        <w:t xml:space="preserve"> </w:t>
      </w:r>
      <w:r>
        <w:t xml:space="preserve">as symbolic of how modern science repeatedly uncovers order worth “praise,” though the theological inference (praise of the Creator) remains a philosophical stance rather than a forced scientific conclusion.</w:t>
      </w:r>
      <w:r>
        <w:t xml:space="preserve"> </w:t>
      </w:r>
      <w:hyperlink r:id="rId68">
        <w:r>
          <w:rPr>
            <w:rStyle w:val="Hyperlink"/>
          </w:rPr>
          <w:t xml:space="preserve">[68]</w:t>
        </w:r>
      </w:hyperlink>
    </w:p>
    <w:bookmarkEnd w:id="69"/>
    <w:bookmarkStart w:id="71" w:name="philosophical-and-theological-commentary"/>
    <w:p>
      <w:pPr>
        <w:pStyle w:val="Heading2"/>
      </w:pPr>
      <w:r>
        <w:t xml:space="preserve">Philosophical and theological commentary</w:t>
      </w:r>
    </w:p>
    <w:p>
      <w:pPr>
        <w:pStyle w:val="FirstParagraph"/>
      </w:pPr>
      <w:r>
        <w:t xml:space="preserve">Philosophically, night and day supply a universal grammar of</w:t>
      </w:r>
      <w:r>
        <w:t xml:space="preserve"> </w:t>
      </w:r>
      <w:r>
        <w:rPr>
          <w:b/>
          <w:bCs/>
        </w:rPr>
        <w:t xml:space="preserve">concealment and disclosure</w:t>
      </w:r>
      <w:r>
        <w:t xml:space="preserve">. Night “covers” (92:1; 93:2), while day “appears/displays” (92:2; 91:3).</w:t>
      </w:r>
      <w:r>
        <w:t xml:space="preserve"> </w:t>
      </w:r>
      <w:hyperlink r:id="rId30">
        <w:r>
          <w:rPr>
            <w:rStyle w:val="Hyperlink"/>
          </w:rPr>
          <w:t xml:space="preserve">[69]</w:t>
        </w:r>
      </w:hyperlink>
      <w:r>
        <w:t xml:space="preserve"> </w:t>
      </w:r>
      <w:r>
        <w:t xml:space="preserve">The Qur’an then leverages that grammar in three directions: (1) moral epistemology (you can’t indefinitely hide what you are becoming), (2) prophetic epistemology (revelation is not delirium but clarity), and (3) eschatological epistemology (the final disclosure is not avoidable).</w:t>
      </w:r>
      <w:r>
        <w:t xml:space="preserve"> </w:t>
      </w:r>
      <w:hyperlink r:id="rId33">
        <w:r>
          <w:rPr>
            <w:rStyle w:val="Hyperlink"/>
          </w:rPr>
          <w:t xml:space="preserve">[70]</w:t>
        </w:r>
      </w:hyperlink>
    </w:p>
    <w:p>
      <w:pPr>
        <w:pStyle w:val="BodyText"/>
      </w:pPr>
      <w:r>
        <w:t xml:space="preserve">Theologically, these oaths function within a doctrine of signs (</w:t>
      </w:r>
      <w:r>
        <w:rPr>
          <w:i/>
          <w:iCs/>
        </w:rPr>
        <w:t xml:space="preserve">āyāt</w:t>
      </w:r>
      <w:r>
        <w:t xml:space="preserve">). Q 41:37 explicitly names night and day among God’s signs and, crucially, blocks the move from “revered sign” to “worshiped object”: do not prostrate to sun or moon, but to God who created them.</w:t>
      </w:r>
      <w:r>
        <w:t xml:space="preserve"> </w:t>
      </w:r>
      <w:hyperlink r:id="rId29">
        <w:r>
          <w:rPr>
            <w:rStyle w:val="Hyperlink"/>
          </w:rPr>
          <w:t xml:space="preserve">[71]</w:t>
        </w:r>
      </w:hyperlink>
      <w:r>
        <w:t xml:space="preserve"> </w:t>
      </w:r>
      <w:r>
        <w:t xml:space="preserve">This provides an internal Qur’anic rule for interpreting oaths by creation: they heighten attention and reverence toward the sign</w:t>
      </w:r>
      <w:r>
        <w:t xml:space="preserve"> </w:t>
      </w:r>
      <w:r>
        <w:rPr>
          <w:i/>
          <w:iCs/>
        </w:rPr>
        <w:t xml:space="preserve">as sign</w:t>
      </w:r>
      <w:r>
        <w:t xml:space="preserve">, not toward the sign as a rival divinity.</w:t>
      </w:r>
      <w:r>
        <w:t xml:space="preserve"> </w:t>
      </w:r>
      <w:hyperlink r:id="rId29">
        <w:r>
          <w:rPr>
            <w:rStyle w:val="Hyperlink"/>
          </w:rPr>
          <w:t xml:space="preserve">[72]</w:t>
        </w:r>
      </w:hyperlink>
    </w:p>
    <w:p>
      <w:pPr>
        <w:pStyle w:val="BodyText"/>
      </w:pPr>
      <w:r>
        <w:t xml:space="preserve">That same internal rule clarifies a common question: if humans should swear only by God, why does God swear by creation? The answer repeatedly emphasized in the referenced essays is not “because God needs to persuade,” but because swearing by creation rhetorically</w:t>
      </w:r>
      <w:r>
        <w:t xml:space="preserve"> </w:t>
      </w:r>
      <w:r>
        <w:rPr>
          <w:b/>
          <w:bCs/>
        </w:rPr>
        <w:t xml:space="preserve">elevates</w:t>
      </w:r>
      <w:r>
        <w:t xml:space="preserve"> </w:t>
      </w:r>
      <w:r>
        <w:t xml:space="preserve">the created phenomenon as testimony and simultaneously</w:t>
      </w:r>
      <w:r>
        <w:t xml:space="preserve"> </w:t>
      </w:r>
      <w:r>
        <w:rPr>
          <w:b/>
          <w:bCs/>
        </w:rPr>
        <w:t xml:space="preserve">connects</w:t>
      </w:r>
      <w:r>
        <w:t xml:space="preserve"> </w:t>
      </w:r>
      <w:r>
        <w:t xml:space="preserve">it to the ensuing doctrine (tawḥīd, resurrection, revelation).</w:t>
      </w:r>
      <w:r>
        <w:t xml:space="preserve"> </w:t>
      </w:r>
      <w:hyperlink r:id="rId22">
        <w:r>
          <w:rPr>
            <w:rStyle w:val="Hyperlink"/>
          </w:rPr>
          <w:t xml:space="preserve">[73]</w:t>
        </w:r>
      </w:hyperlink>
      <w:r>
        <w:t xml:space="preserve"> </w:t>
      </w:r>
      <w:r>
        <w:t xml:space="preserve">The human-only-by-God rule (as in Bukhari) then functions as a safeguard: created things can be witnesses, not deities.</w:t>
      </w:r>
      <w:r>
        <w:t xml:space="preserve"> </w:t>
      </w:r>
      <w:hyperlink r:id="rId28">
        <w:r>
          <w:rPr>
            <w:rStyle w:val="Hyperlink"/>
          </w:rPr>
          <w:t xml:space="preserve">[74]</w:t>
        </w:r>
      </w:hyperlink>
    </w:p>
    <w:p>
      <w:pPr>
        <w:pStyle w:val="BodyText"/>
      </w:pPr>
      <w:r>
        <w:t xml:space="preserve">A further theological move is</w:t>
      </w:r>
      <w:r>
        <w:t xml:space="preserve"> </w:t>
      </w:r>
      <w:r>
        <w:rPr>
          <w:b/>
          <w:bCs/>
        </w:rPr>
        <w:t xml:space="preserve">analogical argument for resurrection</w:t>
      </w:r>
      <w:r>
        <w:t xml:space="preserve">. In the essays’ idiom, the permanence and regularity of natural law become a metaphor for the certainty of divine promise: dawn comes reliably after night, so the “Day of accounting” is framed as no less inevitable in the moral order than sunrise is in the physical order.</w:t>
      </w:r>
      <w:r>
        <w:t xml:space="preserve"> </w:t>
      </w:r>
      <w:hyperlink r:id="rId22">
        <w:r>
          <w:rPr>
            <w:rStyle w:val="Hyperlink"/>
          </w:rPr>
          <w:t xml:space="preserve">[75]</w:t>
        </w:r>
      </w:hyperlink>
      <w:r>
        <w:t xml:space="preserve"> </w:t>
      </w:r>
      <w:r>
        <w:t xml:space="preserve">The Qur’an itself sometimes invites this style of inference: it makes night and day “two signs” and links them to time-counting and accountability (17:12), and it calls the succession of night and day a provision “for whoever desires to remember or to be grateful” (25:62).</w:t>
      </w:r>
      <w:r>
        <w:t xml:space="preserve"> </w:t>
      </w:r>
      <w:hyperlink r:id="rId70">
        <w:r>
          <w:rPr>
            <w:rStyle w:val="Hyperlink"/>
          </w:rPr>
          <w:t xml:space="preserve">[76]</w:t>
        </w:r>
      </w:hyperlink>
    </w:p>
    <w:p>
      <w:pPr>
        <w:pStyle w:val="BodyText"/>
      </w:pPr>
      <w:r>
        <w:t xml:space="preserve">Historically and literarily, Angelika Neuwirth</w:t>
      </w:r>
      <w:hyperlink r:id="rId63">
        <w:r>
          <w:rPr>
            <w:rStyle w:val="Hyperlink"/>
          </w:rPr>
          <w:t xml:space="preserve">[77]</w:t>
        </w:r>
      </w:hyperlink>
      <w:r>
        <w:t xml:space="preserve"> </w:t>
      </w:r>
      <w:r>
        <w:t xml:space="preserve">describes Qur’anic oath clusters as participating in an ancient Arabic convention of style (the “discourse of the seer”), now filled out and redirected toward a biblically saturated monotheistic message.</w:t>
      </w:r>
      <w:r>
        <w:t xml:space="preserve"> </w:t>
      </w:r>
      <w:hyperlink r:id="rId25">
        <w:r>
          <w:rPr>
            <w:rStyle w:val="Hyperlink"/>
          </w:rPr>
          <w:t xml:space="preserve">[78]</w:t>
        </w:r>
      </w:hyperlink>
      <w:r>
        <w:t xml:space="preserve"> </w:t>
      </w:r>
      <w:r>
        <w:t xml:space="preserve">This matters philosophically: the Qur’an is not using oaths in a vacuum; it is transforming a known rhetorical technology into a vehicle for monotheism, moral demand, and eschatological warning.</w:t>
      </w:r>
      <w:r>
        <w:t xml:space="preserve"> </w:t>
      </w:r>
      <w:hyperlink r:id="rId25">
        <w:r>
          <w:rPr>
            <w:rStyle w:val="Hyperlink"/>
          </w:rPr>
          <w:t xml:space="preserve">[79]</w:t>
        </w:r>
      </w:hyperlink>
    </w:p>
    <w:p>
      <w:pPr>
        <w:pStyle w:val="BodyText"/>
      </w:pPr>
      <w:r>
        <w:t xml:space="preserve">Finally, the “book of nature / book of scripture” synthesis offered by NASA</w:t>
      </w:r>
      <w:hyperlink r:id="rId29">
        <w:r>
          <w:rPr>
            <w:rStyle w:val="Hyperlink"/>
          </w:rPr>
          <w:t xml:space="preserve">[80]</w:t>
        </w:r>
      </w:hyperlink>
      <w:r>
        <w:t xml:space="preserve">-style astronomy and modern biology can be situated within classic philosophy of religion as an argument from intelligibility: the world’s lawful structure makes it cognitively hospitable, and that hospitability can be read (theologically) as a gift that enables guidance and accountability rather than as a brute accident. The essays explicitly advocate using “well-established scientific fact” to</w:t>
      </w:r>
      <w:r>
        <w:t xml:space="preserve"> </w:t>
      </w:r>
      <w:r>
        <w:rPr>
          <w:i/>
          <w:iCs/>
        </w:rPr>
        <w:t xml:space="preserve">enrich</w:t>
      </w:r>
      <w:r>
        <w:t xml:space="preserve"> </w:t>
      </w:r>
      <w:r>
        <w:t xml:space="preserve">tafsīr while keeping the Qur’an’s primary aim—moral and spiritual direction—foregrounded.</w:t>
      </w:r>
      <w:r>
        <w:t xml:space="preserve"> </w:t>
      </w:r>
      <w:hyperlink r:id="rId45">
        <w:r>
          <w:rPr>
            <w:rStyle w:val="Hyperlink"/>
          </w:rPr>
          <w:t xml:space="preserve">[81]</w:t>
        </w:r>
      </w:hyperlink>
    </w:p>
    <w:bookmarkEnd w:id="71"/>
    <w:bookmarkStart w:id="72" w:name="thematic-epilogue"/>
    <w:p>
      <w:pPr>
        <w:pStyle w:val="Heading2"/>
      </w:pPr>
      <w:r>
        <w:t xml:space="preserve">Thematic epilogue</w:t>
      </w:r>
    </w:p>
    <w:p>
      <w:pPr>
        <w:pStyle w:val="FirstParagraph"/>
      </w:pPr>
      <w:r>
        <w:t xml:space="preserve">Across the collected passages, “night” and “day” are not mere timestamps; they are cosmic pedagogy. The Qur’an repeatedly calls the listener to notice that the most ordinary experience—darkness giving way to light, light giving way to darkness—is simultaneously (i) an empirical regularity, (ii) a moral metaphor, and (iii) a theological witness.</w:t>
      </w:r>
      <w:r>
        <w:t xml:space="preserve"> </w:t>
      </w:r>
      <w:hyperlink r:id="rId23">
        <w:r>
          <w:rPr>
            <w:rStyle w:val="Hyperlink"/>
          </w:rPr>
          <w:t xml:space="preserve">[82]</w:t>
        </w:r>
      </w:hyperlink>
    </w:p>
    <w:p>
      <w:pPr>
        <w:pStyle w:val="BodyText"/>
      </w:pPr>
      <w:r>
        <w:t xml:space="preserve">Seen as a unified set, the night/day oaths accomplish three intertwined tasks. First, they</w:t>
      </w:r>
      <w:r>
        <w:t xml:space="preserve"> </w:t>
      </w:r>
      <w:r>
        <w:rPr>
          <w:b/>
          <w:bCs/>
        </w:rPr>
        <w:t xml:space="preserve">anchor doctrine in shared perception</w:t>
      </w:r>
      <w:r>
        <w:t xml:space="preserve">: no one needs elite education to understand night covering or dawn breaking, so the oath can reach the skeptic and the saint alike.</w:t>
      </w:r>
      <w:r>
        <w:t xml:space="preserve"> </w:t>
      </w:r>
      <w:hyperlink r:id="rId45">
        <w:r>
          <w:rPr>
            <w:rStyle w:val="Hyperlink"/>
          </w:rPr>
          <w:t xml:space="preserve">[83]</w:t>
        </w:r>
      </w:hyperlink>
      <w:r>
        <w:t xml:space="preserve"> </w:t>
      </w:r>
      <w:r>
        <w:t xml:space="preserve">Second, they</w:t>
      </w:r>
      <w:r>
        <w:t xml:space="preserve"> </w:t>
      </w:r>
      <w:r>
        <w:rPr>
          <w:b/>
          <w:bCs/>
        </w:rPr>
        <w:t xml:space="preserve">translate cosmology into conscience</w:t>
      </w:r>
      <w:r>
        <w:t xml:space="preserve">: the same world that teaches contrast (night/day) teaches moral contrast (purified/corrupted; giving/withholding), and the surahs exploit that resonance to demand ethical seriousness.</w:t>
      </w:r>
      <w:r>
        <w:t xml:space="preserve"> </w:t>
      </w:r>
      <w:hyperlink r:id="rId27">
        <w:r>
          <w:rPr>
            <w:rStyle w:val="Hyperlink"/>
          </w:rPr>
          <w:t xml:space="preserve">[84]</w:t>
        </w:r>
      </w:hyperlink>
      <w:r>
        <w:t xml:space="preserve"> </w:t>
      </w:r>
      <w:r>
        <w:t xml:space="preserve">Third, they</w:t>
      </w:r>
      <w:r>
        <w:t xml:space="preserve"> </w:t>
      </w:r>
      <w:r>
        <w:rPr>
          <w:b/>
          <w:bCs/>
        </w:rPr>
        <w:t xml:space="preserve">bind revelation to reality</w:t>
      </w:r>
      <w:r>
        <w:t xml:space="preserve">: dawn’s clarity becomes a figure for the clarity of trustworthy revelation (81:17–23), and the return of light after darkness becomes a figure for divine non-abandonment (93:1–3) and for the inevitability of final disclosure (74:32–38; 84:16–19; 89:1–5).</w:t>
      </w:r>
      <w:r>
        <w:t xml:space="preserve"> </w:t>
      </w:r>
      <w:hyperlink r:id="rId33">
        <w:r>
          <w:rPr>
            <w:rStyle w:val="Hyperlink"/>
          </w:rPr>
          <w:t xml:space="preserve">[85]</w:t>
        </w:r>
      </w:hyperlink>
    </w:p>
    <w:p>
      <w:pPr>
        <w:pStyle w:val="BodyText"/>
      </w:pPr>
      <w:r>
        <w:t xml:space="preserve">The deepest unifying theme—explicit in the referenced essays—is that the Qur’an recruits natural phenomena as</w:t>
      </w:r>
      <w:r>
        <w:t xml:space="preserve"> </w:t>
      </w:r>
      <w:r>
        <w:rPr>
          <w:b/>
          <w:bCs/>
        </w:rPr>
        <w:t xml:space="preserve">testimony</w:t>
      </w:r>
      <w:r>
        <w:t xml:space="preserve">, not as idols: creation is honored as a sign precisely to redirect honor to the Creator and to the truths that, by Qur’anic claim, the Creator speaks—tawḥīd, revelation, prophecy, and the ākhirah.</w:t>
      </w:r>
      <w:r>
        <w:t xml:space="preserve"> </w:t>
      </w:r>
      <w:hyperlink r:id="rId29">
        <w:r>
          <w:rPr>
            <w:rStyle w:val="Hyperlink"/>
          </w:rPr>
          <w:t xml:space="preserve">[8]</w:t>
        </w:r>
      </w:hyperlink>
    </w:p>
    <w:bookmarkEnd w:id="72"/>
    <w:bookmarkEnd w:id="73"/>
    <w:bookmarkEnd w:id="74"/>
    <w:p>
      <w:r>
        <w:pict>
          <v:rect style="width:0;height:1.5pt" o:hralign="center" o:hrstd="t" o:hr="t"/>
        </w:pict>
      </w:r>
    </w:p>
    <w:bookmarkStart w:id="75" w:name="citations"/>
    <w:p>
      <w:pPr>
        <w:pStyle w:val="FirstParagraph"/>
      </w:pPr>
      <w:hyperlink r:id="rId21">
        <w:r>
          <w:rPr>
            <w:rStyle w:val="Hyperlink"/>
          </w:rPr>
          <w:t xml:space="preserve">[1]</w:t>
        </w:r>
      </w:hyperlink>
      <w:r>
        <w:t xml:space="preserve"> </w:t>
      </w:r>
      <w:hyperlink r:id="rId21">
        <w:r>
          <w:rPr>
            <w:rStyle w:val="Hyperlink"/>
          </w:rPr>
          <w:t xml:space="preserve">[28]</w:t>
        </w:r>
      </w:hyperlink>
      <w:r>
        <w:t xml:space="preserve"> </w:t>
      </w:r>
      <w:hyperlink r:id="rId21">
        <w:r>
          <w:rPr>
            <w:rStyle w:val="Hyperlink"/>
          </w:rPr>
          <w:t xml:space="preserve">[40]</w:t>
        </w:r>
      </w:hyperlink>
      <w:r>
        <w:t xml:space="preserve"> </w:t>
      </w:r>
      <w:hyperlink r:id="rId21">
        <w:r>
          <w:rPr>
            <w:rStyle w:val="Hyperlink"/>
          </w:rPr>
          <w:t xml:space="preserve">[60]</w:t>
        </w:r>
      </w:hyperlink>
      <w:r>
        <w:t xml:space="preserve"> </w:t>
      </w:r>
      <w:r>
        <w:t xml:space="preserve">https://www.weather.gov/lmk/twilight-types</w:t>
      </w:r>
    </w:p>
    <w:p>
      <w:pPr>
        <w:pStyle w:val="BodyText"/>
      </w:pPr>
      <w:hyperlink r:id="rId21">
        <w:r>
          <w:rPr>
            <w:rStyle w:val="Hyperlink"/>
          </w:rPr>
          <w:t xml:space="preserve">https://www.weather.gov/lmk/twilight-types</w:t>
        </w:r>
      </w:hyperlink>
    </w:p>
    <w:p>
      <w:pPr>
        <w:pStyle w:val="BodyText"/>
      </w:pPr>
      <w:hyperlink r:id="rId22">
        <w:r>
          <w:rPr>
            <w:rStyle w:val="Hyperlink"/>
          </w:rPr>
          <w:t xml:space="preserve">[2]</w:t>
        </w:r>
      </w:hyperlink>
      <w:r>
        <w:t xml:space="preserve"> </w:t>
      </w:r>
      <w:hyperlink r:id="rId22">
        <w:r>
          <w:rPr>
            <w:rStyle w:val="Hyperlink"/>
          </w:rPr>
          <w:t xml:space="preserve">[73]</w:t>
        </w:r>
      </w:hyperlink>
      <w:r>
        <w:t xml:space="preserve"> </w:t>
      </w:r>
      <w:hyperlink r:id="rId22">
        <w:r>
          <w:rPr>
            <w:rStyle w:val="Hyperlink"/>
          </w:rPr>
          <w:t xml:space="preserve">[75]</w:t>
        </w:r>
      </w:hyperlink>
      <w:r>
        <w:t xml:space="preserve"> </w:t>
      </w:r>
      <w:r>
        <w:t xml:space="preserve">https://thequran.love/2025/05/19/oaths-in-the-quran-natures-testimony-to-tawhid-resurrection-and-revelation/</w:t>
      </w:r>
    </w:p>
    <w:p>
      <w:pPr>
        <w:pStyle w:val="BodyText"/>
      </w:pPr>
      <w:hyperlink r:id="rId22">
        <w:r>
          <w:rPr>
            <w:rStyle w:val="Hyperlink"/>
          </w:rPr>
          <w:t xml:space="preserve">https://thequran.love/2025/05/19/oaths-in-the-quran-natures-testimony-to-tawhid-resurrection-and-revelation/</w:t>
        </w:r>
      </w:hyperlink>
    </w:p>
    <w:p>
      <w:pPr>
        <w:pStyle w:val="BodyText"/>
      </w:pPr>
      <w:hyperlink r:id="rId23">
        <w:r>
          <w:rPr>
            <w:rStyle w:val="Hyperlink"/>
          </w:rPr>
          <w:t xml:space="preserve">[3]</w:t>
        </w:r>
      </w:hyperlink>
      <w:r>
        <w:t xml:space="preserve"> </w:t>
      </w:r>
      <w:hyperlink r:id="rId23">
        <w:r>
          <w:rPr>
            <w:rStyle w:val="Hyperlink"/>
          </w:rPr>
          <w:t xml:space="preserve">[42]</w:t>
        </w:r>
      </w:hyperlink>
      <w:r>
        <w:t xml:space="preserve"> </w:t>
      </w:r>
      <w:hyperlink r:id="rId23">
        <w:r>
          <w:rPr>
            <w:rStyle w:val="Hyperlink"/>
          </w:rPr>
          <w:t xml:space="preserve">[54]</w:t>
        </w:r>
      </w:hyperlink>
      <w:r>
        <w:t xml:space="preserve"> </w:t>
      </w:r>
      <w:hyperlink r:id="rId23">
        <w:r>
          <w:rPr>
            <w:rStyle w:val="Hyperlink"/>
          </w:rPr>
          <w:t xml:space="preserve">[55]</w:t>
        </w:r>
      </w:hyperlink>
      <w:r>
        <w:t xml:space="preserve"> </w:t>
      </w:r>
      <w:hyperlink r:id="rId23">
        <w:r>
          <w:rPr>
            <w:rStyle w:val="Hyperlink"/>
          </w:rPr>
          <w:t xml:space="preserve">[57]</w:t>
        </w:r>
      </w:hyperlink>
      <w:r>
        <w:t xml:space="preserve"> </w:t>
      </w:r>
      <w:hyperlink r:id="rId23">
        <w:r>
          <w:rPr>
            <w:rStyle w:val="Hyperlink"/>
          </w:rPr>
          <w:t xml:space="preserve">[82]</w:t>
        </w:r>
      </w:hyperlink>
      <w:r>
        <w:t xml:space="preserve"> </w:t>
      </w:r>
      <w:r>
        <w:t xml:space="preserve">https://starchild.gsfc.nasa.gov/docs/StarChild/questions/question31.html</w:t>
      </w:r>
    </w:p>
    <w:p>
      <w:pPr>
        <w:pStyle w:val="BodyText"/>
      </w:pPr>
      <w:hyperlink r:id="rId23">
        <w:r>
          <w:rPr>
            <w:rStyle w:val="Hyperlink"/>
          </w:rPr>
          <w:t xml:space="preserve">https://starchild.gsfc.nasa.gov/docs/StarChild/questions/question31.html</w:t>
        </w:r>
      </w:hyperlink>
    </w:p>
    <w:p>
      <w:pPr>
        <w:pStyle w:val="BodyText"/>
      </w:pPr>
      <w:hyperlink r:id="rId25">
        <w:r>
          <w:rPr>
            <w:rStyle w:val="Hyperlink"/>
          </w:rPr>
          <w:t xml:space="preserve">[4]</w:t>
        </w:r>
      </w:hyperlink>
      <w:r>
        <w:t xml:space="preserve"> </w:t>
      </w:r>
      <w:hyperlink r:id="rId25">
        <w:r>
          <w:rPr>
            <w:rStyle w:val="Hyperlink"/>
          </w:rPr>
          <w:t xml:space="preserve">[78]</w:t>
        </w:r>
      </w:hyperlink>
      <w:r>
        <w:t xml:space="preserve"> </w:t>
      </w:r>
      <w:hyperlink r:id="rId25">
        <w:r>
          <w:rPr>
            <w:rStyle w:val="Hyperlink"/>
          </w:rPr>
          <w:t xml:space="preserve">[79]</w:t>
        </w:r>
      </w:hyperlink>
      <w:r>
        <w:t xml:space="preserve"> </w:t>
      </w:r>
      <w:r>
        <w:t xml:space="preserve">https://almuslih.org/wp-content/uploads/2024/12/Neuwirth-A-%E2%80%93-The-Quran-and-Late-Antiquity.pdf</w:t>
      </w:r>
    </w:p>
    <w:p>
      <w:pPr>
        <w:pStyle w:val="BodyText"/>
      </w:pPr>
      <w:hyperlink r:id="rId25">
        <w:r>
          <w:rPr>
            <w:rStyle w:val="Hyperlink"/>
          </w:rPr>
          <w:t xml:space="preserve">https://almuslih.org/wp-content/uploads/2024/12/Neuwirth-A-%E2%80%93-The-Quran-and-Late-Antiquity.pdf</w:t>
        </w:r>
      </w:hyperlink>
    </w:p>
    <w:p>
      <w:pPr>
        <w:pStyle w:val="BodyText"/>
      </w:pPr>
      <w:hyperlink r:id="rId26">
        <w:r>
          <w:rPr>
            <w:rStyle w:val="Hyperlink"/>
          </w:rPr>
          <w:t xml:space="preserve">[5]</w:t>
        </w:r>
      </w:hyperlink>
      <w:r>
        <w:t xml:space="preserve"> </w:t>
      </w:r>
      <w:r>
        <w:t xml:space="preserve">https://corpus.quran.com/wordmorphology.jsp?location=%2889%3A1%3A1%29</w:t>
      </w:r>
    </w:p>
    <w:p>
      <w:pPr>
        <w:pStyle w:val="BodyText"/>
      </w:pPr>
      <w:hyperlink r:id="rId26">
        <w:r>
          <w:rPr>
            <w:rStyle w:val="Hyperlink"/>
          </w:rPr>
          <w:t xml:space="preserve">https://corpus.quran.com/wordmorphology.jsp?location=%2889%3A1%3A1%29</w:t>
        </w:r>
      </w:hyperlink>
    </w:p>
    <w:p>
      <w:pPr>
        <w:pStyle w:val="BodyText"/>
      </w:pPr>
      <w:hyperlink r:id="rId27">
        <w:r>
          <w:rPr>
            <w:rStyle w:val="Hyperlink"/>
          </w:rPr>
          <w:t xml:space="preserve">[6]</w:t>
        </w:r>
      </w:hyperlink>
      <w:r>
        <w:t xml:space="preserve"> </w:t>
      </w:r>
      <w:hyperlink r:id="rId27">
        <w:r>
          <w:rPr>
            <w:rStyle w:val="Hyperlink"/>
          </w:rPr>
          <w:t xml:space="preserve">[12]</w:t>
        </w:r>
      </w:hyperlink>
      <w:r>
        <w:t xml:space="preserve"> </w:t>
      </w:r>
      <w:hyperlink r:id="rId27">
        <w:r>
          <w:rPr>
            <w:rStyle w:val="Hyperlink"/>
          </w:rPr>
          <w:t xml:space="preserve">[21]</w:t>
        </w:r>
      </w:hyperlink>
      <w:r>
        <w:t xml:space="preserve"> </w:t>
      </w:r>
      <w:hyperlink r:id="rId27">
        <w:r>
          <w:rPr>
            <w:rStyle w:val="Hyperlink"/>
          </w:rPr>
          <w:t xml:space="preserve">[38]</w:t>
        </w:r>
      </w:hyperlink>
      <w:r>
        <w:t xml:space="preserve"> </w:t>
      </w:r>
      <w:hyperlink r:id="rId27">
        <w:r>
          <w:rPr>
            <w:rStyle w:val="Hyperlink"/>
          </w:rPr>
          <w:t xml:space="preserve">[84]</w:t>
        </w:r>
      </w:hyperlink>
      <w:r>
        <w:t xml:space="preserve"> </w:t>
      </w:r>
      <w:r>
        <w:t xml:space="preserve">https://legacy.quran.com/91</w:t>
      </w:r>
    </w:p>
    <w:p>
      <w:pPr>
        <w:pStyle w:val="BodyText"/>
      </w:pPr>
      <w:hyperlink r:id="rId27">
        <w:r>
          <w:rPr>
            <w:rStyle w:val="Hyperlink"/>
          </w:rPr>
          <w:t xml:space="preserve">https://legacy.quran.com/91</w:t>
        </w:r>
      </w:hyperlink>
    </w:p>
    <w:p>
      <w:pPr>
        <w:pStyle w:val="BodyText"/>
      </w:pPr>
      <w:hyperlink r:id="rId28">
        <w:r>
          <w:rPr>
            <w:rStyle w:val="Hyperlink"/>
          </w:rPr>
          <w:t xml:space="preserve">[7]</w:t>
        </w:r>
      </w:hyperlink>
      <w:r>
        <w:t xml:space="preserve"> </w:t>
      </w:r>
      <w:hyperlink r:id="rId28">
        <w:r>
          <w:rPr>
            <w:rStyle w:val="Hyperlink"/>
          </w:rPr>
          <w:t xml:space="preserve">[74]</w:t>
        </w:r>
      </w:hyperlink>
      <w:r>
        <w:t xml:space="preserve"> </w:t>
      </w:r>
      <w:r>
        <w:t xml:space="preserve">https://sunnah.com/bukhari%3A6646</w:t>
      </w:r>
    </w:p>
    <w:p>
      <w:pPr>
        <w:pStyle w:val="BodyText"/>
      </w:pPr>
      <w:hyperlink r:id="rId28">
        <w:r>
          <w:rPr>
            <w:rStyle w:val="Hyperlink"/>
          </w:rPr>
          <w:t xml:space="preserve">https://sunnah.com/bukhari%3A6646</w:t>
        </w:r>
      </w:hyperlink>
    </w:p>
    <w:p>
      <w:pPr>
        <w:pStyle w:val="BodyText"/>
      </w:pPr>
      <w:hyperlink r:id="rId29">
        <w:r>
          <w:rPr>
            <w:rStyle w:val="Hyperlink"/>
          </w:rPr>
          <w:t xml:space="preserve">[8]</w:t>
        </w:r>
      </w:hyperlink>
      <w:r>
        <w:t xml:space="preserve"> </w:t>
      </w:r>
      <w:hyperlink r:id="rId29">
        <w:r>
          <w:rPr>
            <w:rStyle w:val="Hyperlink"/>
          </w:rPr>
          <w:t xml:space="preserve">[67]</w:t>
        </w:r>
      </w:hyperlink>
      <w:r>
        <w:t xml:space="preserve"> </w:t>
      </w:r>
      <w:hyperlink r:id="rId29">
        <w:r>
          <w:rPr>
            <w:rStyle w:val="Hyperlink"/>
          </w:rPr>
          <w:t xml:space="preserve">[71]</w:t>
        </w:r>
      </w:hyperlink>
      <w:r>
        <w:t xml:space="preserve"> </w:t>
      </w:r>
      <w:hyperlink r:id="rId29">
        <w:r>
          <w:rPr>
            <w:rStyle w:val="Hyperlink"/>
          </w:rPr>
          <w:t xml:space="preserve">[72]</w:t>
        </w:r>
      </w:hyperlink>
      <w:r>
        <w:t xml:space="preserve"> </w:t>
      </w:r>
      <w:hyperlink r:id="rId29">
        <w:r>
          <w:rPr>
            <w:rStyle w:val="Hyperlink"/>
          </w:rPr>
          <w:t xml:space="preserve">[80]</w:t>
        </w:r>
      </w:hyperlink>
      <w:r>
        <w:t xml:space="preserve"> </w:t>
      </w:r>
      <w:r>
        <w:t xml:space="preserve">https://legacy.quran.com/41/37</w:t>
      </w:r>
    </w:p>
    <w:p>
      <w:pPr>
        <w:pStyle w:val="BodyText"/>
      </w:pPr>
      <w:hyperlink r:id="rId29">
        <w:r>
          <w:rPr>
            <w:rStyle w:val="Hyperlink"/>
          </w:rPr>
          <w:t xml:space="preserve">https://legacy.quran.com/41/37</w:t>
        </w:r>
      </w:hyperlink>
    </w:p>
    <w:p>
      <w:pPr>
        <w:pStyle w:val="BodyText"/>
      </w:pPr>
      <w:hyperlink r:id="rId30">
        <w:r>
          <w:rPr>
            <w:rStyle w:val="Hyperlink"/>
          </w:rPr>
          <w:t xml:space="preserve">[9]</w:t>
        </w:r>
      </w:hyperlink>
      <w:r>
        <w:t xml:space="preserve"> </w:t>
      </w:r>
      <w:hyperlink r:id="rId30">
        <w:r>
          <w:rPr>
            <w:rStyle w:val="Hyperlink"/>
          </w:rPr>
          <w:t xml:space="preserve">[10]</w:t>
        </w:r>
      </w:hyperlink>
      <w:r>
        <w:t xml:space="preserve"> </w:t>
      </w:r>
      <w:hyperlink r:id="rId30">
        <w:r>
          <w:rPr>
            <w:rStyle w:val="Hyperlink"/>
          </w:rPr>
          <w:t xml:space="preserve">[18]</w:t>
        </w:r>
      </w:hyperlink>
      <w:r>
        <w:t xml:space="preserve"> </w:t>
      </w:r>
      <w:hyperlink r:id="rId30">
        <w:r>
          <w:rPr>
            <w:rStyle w:val="Hyperlink"/>
          </w:rPr>
          <w:t xml:space="preserve">[19]</w:t>
        </w:r>
      </w:hyperlink>
      <w:r>
        <w:t xml:space="preserve"> </w:t>
      </w:r>
      <w:hyperlink r:id="rId30">
        <w:r>
          <w:rPr>
            <w:rStyle w:val="Hyperlink"/>
          </w:rPr>
          <w:t xml:space="preserve">[20]</w:t>
        </w:r>
      </w:hyperlink>
      <w:r>
        <w:t xml:space="preserve"> </w:t>
      </w:r>
      <w:hyperlink r:id="rId30">
        <w:r>
          <w:rPr>
            <w:rStyle w:val="Hyperlink"/>
          </w:rPr>
          <w:t xml:space="preserve">[34]</w:t>
        </w:r>
      </w:hyperlink>
      <w:r>
        <w:t xml:space="preserve"> </w:t>
      </w:r>
      <w:hyperlink r:id="rId30">
        <w:r>
          <w:rPr>
            <w:rStyle w:val="Hyperlink"/>
          </w:rPr>
          <w:t xml:space="preserve">[69]</w:t>
        </w:r>
      </w:hyperlink>
      <w:r>
        <w:t xml:space="preserve"> </w:t>
      </w:r>
      <w:r>
        <w:t xml:space="preserve">https://legacy.quran.com/92/1-4</w:t>
      </w:r>
    </w:p>
    <w:p>
      <w:pPr>
        <w:pStyle w:val="BodyText"/>
      </w:pPr>
      <w:hyperlink r:id="rId30">
        <w:r>
          <w:rPr>
            <w:rStyle w:val="Hyperlink"/>
          </w:rPr>
          <w:t xml:space="preserve">https://legacy.quran.com/92/1-4</w:t>
        </w:r>
      </w:hyperlink>
    </w:p>
    <w:p>
      <w:pPr>
        <w:pStyle w:val="BodyText"/>
      </w:pPr>
      <w:hyperlink r:id="rId32">
        <w:r>
          <w:rPr>
            <w:rStyle w:val="Hyperlink"/>
          </w:rPr>
          <w:t xml:space="preserve">[11]</w:t>
        </w:r>
      </w:hyperlink>
      <w:r>
        <w:t xml:space="preserve"> </w:t>
      </w:r>
      <w:hyperlink r:id="rId32">
        <w:r>
          <w:rPr>
            <w:rStyle w:val="Hyperlink"/>
          </w:rPr>
          <w:t xml:space="preserve">[22]</w:t>
        </w:r>
      </w:hyperlink>
      <w:r>
        <w:t xml:space="preserve"> </w:t>
      </w:r>
      <w:hyperlink r:id="rId32">
        <w:r>
          <w:rPr>
            <w:rStyle w:val="Hyperlink"/>
          </w:rPr>
          <w:t xml:space="preserve">[46]</w:t>
        </w:r>
      </w:hyperlink>
      <w:r>
        <w:t xml:space="preserve"> </w:t>
      </w:r>
      <w:r>
        <w:t xml:space="preserve">Surat Al-Muddaththir [74:32-38] - The Noble Qur'an - Quran.com</w:t>
      </w:r>
    </w:p>
    <w:p>
      <w:pPr>
        <w:pStyle w:val="BodyText"/>
      </w:pPr>
      <w:hyperlink r:id="rId32">
        <w:r>
          <w:rPr>
            <w:rStyle w:val="Hyperlink"/>
          </w:rPr>
          <w:t xml:space="preserve">https://legacy.quran.com/74/32-38?utm_source=chatgpt.com</w:t>
        </w:r>
      </w:hyperlink>
    </w:p>
    <w:p>
      <w:pPr>
        <w:pStyle w:val="BodyText"/>
      </w:pPr>
      <w:hyperlink r:id="rId33">
        <w:r>
          <w:rPr>
            <w:rStyle w:val="Hyperlink"/>
          </w:rPr>
          <w:t xml:space="preserve">[13]</w:t>
        </w:r>
      </w:hyperlink>
      <w:r>
        <w:t xml:space="preserve"> </w:t>
      </w:r>
      <w:hyperlink r:id="rId33">
        <w:r>
          <w:rPr>
            <w:rStyle w:val="Hyperlink"/>
          </w:rPr>
          <w:t xml:space="preserve">[23]</w:t>
        </w:r>
      </w:hyperlink>
      <w:r>
        <w:t xml:space="preserve"> </w:t>
      </w:r>
      <w:hyperlink r:id="rId33">
        <w:r>
          <w:rPr>
            <w:rStyle w:val="Hyperlink"/>
          </w:rPr>
          <w:t xml:space="preserve">[44]</w:t>
        </w:r>
      </w:hyperlink>
      <w:r>
        <w:t xml:space="preserve"> </w:t>
      </w:r>
      <w:hyperlink r:id="rId33">
        <w:r>
          <w:rPr>
            <w:rStyle w:val="Hyperlink"/>
          </w:rPr>
          <w:t xml:space="preserve">[70]</w:t>
        </w:r>
      </w:hyperlink>
      <w:r>
        <w:t xml:space="preserve"> </w:t>
      </w:r>
      <w:hyperlink r:id="rId33">
        <w:r>
          <w:rPr>
            <w:rStyle w:val="Hyperlink"/>
          </w:rPr>
          <w:t xml:space="preserve">[85]</w:t>
        </w:r>
      </w:hyperlink>
      <w:r>
        <w:t xml:space="preserve"> </w:t>
      </w:r>
      <w:r>
        <w:t xml:space="preserve">https://legacy.quran.com/81/17-23</w:t>
      </w:r>
    </w:p>
    <w:p>
      <w:pPr>
        <w:pStyle w:val="BodyText"/>
      </w:pPr>
      <w:hyperlink r:id="rId33">
        <w:r>
          <w:rPr>
            <w:rStyle w:val="Hyperlink"/>
          </w:rPr>
          <w:t xml:space="preserve">https://legacy.quran.com/81/17-23</w:t>
        </w:r>
      </w:hyperlink>
    </w:p>
    <w:p>
      <w:pPr>
        <w:pStyle w:val="BodyText"/>
      </w:pPr>
      <w:hyperlink r:id="rId34">
        <w:r>
          <w:rPr>
            <w:rStyle w:val="Hyperlink"/>
          </w:rPr>
          <w:t xml:space="preserve">[14]</w:t>
        </w:r>
      </w:hyperlink>
      <w:r>
        <w:t xml:space="preserve"> </w:t>
      </w:r>
      <w:hyperlink r:id="rId34">
        <w:r>
          <w:rPr>
            <w:rStyle w:val="Hyperlink"/>
          </w:rPr>
          <w:t xml:space="preserve">[32]</w:t>
        </w:r>
      </w:hyperlink>
      <w:r>
        <w:t xml:space="preserve"> </w:t>
      </w:r>
      <w:r>
        <w:t xml:space="preserve">https://legacy.quran.com/84/17</w:t>
      </w:r>
    </w:p>
    <w:p>
      <w:pPr>
        <w:pStyle w:val="BodyText"/>
      </w:pPr>
      <w:hyperlink r:id="rId34">
        <w:r>
          <w:rPr>
            <w:rStyle w:val="Hyperlink"/>
          </w:rPr>
          <w:t xml:space="preserve">https://legacy.quran.com/84/17</w:t>
        </w:r>
      </w:hyperlink>
    </w:p>
    <w:p>
      <w:pPr>
        <w:pStyle w:val="BodyText"/>
      </w:pPr>
      <w:hyperlink r:id="rId35">
        <w:r>
          <w:rPr>
            <w:rStyle w:val="Hyperlink"/>
          </w:rPr>
          <w:t xml:space="preserve">[15]</w:t>
        </w:r>
      </w:hyperlink>
      <w:r>
        <w:t xml:space="preserve"> </w:t>
      </w:r>
      <w:hyperlink r:id="rId35">
        <w:r>
          <w:rPr>
            <w:rStyle w:val="Hyperlink"/>
          </w:rPr>
          <w:t xml:space="preserve">[24]</w:t>
        </w:r>
      </w:hyperlink>
      <w:r>
        <w:t xml:space="preserve"> </w:t>
      </w:r>
      <w:hyperlink r:id="rId35">
        <w:r>
          <w:rPr>
            <w:rStyle w:val="Hyperlink"/>
          </w:rPr>
          <w:t xml:space="preserve">[51]</w:t>
        </w:r>
      </w:hyperlink>
      <w:r>
        <w:t xml:space="preserve"> </w:t>
      </w:r>
      <w:r>
        <w:t xml:space="preserve">https://legacy.quran.com/89/1-5</w:t>
      </w:r>
    </w:p>
    <w:p>
      <w:pPr>
        <w:pStyle w:val="BodyText"/>
      </w:pPr>
      <w:hyperlink r:id="rId35">
        <w:r>
          <w:rPr>
            <w:rStyle w:val="Hyperlink"/>
          </w:rPr>
          <w:t xml:space="preserve">https://legacy.quran.com/89/1-5</w:t>
        </w:r>
      </w:hyperlink>
    </w:p>
    <w:p>
      <w:pPr>
        <w:pStyle w:val="BodyText"/>
      </w:pPr>
      <w:hyperlink r:id="rId36">
        <w:r>
          <w:rPr>
            <w:rStyle w:val="Hyperlink"/>
          </w:rPr>
          <w:t xml:space="preserve">[16]</w:t>
        </w:r>
      </w:hyperlink>
      <w:r>
        <w:t xml:space="preserve"> </w:t>
      </w:r>
      <w:r>
        <w:t xml:space="preserve">https://legacy.quran.com/89/4</w:t>
      </w:r>
    </w:p>
    <w:p>
      <w:pPr>
        <w:pStyle w:val="BodyText"/>
      </w:pPr>
      <w:hyperlink r:id="rId36">
        <w:r>
          <w:rPr>
            <w:rStyle w:val="Hyperlink"/>
          </w:rPr>
          <w:t xml:space="preserve">https://legacy.quran.com/89/4</w:t>
        </w:r>
      </w:hyperlink>
    </w:p>
    <w:p>
      <w:pPr>
        <w:pStyle w:val="BodyText"/>
      </w:pPr>
      <w:hyperlink r:id="rId37">
        <w:r>
          <w:rPr>
            <w:rStyle w:val="Hyperlink"/>
          </w:rPr>
          <w:t xml:space="preserve">[17]</w:t>
        </w:r>
      </w:hyperlink>
      <w:r>
        <w:t xml:space="preserve"> </w:t>
      </w:r>
      <w:r>
        <w:t xml:space="preserve">https://legacy.quran.com/93/2</w:t>
      </w:r>
    </w:p>
    <w:p>
      <w:pPr>
        <w:pStyle w:val="BodyText"/>
      </w:pPr>
      <w:hyperlink r:id="rId37">
        <w:r>
          <w:rPr>
            <w:rStyle w:val="Hyperlink"/>
          </w:rPr>
          <w:t xml:space="preserve">https://legacy.quran.com/93/2</w:t>
        </w:r>
      </w:hyperlink>
    </w:p>
    <w:p>
      <w:pPr>
        <w:pStyle w:val="BodyText"/>
      </w:pPr>
      <w:hyperlink r:id="rId39">
        <w:r>
          <w:rPr>
            <w:rStyle w:val="Hyperlink"/>
          </w:rPr>
          <w:t xml:space="preserve">[25]</w:t>
        </w:r>
      </w:hyperlink>
      <w:r>
        <w:t xml:space="preserve"> </w:t>
      </w:r>
      <w:hyperlink r:id="rId39">
        <w:r>
          <w:rPr>
            <w:rStyle w:val="Hyperlink"/>
          </w:rPr>
          <w:t xml:space="preserve">[45]</w:t>
        </w:r>
      </w:hyperlink>
      <w:r>
        <w:t xml:space="preserve"> </w:t>
      </w:r>
      <w:r>
        <w:t xml:space="preserve">https://legacy.quran.com/93</w:t>
      </w:r>
    </w:p>
    <w:p>
      <w:pPr>
        <w:pStyle w:val="BodyText"/>
      </w:pPr>
      <w:hyperlink r:id="rId39">
        <w:r>
          <w:rPr>
            <w:rStyle w:val="Hyperlink"/>
          </w:rPr>
          <w:t xml:space="preserve">https://legacy.quran.com/93</w:t>
        </w:r>
      </w:hyperlink>
    </w:p>
    <w:p>
      <w:pPr>
        <w:pStyle w:val="BodyText"/>
      </w:pPr>
      <w:hyperlink r:id="rId40">
        <w:r>
          <w:rPr>
            <w:rStyle w:val="Hyperlink"/>
          </w:rPr>
          <w:t xml:space="preserve">[26]</w:t>
        </w:r>
      </w:hyperlink>
      <w:r>
        <w:t xml:space="preserve"> </w:t>
      </w:r>
      <w:r>
        <w:t xml:space="preserve">https://legacy.quran.com/103</w:t>
      </w:r>
    </w:p>
    <w:p>
      <w:pPr>
        <w:pStyle w:val="BodyText"/>
      </w:pPr>
      <w:hyperlink r:id="rId40">
        <w:r>
          <w:rPr>
            <w:rStyle w:val="Hyperlink"/>
          </w:rPr>
          <w:t xml:space="preserve">https://legacy.quran.com/103</w:t>
        </w:r>
      </w:hyperlink>
    </w:p>
    <w:p>
      <w:pPr>
        <w:pStyle w:val="BodyText"/>
      </w:pPr>
      <w:hyperlink r:id="rId41">
        <w:r>
          <w:rPr>
            <w:rStyle w:val="Hyperlink"/>
          </w:rPr>
          <w:t xml:space="preserve">[27]</w:t>
        </w:r>
      </w:hyperlink>
      <w:r>
        <w:t xml:space="preserve"> </w:t>
      </w:r>
      <w:r>
        <w:t xml:space="preserve">https://legacy.quran.com/84/16</w:t>
      </w:r>
    </w:p>
    <w:p>
      <w:pPr>
        <w:pStyle w:val="BodyText"/>
      </w:pPr>
      <w:hyperlink r:id="rId41">
        <w:r>
          <w:rPr>
            <w:rStyle w:val="Hyperlink"/>
          </w:rPr>
          <w:t xml:space="preserve">https://legacy.quran.com/84/16</w:t>
        </w:r>
      </w:hyperlink>
    </w:p>
    <w:p>
      <w:pPr>
        <w:pStyle w:val="BodyText"/>
      </w:pPr>
      <w:hyperlink r:id="rId44">
        <w:r>
          <w:rPr>
            <w:rStyle w:val="Hyperlink"/>
          </w:rPr>
          <w:t xml:space="preserve">[29]</w:t>
        </w:r>
      </w:hyperlink>
      <w:r>
        <w:t xml:space="preserve"> </w:t>
      </w:r>
      <w:hyperlink r:id="rId44">
        <w:r>
          <w:rPr>
            <w:rStyle w:val="Hyperlink"/>
          </w:rPr>
          <w:t xml:space="preserve">[36]</w:t>
        </w:r>
      </w:hyperlink>
      <w:r>
        <w:t xml:space="preserve"> </w:t>
      </w:r>
      <w:r>
        <w:t xml:space="preserve">https://thequran.love/2025/05/21/quranic-oaths-by-the-sun-classical-insights-and-modern-scientific-reflections/</w:t>
      </w:r>
    </w:p>
    <w:p>
      <w:pPr>
        <w:pStyle w:val="BodyText"/>
      </w:pPr>
      <w:hyperlink r:id="rId44">
        <w:r>
          <w:rPr>
            <w:rStyle w:val="Hyperlink"/>
          </w:rPr>
          <w:t xml:space="preserve">https://thequran.love/2025/05/21/quranic-oaths-by-the-sun-classical-insights-and-modern-scientific-reflections/</w:t>
        </w:r>
      </w:hyperlink>
    </w:p>
    <w:p>
      <w:pPr>
        <w:pStyle w:val="BodyText"/>
      </w:pPr>
      <w:hyperlink r:id="rId45">
        <w:r>
          <w:rPr>
            <w:rStyle w:val="Hyperlink"/>
          </w:rPr>
          <w:t xml:space="preserve">[30]</w:t>
        </w:r>
      </w:hyperlink>
      <w:r>
        <w:t xml:space="preserve"> </w:t>
      </w:r>
      <w:hyperlink r:id="rId45">
        <w:r>
          <w:rPr>
            <w:rStyle w:val="Hyperlink"/>
          </w:rPr>
          <w:t xml:space="preserve">[31]</w:t>
        </w:r>
      </w:hyperlink>
      <w:r>
        <w:t xml:space="preserve"> </w:t>
      </w:r>
      <w:hyperlink r:id="rId45">
        <w:r>
          <w:rPr>
            <w:rStyle w:val="Hyperlink"/>
          </w:rPr>
          <w:t xml:space="preserve">[81]</w:t>
        </w:r>
      </w:hyperlink>
      <w:r>
        <w:t xml:space="preserve"> </w:t>
      </w:r>
      <w:hyperlink r:id="rId45">
        <w:r>
          <w:rPr>
            <w:rStyle w:val="Hyperlink"/>
          </w:rPr>
          <w:t xml:space="preserve">[83]</w:t>
        </w:r>
      </w:hyperlink>
      <w:r>
        <w:t xml:space="preserve"> </w:t>
      </w:r>
      <w:r>
        <w:t xml:space="preserve">Nature’s Testimony in the Qur’an: Quranic Oaths, Divine Truth, and the Role of Science – The Glorious Quran and Science</w:t>
      </w:r>
    </w:p>
    <w:p>
      <w:pPr>
        <w:pStyle w:val="BodyText"/>
      </w:pPr>
      <w:hyperlink r:id="rId45">
        <w:r>
          <w:rPr>
            <w:rStyle w:val="Hyperlink"/>
          </w:rPr>
          <w:t xml:space="preserve">https://thequran.love/2025/07/29/17674/</w:t>
        </w:r>
      </w:hyperlink>
    </w:p>
    <w:p>
      <w:pPr>
        <w:pStyle w:val="BodyText"/>
      </w:pPr>
      <w:hyperlink r:id="rId46">
        <w:r>
          <w:rPr>
            <w:rStyle w:val="Hyperlink"/>
          </w:rPr>
          <w:t xml:space="preserve">[33]</w:t>
        </w:r>
      </w:hyperlink>
      <w:r>
        <w:t xml:space="preserve"> </w:t>
      </w:r>
      <w:r>
        <w:t xml:space="preserve">https://www.alim.org/quran/tafsir/ibn-kathir/surah/92/2/</w:t>
      </w:r>
    </w:p>
    <w:p>
      <w:pPr>
        <w:pStyle w:val="BodyText"/>
      </w:pPr>
      <w:hyperlink r:id="rId46">
        <w:r>
          <w:rPr>
            <w:rStyle w:val="Hyperlink"/>
          </w:rPr>
          <w:t xml:space="preserve">https://www.alim.org/quran/tafsir/ibn-kathir/surah/92/2/</w:t>
        </w:r>
      </w:hyperlink>
    </w:p>
    <w:p>
      <w:pPr>
        <w:pStyle w:val="BodyText"/>
      </w:pPr>
      <w:hyperlink r:id="rId47">
        <w:r>
          <w:rPr>
            <w:rStyle w:val="Hyperlink"/>
          </w:rPr>
          <w:t xml:space="preserve">[35]</w:t>
        </w:r>
      </w:hyperlink>
      <w:r>
        <w:t xml:space="preserve"> </w:t>
      </w:r>
      <w:hyperlink r:id="rId47">
        <w:r>
          <w:rPr>
            <w:rStyle w:val="Hyperlink"/>
          </w:rPr>
          <w:t xml:space="preserve">[64]</w:t>
        </w:r>
      </w:hyperlink>
      <w:r>
        <w:t xml:space="preserve"> </w:t>
      </w:r>
      <w:r>
        <w:t xml:space="preserve">https://pmc.ncbi.nlm.nih.gov/articles/PMC6707128/</w:t>
      </w:r>
    </w:p>
    <w:p>
      <w:pPr>
        <w:pStyle w:val="BodyText"/>
      </w:pPr>
      <w:hyperlink r:id="rId47">
        <w:r>
          <w:rPr>
            <w:rStyle w:val="Hyperlink"/>
          </w:rPr>
          <w:t xml:space="preserve">https://pmc.ncbi.nlm.nih.gov/articles/PMC6707128/</w:t>
        </w:r>
      </w:hyperlink>
    </w:p>
    <w:p>
      <w:pPr>
        <w:pStyle w:val="BodyText"/>
      </w:pPr>
      <w:hyperlink r:id="rId48">
        <w:r>
          <w:rPr>
            <w:rStyle w:val="Hyperlink"/>
          </w:rPr>
          <w:t xml:space="preserve">[37]</w:t>
        </w:r>
      </w:hyperlink>
      <w:r>
        <w:t xml:space="preserve"> </w:t>
      </w:r>
      <w:r>
        <w:t xml:space="preserve">https://quran.com/en/91%3A3/tafsirs/en-tafsir-maarif-ul-quran</w:t>
      </w:r>
    </w:p>
    <w:p>
      <w:pPr>
        <w:pStyle w:val="BodyText"/>
      </w:pPr>
      <w:hyperlink r:id="rId48">
        <w:r>
          <w:rPr>
            <w:rStyle w:val="Hyperlink"/>
          </w:rPr>
          <w:t xml:space="preserve">https://quran.com/en/91%3A3/tafsirs/en-tafsir-maarif-ul-quran</w:t>
        </w:r>
      </w:hyperlink>
    </w:p>
    <w:p>
      <w:pPr>
        <w:pStyle w:val="BodyText"/>
      </w:pPr>
      <w:hyperlink r:id="rId50">
        <w:r>
          <w:rPr>
            <w:rStyle w:val="Hyperlink"/>
          </w:rPr>
          <w:t xml:space="preserve">[39]</w:t>
        </w:r>
      </w:hyperlink>
      <w:r>
        <w:t xml:space="preserve"> </w:t>
      </w:r>
      <w:r>
        <w:t xml:space="preserve">https://legacy.quran.com/93/1-5</w:t>
      </w:r>
    </w:p>
    <w:p>
      <w:pPr>
        <w:pStyle w:val="BodyText"/>
      </w:pPr>
      <w:hyperlink r:id="rId50">
        <w:r>
          <w:rPr>
            <w:rStyle w:val="Hyperlink"/>
          </w:rPr>
          <w:t xml:space="preserve">https://legacy.quran.com/93/1-5</w:t>
        </w:r>
      </w:hyperlink>
    </w:p>
    <w:p>
      <w:pPr>
        <w:pStyle w:val="BodyText"/>
      </w:pPr>
      <w:hyperlink r:id="rId51">
        <w:r>
          <w:rPr>
            <w:rStyle w:val="Hyperlink"/>
          </w:rPr>
          <w:t xml:space="preserve">[41]</w:t>
        </w:r>
      </w:hyperlink>
      <w:r>
        <w:t xml:space="preserve"> </w:t>
      </w:r>
      <w:r>
        <w:t xml:space="preserve">https://quran.com/93%3A2/hadith</w:t>
      </w:r>
    </w:p>
    <w:p>
      <w:pPr>
        <w:pStyle w:val="BodyText"/>
      </w:pPr>
      <w:hyperlink r:id="rId51">
        <w:r>
          <w:rPr>
            <w:rStyle w:val="Hyperlink"/>
          </w:rPr>
          <w:t xml:space="preserve">https://quran.com/93%3A2/hadith</w:t>
        </w:r>
      </w:hyperlink>
    </w:p>
    <w:p>
      <w:pPr>
        <w:pStyle w:val="BodyText"/>
      </w:pPr>
      <w:hyperlink r:id="rId52">
        <w:r>
          <w:rPr>
            <w:rStyle w:val="Hyperlink"/>
          </w:rPr>
          <w:t xml:space="preserve">[43]</w:t>
        </w:r>
      </w:hyperlink>
      <w:r>
        <w:t xml:space="preserve"> </w:t>
      </w:r>
      <w:r>
        <w:t xml:space="preserve">https://sunnah.com/bukhari%3A4950</w:t>
      </w:r>
    </w:p>
    <w:p>
      <w:pPr>
        <w:pStyle w:val="BodyText"/>
      </w:pPr>
      <w:hyperlink r:id="rId52">
        <w:r>
          <w:rPr>
            <w:rStyle w:val="Hyperlink"/>
          </w:rPr>
          <w:t xml:space="preserve">https://sunnah.com/bukhari%3A4950</w:t>
        </w:r>
      </w:hyperlink>
    </w:p>
    <w:p>
      <w:pPr>
        <w:pStyle w:val="BodyText"/>
      </w:pPr>
      <w:hyperlink r:id="rId54">
        <w:r>
          <w:rPr>
            <w:rStyle w:val="Hyperlink"/>
          </w:rPr>
          <w:t xml:space="preserve">[47]</w:t>
        </w:r>
      </w:hyperlink>
      <w:r>
        <w:t xml:space="preserve"> </w:t>
      </w:r>
      <w:r>
        <w:t xml:space="preserve">https://quran.com/en/al-muddaththir/34/tafsirs</w:t>
      </w:r>
    </w:p>
    <w:p>
      <w:pPr>
        <w:pStyle w:val="BodyText"/>
      </w:pPr>
      <w:hyperlink r:id="rId54">
        <w:r>
          <w:rPr>
            <w:rStyle w:val="Hyperlink"/>
          </w:rPr>
          <w:t xml:space="preserve">https://quran.com/en/al-muddaththir/34/tafsirs</w:t>
        </w:r>
      </w:hyperlink>
    </w:p>
    <w:p>
      <w:pPr>
        <w:pStyle w:val="BodyText"/>
      </w:pPr>
      <w:hyperlink r:id="rId55">
        <w:r>
          <w:rPr>
            <w:rStyle w:val="Hyperlink"/>
          </w:rPr>
          <w:t xml:space="preserve">[48]</w:t>
        </w:r>
      </w:hyperlink>
      <w:r>
        <w:t xml:space="preserve"> </w:t>
      </w:r>
      <w:hyperlink r:id="rId55">
        <w:r>
          <w:rPr>
            <w:rStyle w:val="Hyperlink"/>
          </w:rPr>
          <w:t xml:space="preserve">[61]</w:t>
        </w:r>
      </w:hyperlink>
      <w:r>
        <w:t xml:space="preserve"> </w:t>
      </w:r>
      <w:r>
        <w:t xml:space="preserve">https://legacy.quran.com/84/15-25</w:t>
      </w:r>
    </w:p>
    <w:p>
      <w:pPr>
        <w:pStyle w:val="BodyText"/>
      </w:pPr>
      <w:hyperlink r:id="rId55">
        <w:r>
          <w:rPr>
            <w:rStyle w:val="Hyperlink"/>
          </w:rPr>
          <w:t xml:space="preserve">https://legacy.quran.com/84/15-25</w:t>
        </w:r>
      </w:hyperlink>
    </w:p>
    <w:p>
      <w:pPr>
        <w:pStyle w:val="BodyText"/>
      </w:pPr>
      <w:hyperlink r:id="rId56">
        <w:r>
          <w:rPr>
            <w:rStyle w:val="Hyperlink"/>
          </w:rPr>
          <w:t xml:space="preserve">[49]</w:t>
        </w:r>
      </w:hyperlink>
      <w:r>
        <w:t xml:space="preserve"> </w:t>
      </w:r>
      <w:hyperlink r:id="rId56">
        <w:r>
          <w:rPr>
            <w:rStyle w:val="Hyperlink"/>
          </w:rPr>
          <w:t xml:space="preserve">[50]</w:t>
        </w:r>
      </w:hyperlink>
      <w:r>
        <w:t xml:space="preserve"> </w:t>
      </w:r>
      <w:r>
        <w:t xml:space="preserve">https://quran.com/en/84%3A16/tafsirs/en-tafsir-maarif-ul-quran</w:t>
      </w:r>
    </w:p>
    <w:p>
      <w:pPr>
        <w:pStyle w:val="BodyText"/>
      </w:pPr>
      <w:hyperlink r:id="rId56">
        <w:r>
          <w:rPr>
            <w:rStyle w:val="Hyperlink"/>
          </w:rPr>
          <w:t xml:space="preserve">https://quran.com/en/84%3A16/tafsirs/en-tafsir-maarif-ul-quran</w:t>
        </w:r>
      </w:hyperlink>
    </w:p>
    <w:p>
      <w:pPr>
        <w:pStyle w:val="BodyText"/>
      </w:pPr>
      <w:hyperlink r:id="rId57">
        <w:r>
          <w:rPr>
            <w:rStyle w:val="Hyperlink"/>
          </w:rPr>
          <w:t xml:space="preserve">[52]</w:t>
        </w:r>
      </w:hyperlink>
      <w:r>
        <w:t xml:space="preserve"> </w:t>
      </w:r>
      <w:r>
        <w:t xml:space="preserve">https://quran.com/en/89%3A4/tafsirs/en-tafsir-maarif-ul-quran</w:t>
      </w:r>
    </w:p>
    <w:p>
      <w:pPr>
        <w:pStyle w:val="BodyText"/>
      </w:pPr>
      <w:hyperlink r:id="rId57">
        <w:r>
          <w:rPr>
            <w:rStyle w:val="Hyperlink"/>
          </w:rPr>
          <w:t xml:space="preserve">https://quran.com/en/89%3A4/tafsirs/en-tafsir-maarif-ul-quran</w:t>
        </w:r>
      </w:hyperlink>
    </w:p>
    <w:p>
      <w:pPr>
        <w:pStyle w:val="BodyText"/>
      </w:pPr>
      <w:hyperlink r:id="rId58">
        <w:r>
          <w:rPr>
            <w:rStyle w:val="Hyperlink"/>
          </w:rPr>
          <w:t xml:space="preserve">[53]</w:t>
        </w:r>
      </w:hyperlink>
      <w:r>
        <w:t xml:space="preserve"> </w:t>
      </w:r>
      <w:r>
        <w:t xml:space="preserve">https://legacy.quran.com/89/4-28</w:t>
      </w:r>
    </w:p>
    <w:p>
      <w:pPr>
        <w:pStyle w:val="BodyText"/>
      </w:pPr>
      <w:hyperlink r:id="rId58">
        <w:r>
          <w:rPr>
            <w:rStyle w:val="Hyperlink"/>
          </w:rPr>
          <w:t xml:space="preserve">https://legacy.quran.com/89/4-28</w:t>
        </w:r>
      </w:hyperlink>
    </w:p>
    <w:p>
      <w:pPr>
        <w:pStyle w:val="BodyText"/>
      </w:pPr>
      <w:hyperlink r:id="rId61">
        <w:r>
          <w:rPr>
            <w:rStyle w:val="Hyperlink"/>
          </w:rPr>
          <w:t xml:space="preserve">[56]</w:t>
        </w:r>
      </w:hyperlink>
      <w:r>
        <w:t xml:space="preserve"> </w:t>
      </w:r>
      <w:r>
        <w:t xml:space="preserve">https://legacy.quran.com/39/5</w:t>
      </w:r>
    </w:p>
    <w:p>
      <w:pPr>
        <w:pStyle w:val="BodyText"/>
      </w:pPr>
      <w:hyperlink r:id="rId61">
        <w:r>
          <w:rPr>
            <w:rStyle w:val="Hyperlink"/>
          </w:rPr>
          <w:t xml:space="preserve">https://legacy.quran.com/39/5</w:t>
        </w:r>
      </w:hyperlink>
    </w:p>
    <w:p>
      <w:pPr>
        <w:pStyle w:val="BodyText"/>
      </w:pPr>
      <w:hyperlink r:id="rId62">
        <w:r>
          <w:rPr>
            <w:rStyle w:val="Hyperlink"/>
          </w:rPr>
          <w:t xml:space="preserve">[58]</w:t>
        </w:r>
      </w:hyperlink>
      <w:r>
        <w:t xml:space="preserve"> </w:t>
      </w:r>
      <w:r>
        <w:t xml:space="preserve">https://assets.science.nasa.gov/content/dam/science/esd/eo/eokids/wp-content/uploads/sites/6/2019/04/16_SunSeasons-508.pdf</w:t>
      </w:r>
    </w:p>
    <w:p>
      <w:pPr>
        <w:pStyle w:val="BodyText"/>
      </w:pPr>
      <w:hyperlink r:id="rId62">
        <w:r>
          <w:rPr>
            <w:rStyle w:val="Hyperlink"/>
          </w:rPr>
          <w:t xml:space="preserve">https://assets.science.nasa.gov/content/dam/science/esd/eo/eokids/wp-content/uploads/sites/6/2019/04/16_SunSeasons-508.pdf</w:t>
        </w:r>
      </w:hyperlink>
    </w:p>
    <w:p>
      <w:pPr>
        <w:pStyle w:val="BodyText"/>
      </w:pPr>
      <w:hyperlink r:id="rId63">
        <w:r>
          <w:rPr>
            <w:rStyle w:val="Hyperlink"/>
          </w:rPr>
          <w:t xml:space="preserve">[59]</w:t>
        </w:r>
      </w:hyperlink>
      <w:r>
        <w:t xml:space="preserve"> </w:t>
      </w:r>
      <w:hyperlink r:id="rId63">
        <w:r>
          <w:rPr>
            <w:rStyle w:val="Hyperlink"/>
          </w:rPr>
          <w:t xml:space="preserve">[77]</w:t>
        </w:r>
      </w:hyperlink>
      <w:r>
        <w:t xml:space="preserve"> </w:t>
      </w:r>
      <w:r>
        <w:t xml:space="preserve">https://www.britannica.com/science/midnight-Sun</w:t>
      </w:r>
    </w:p>
    <w:p>
      <w:pPr>
        <w:pStyle w:val="BodyText"/>
      </w:pPr>
      <w:hyperlink r:id="rId63">
        <w:r>
          <w:rPr>
            <w:rStyle w:val="Hyperlink"/>
          </w:rPr>
          <w:t xml:space="preserve">https://www.britannica.com/science/midnight-Sun</w:t>
        </w:r>
      </w:hyperlink>
    </w:p>
    <w:p>
      <w:pPr>
        <w:pStyle w:val="BodyText"/>
      </w:pPr>
      <w:hyperlink r:id="rId64">
        <w:r>
          <w:rPr>
            <w:rStyle w:val="Hyperlink"/>
          </w:rPr>
          <w:t xml:space="preserve">[62]</w:t>
        </w:r>
      </w:hyperlink>
      <w:r>
        <w:t xml:space="preserve"> </w:t>
      </w:r>
      <w:r>
        <w:t xml:space="preserve">https://science.nasa.gov/moon/moon-phases/</w:t>
      </w:r>
    </w:p>
    <w:p>
      <w:pPr>
        <w:pStyle w:val="BodyText"/>
      </w:pPr>
      <w:hyperlink r:id="rId64">
        <w:r>
          <w:rPr>
            <w:rStyle w:val="Hyperlink"/>
          </w:rPr>
          <w:t xml:space="preserve">https://science.nasa.gov/moon/moon-phases/</w:t>
        </w:r>
      </w:hyperlink>
    </w:p>
    <w:p>
      <w:pPr>
        <w:pStyle w:val="BodyText"/>
      </w:pPr>
      <w:hyperlink r:id="rId65">
        <w:r>
          <w:rPr>
            <w:rStyle w:val="Hyperlink"/>
          </w:rPr>
          <w:t xml:space="preserve">[63]</w:t>
        </w:r>
      </w:hyperlink>
      <w:r>
        <w:t xml:space="preserve"> </w:t>
      </w:r>
      <w:r>
        <w:t xml:space="preserve">https://legacy.quran.com/84/17-23</w:t>
      </w:r>
    </w:p>
    <w:p>
      <w:pPr>
        <w:pStyle w:val="BodyText"/>
      </w:pPr>
      <w:hyperlink r:id="rId65">
        <w:r>
          <w:rPr>
            <w:rStyle w:val="Hyperlink"/>
          </w:rPr>
          <w:t xml:space="preserve">https://legacy.quran.com/84/17-23</w:t>
        </w:r>
      </w:hyperlink>
    </w:p>
    <w:p>
      <w:pPr>
        <w:pStyle w:val="BodyText"/>
      </w:pPr>
      <w:hyperlink r:id="rId66">
        <w:r>
          <w:rPr>
            <w:rStyle w:val="Hyperlink"/>
          </w:rPr>
          <w:t xml:space="preserve">[65]</w:t>
        </w:r>
      </w:hyperlink>
      <w:r>
        <w:t xml:space="preserve"> </w:t>
      </w:r>
      <w:r>
        <w:t xml:space="preserve">https://legacy.quran.com/10/67</w:t>
      </w:r>
    </w:p>
    <w:p>
      <w:pPr>
        <w:pStyle w:val="BodyText"/>
      </w:pPr>
      <w:hyperlink r:id="rId66">
        <w:r>
          <w:rPr>
            <w:rStyle w:val="Hyperlink"/>
          </w:rPr>
          <w:t xml:space="preserve">https://legacy.quran.com/10/67</w:t>
        </w:r>
      </w:hyperlink>
    </w:p>
    <w:p>
      <w:pPr>
        <w:pStyle w:val="BodyText"/>
      </w:pPr>
      <w:hyperlink r:id="rId67">
        <w:r>
          <w:rPr>
            <w:rStyle w:val="Hyperlink"/>
          </w:rPr>
          <w:t xml:space="preserve">[66]</w:t>
        </w:r>
      </w:hyperlink>
      <w:r>
        <w:t xml:space="preserve"> </w:t>
      </w:r>
      <w:r>
        <w:t xml:space="preserve">https://thequran.love/2025/06/27/every-scientific-discovery-as-a-testament-to-the-qurans-truth/</w:t>
      </w:r>
    </w:p>
    <w:p>
      <w:pPr>
        <w:pStyle w:val="BodyText"/>
      </w:pPr>
      <w:hyperlink r:id="rId67">
        <w:r>
          <w:rPr>
            <w:rStyle w:val="Hyperlink"/>
          </w:rPr>
          <w:t xml:space="preserve">https://thequran.love/2025/06/27/every-scientific-discovery-as-a-testament-to-the-qurans-truth/</w:t>
        </w:r>
      </w:hyperlink>
    </w:p>
    <w:p>
      <w:pPr>
        <w:pStyle w:val="BodyText"/>
      </w:pPr>
      <w:hyperlink r:id="rId68">
        <w:r>
          <w:rPr>
            <w:rStyle w:val="Hyperlink"/>
          </w:rPr>
          <w:t xml:space="preserve">[68]</w:t>
        </w:r>
      </w:hyperlink>
      <w:r>
        <w:t xml:space="preserve"> </w:t>
      </w:r>
      <w:r>
        <w:t xml:space="preserve">https://thequran.love/2025/03/04/every-nobel-prize-in-sciences-is-a-eulogy-and-glorification-of-god-the-creator-and-the-sustainer-of-our-universe/</w:t>
      </w:r>
    </w:p>
    <w:p>
      <w:pPr>
        <w:pStyle w:val="BodyText"/>
      </w:pPr>
      <w:hyperlink r:id="rId68">
        <w:r>
          <w:rPr>
            <w:rStyle w:val="Hyperlink"/>
          </w:rPr>
          <w:t xml:space="preserve">https://thequran.love/2025/03/04/every-nobel-prize-in-sciences-is-a-eulogy-and-glorification-of-god-the-creator-and-the-sustainer-of-our-universe/</w:t>
        </w:r>
      </w:hyperlink>
    </w:p>
    <w:p>
      <w:pPr>
        <w:pStyle w:val="BodyText"/>
      </w:pPr>
      <w:hyperlink r:id="rId70">
        <w:r>
          <w:rPr>
            <w:rStyle w:val="Hyperlink"/>
          </w:rPr>
          <w:t xml:space="preserve">[76]</w:t>
        </w:r>
      </w:hyperlink>
      <w:r>
        <w:t xml:space="preserve"> </w:t>
      </w:r>
      <w:r>
        <w:t xml:space="preserve">https://legacy.quran.com/17/12</w:t>
      </w:r>
    </w:p>
    <w:p>
      <w:pPr>
        <w:pStyle w:val="BodyText"/>
      </w:pPr>
      <w:hyperlink r:id="rId70">
        <w:r>
          <w:rPr>
            <w:rStyle w:val="Hyperlink"/>
          </w:rPr>
          <w:t xml:space="preserve">https://legacy.quran.com/17/12</w:t>
        </w:r>
      </w:hyperlink>
    </w:p>
    <w:bookmarkEnd w:id="75"/>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25" Target="https://almuslih.org/wp-content/uploads/2024/12/Neuwirth-A-%E2%80%93-The-Quran-and-Late-Antiquity.pdf" TargetMode="External" /><Relationship Type="http://schemas.openxmlformats.org/officeDocument/2006/relationships/hyperlink" Id="rId62" Target="https://assets.science.nasa.gov/content/dam/science/esd/eo/eokids/wp-content/uploads/sites/6/2019/04/16_SunSeasons-508.pdf" TargetMode="External" /><Relationship Type="http://schemas.openxmlformats.org/officeDocument/2006/relationships/hyperlink" Id="rId26" Target="https://corpus.quran.com/wordmorphology.jsp?location=%2889%3A1%3A1%29" TargetMode="External" /><Relationship Type="http://schemas.openxmlformats.org/officeDocument/2006/relationships/hyperlink" Id="rId66" Target="https://legacy.quran.com/10/67" TargetMode="External" /><Relationship Type="http://schemas.openxmlformats.org/officeDocument/2006/relationships/hyperlink" Id="rId40" Target="https://legacy.quran.com/103" TargetMode="External" /><Relationship Type="http://schemas.openxmlformats.org/officeDocument/2006/relationships/hyperlink" Id="rId70" Target="https://legacy.quran.com/17/12" TargetMode="External" /><Relationship Type="http://schemas.openxmlformats.org/officeDocument/2006/relationships/hyperlink" Id="rId61" Target="https://legacy.quran.com/39/5" TargetMode="External" /><Relationship Type="http://schemas.openxmlformats.org/officeDocument/2006/relationships/hyperlink" Id="rId29" Target="https://legacy.quran.com/41/37" TargetMode="External" /><Relationship Type="http://schemas.openxmlformats.org/officeDocument/2006/relationships/hyperlink" Id="rId32" Target="https://legacy.quran.com/74/32-38?utm_source=chatgpt.com" TargetMode="External" /><Relationship Type="http://schemas.openxmlformats.org/officeDocument/2006/relationships/hyperlink" Id="rId33" Target="https://legacy.quran.com/81/17-23" TargetMode="External" /><Relationship Type="http://schemas.openxmlformats.org/officeDocument/2006/relationships/hyperlink" Id="rId55" Target="https://legacy.quran.com/84/15-25" TargetMode="External" /><Relationship Type="http://schemas.openxmlformats.org/officeDocument/2006/relationships/hyperlink" Id="rId41" Target="https://legacy.quran.com/84/16" TargetMode="External" /><Relationship Type="http://schemas.openxmlformats.org/officeDocument/2006/relationships/hyperlink" Id="rId34" Target="https://legacy.quran.com/84/17" TargetMode="External" /><Relationship Type="http://schemas.openxmlformats.org/officeDocument/2006/relationships/hyperlink" Id="rId65" Target="https://legacy.quran.com/84/17-23" TargetMode="External" /><Relationship Type="http://schemas.openxmlformats.org/officeDocument/2006/relationships/hyperlink" Id="rId35" Target="https://legacy.quran.com/89/1-5" TargetMode="External" /><Relationship Type="http://schemas.openxmlformats.org/officeDocument/2006/relationships/hyperlink" Id="rId36" Target="https://legacy.quran.com/89/4" TargetMode="External" /><Relationship Type="http://schemas.openxmlformats.org/officeDocument/2006/relationships/hyperlink" Id="rId58" Target="https://legacy.quran.com/89/4-28" TargetMode="External" /><Relationship Type="http://schemas.openxmlformats.org/officeDocument/2006/relationships/hyperlink" Id="rId27" Target="https://legacy.quran.com/91" TargetMode="External" /><Relationship Type="http://schemas.openxmlformats.org/officeDocument/2006/relationships/hyperlink" Id="rId30" Target="https://legacy.quran.com/92/1-4" TargetMode="External" /><Relationship Type="http://schemas.openxmlformats.org/officeDocument/2006/relationships/hyperlink" Id="rId39" Target="https://legacy.quran.com/93" TargetMode="External" /><Relationship Type="http://schemas.openxmlformats.org/officeDocument/2006/relationships/hyperlink" Id="rId50" Target="https://legacy.quran.com/93/1-5" TargetMode="External" /><Relationship Type="http://schemas.openxmlformats.org/officeDocument/2006/relationships/hyperlink" Id="rId37" Target="https://legacy.quran.com/93/2" TargetMode="External" /><Relationship Type="http://schemas.openxmlformats.org/officeDocument/2006/relationships/hyperlink" Id="rId47" Target="https://pmc.ncbi.nlm.nih.gov/articles/PMC6707128/" TargetMode="External" /><Relationship Type="http://schemas.openxmlformats.org/officeDocument/2006/relationships/hyperlink" Id="rId51" Target="https://quran.com/93%3A2/hadith" TargetMode="External" /><Relationship Type="http://schemas.openxmlformats.org/officeDocument/2006/relationships/hyperlink" Id="rId56" Target="https://quran.com/en/84%3A16/tafsirs/en-tafsir-maarif-ul-quran" TargetMode="External" /><Relationship Type="http://schemas.openxmlformats.org/officeDocument/2006/relationships/hyperlink" Id="rId57" Target="https://quran.com/en/89%3A4/tafsirs/en-tafsir-maarif-ul-quran" TargetMode="External" /><Relationship Type="http://schemas.openxmlformats.org/officeDocument/2006/relationships/hyperlink" Id="rId48" Target="https://quran.com/en/91%3A3/tafsirs/en-tafsir-maarif-ul-quran" TargetMode="External" /><Relationship Type="http://schemas.openxmlformats.org/officeDocument/2006/relationships/hyperlink" Id="rId54" Target="https://quran.com/en/al-muddaththir/34/tafsirs" TargetMode="External" /><Relationship Type="http://schemas.openxmlformats.org/officeDocument/2006/relationships/hyperlink" Id="rId64" Target="https://science.nasa.gov/moon/moon-phases/" TargetMode="External" /><Relationship Type="http://schemas.openxmlformats.org/officeDocument/2006/relationships/hyperlink" Id="rId23" Target="https://starchild.gsfc.nasa.gov/docs/StarChild/questions/question31.html" TargetMode="External" /><Relationship Type="http://schemas.openxmlformats.org/officeDocument/2006/relationships/hyperlink" Id="rId52" Target="https://sunnah.com/bukhari%3A4950" TargetMode="External" /><Relationship Type="http://schemas.openxmlformats.org/officeDocument/2006/relationships/hyperlink" Id="rId28" Target="https://sunnah.com/bukhari%3A6646" TargetMode="External" /><Relationship Type="http://schemas.openxmlformats.org/officeDocument/2006/relationships/hyperlink" Id="rId68" Target="https://thequran.love/2025/03/04/every-nobel-prize-in-sciences-is-a-eulogy-and-glorification-of-god-the-creator-and-the-sustainer-of-our-universe/" TargetMode="External" /><Relationship Type="http://schemas.openxmlformats.org/officeDocument/2006/relationships/hyperlink" Id="rId22" Target="https://thequran.love/2025/05/19/oaths-in-the-quran-natures-testimony-to-tawhid-resurrection-and-revelation/" TargetMode="External" /><Relationship Type="http://schemas.openxmlformats.org/officeDocument/2006/relationships/hyperlink" Id="rId44" Target="https://thequran.love/2025/05/21/quranic-oaths-by-the-sun-classical-insights-and-modern-scientific-reflections/" TargetMode="External" /><Relationship Type="http://schemas.openxmlformats.org/officeDocument/2006/relationships/hyperlink" Id="rId67" Target="https://thequran.love/2025/06/27/every-scientific-discovery-as-a-testament-to-the-qurans-truth/" TargetMode="External" /><Relationship Type="http://schemas.openxmlformats.org/officeDocument/2006/relationships/hyperlink" Id="rId45" Target="https://thequran.love/2025/07/29/17674/" TargetMode="External" /><Relationship Type="http://schemas.openxmlformats.org/officeDocument/2006/relationships/hyperlink" Id="rId46" Target="https://www.alim.org/quran/tafsir/ibn-kathir/surah/92/2/" TargetMode="External" /><Relationship Type="http://schemas.openxmlformats.org/officeDocument/2006/relationships/hyperlink" Id="rId63" Target="https://www.britannica.com/science/midnight-Sun" TargetMode="External" /><Relationship Type="http://schemas.openxmlformats.org/officeDocument/2006/relationships/hyperlink" Id="rId21" Target="https://www.weather.gov/lmk/twilight-types" TargetMode="External" /></Relationships>
</file>

<file path=word/_rels/footnotes.xml.rels><?xml version="1.0" encoding="UTF-8"?><Relationships xmlns="http://schemas.openxmlformats.org/package/2006/relationships"><Relationship Type="http://schemas.openxmlformats.org/officeDocument/2006/relationships/hyperlink" Id="rId25" Target="https://almuslih.org/wp-content/uploads/2024/12/Neuwirth-A-%E2%80%93-The-Quran-and-Late-Antiquity.pdf" TargetMode="External" /><Relationship Type="http://schemas.openxmlformats.org/officeDocument/2006/relationships/hyperlink" Id="rId62" Target="https://assets.science.nasa.gov/content/dam/science/esd/eo/eokids/wp-content/uploads/sites/6/2019/04/16_SunSeasons-508.pdf" TargetMode="External" /><Relationship Type="http://schemas.openxmlformats.org/officeDocument/2006/relationships/hyperlink" Id="rId26" Target="https://corpus.quran.com/wordmorphology.jsp?location=%2889%3A1%3A1%29" TargetMode="External" /><Relationship Type="http://schemas.openxmlformats.org/officeDocument/2006/relationships/hyperlink" Id="rId66" Target="https://legacy.quran.com/10/67" TargetMode="External" /><Relationship Type="http://schemas.openxmlformats.org/officeDocument/2006/relationships/hyperlink" Id="rId40" Target="https://legacy.quran.com/103" TargetMode="External" /><Relationship Type="http://schemas.openxmlformats.org/officeDocument/2006/relationships/hyperlink" Id="rId70" Target="https://legacy.quran.com/17/12" TargetMode="External" /><Relationship Type="http://schemas.openxmlformats.org/officeDocument/2006/relationships/hyperlink" Id="rId61" Target="https://legacy.quran.com/39/5" TargetMode="External" /><Relationship Type="http://schemas.openxmlformats.org/officeDocument/2006/relationships/hyperlink" Id="rId29" Target="https://legacy.quran.com/41/37" TargetMode="External" /><Relationship Type="http://schemas.openxmlformats.org/officeDocument/2006/relationships/hyperlink" Id="rId32" Target="https://legacy.quran.com/74/32-38?utm_source=chatgpt.com" TargetMode="External" /><Relationship Type="http://schemas.openxmlformats.org/officeDocument/2006/relationships/hyperlink" Id="rId33" Target="https://legacy.quran.com/81/17-23" TargetMode="External" /><Relationship Type="http://schemas.openxmlformats.org/officeDocument/2006/relationships/hyperlink" Id="rId55" Target="https://legacy.quran.com/84/15-25" TargetMode="External" /><Relationship Type="http://schemas.openxmlformats.org/officeDocument/2006/relationships/hyperlink" Id="rId41" Target="https://legacy.quran.com/84/16" TargetMode="External" /><Relationship Type="http://schemas.openxmlformats.org/officeDocument/2006/relationships/hyperlink" Id="rId34" Target="https://legacy.quran.com/84/17" TargetMode="External" /><Relationship Type="http://schemas.openxmlformats.org/officeDocument/2006/relationships/hyperlink" Id="rId65" Target="https://legacy.quran.com/84/17-23" TargetMode="External" /><Relationship Type="http://schemas.openxmlformats.org/officeDocument/2006/relationships/hyperlink" Id="rId35" Target="https://legacy.quran.com/89/1-5" TargetMode="External" /><Relationship Type="http://schemas.openxmlformats.org/officeDocument/2006/relationships/hyperlink" Id="rId36" Target="https://legacy.quran.com/89/4" TargetMode="External" /><Relationship Type="http://schemas.openxmlformats.org/officeDocument/2006/relationships/hyperlink" Id="rId58" Target="https://legacy.quran.com/89/4-28" TargetMode="External" /><Relationship Type="http://schemas.openxmlformats.org/officeDocument/2006/relationships/hyperlink" Id="rId27" Target="https://legacy.quran.com/91" TargetMode="External" /><Relationship Type="http://schemas.openxmlformats.org/officeDocument/2006/relationships/hyperlink" Id="rId30" Target="https://legacy.quran.com/92/1-4" TargetMode="External" /><Relationship Type="http://schemas.openxmlformats.org/officeDocument/2006/relationships/hyperlink" Id="rId39" Target="https://legacy.quran.com/93" TargetMode="External" /><Relationship Type="http://schemas.openxmlformats.org/officeDocument/2006/relationships/hyperlink" Id="rId50" Target="https://legacy.quran.com/93/1-5" TargetMode="External" /><Relationship Type="http://schemas.openxmlformats.org/officeDocument/2006/relationships/hyperlink" Id="rId37" Target="https://legacy.quran.com/93/2" TargetMode="External" /><Relationship Type="http://schemas.openxmlformats.org/officeDocument/2006/relationships/hyperlink" Id="rId47" Target="https://pmc.ncbi.nlm.nih.gov/articles/PMC6707128/" TargetMode="External" /><Relationship Type="http://schemas.openxmlformats.org/officeDocument/2006/relationships/hyperlink" Id="rId51" Target="https://quran.com/93%3A2/hadith" TargetMode="External" /><Relationship Type="http://schemas.openxmlformats.org/officeDocument/2006/relationships/hyperlink" Id="rId56" Target="https://quran.com/en/84%3A16/tafsirs/en-tafsir-maarif-ul-quran" TargetMode="External" /><Relationship Type="http://schemas.openxmlformats.org/officeDocument/2006/relationships/hyperlink" Id="rId57" Target="https://quran.com/en/89%3A4/tafsirs/en-tafsir-maarif-ul-quran" TargetMode="External" /><Relationship Type="http://schemas.openxmlformats.org/officeDocument/2006/relationships/hyperlink" Id="rId48" Target="https://quran.com/en/91%3A3/tafsirs/en-tafsir-maarif-ul-quran" TargetMode="External" /><Relationship Type="http://schemas.openxmlformats.org/officeDocument/2006/relationships/hyperlink" Id="rId54" Target="https://quran.com/en/al-muddaththir/34/tafsirs" TargetMode="External" /><Relationship Type="http://schemas.openxmlformats.org/officeDocument/2006/relationships/hyperlink" Id="rId64" Target="https://science.nasa.gov/moon/moon-phases/" TargetMode="External" /><Relationship Type="http://schemas.openxmlformats.org/officeDocument/2006/relationships/hyperlink" Id="rId23" Target="https://starchild.gsfc.nasa.gov/docs/StarChild/questions/question31.html" TargetMode="External" /><Relationship Type="http://schemas.openxmlformats.org/officeDocument/2006/relationships/hyperlink" Id="rId52" Target="https://sunnah.com/bukhari%3A4950" TargetMode="External" /><Relationship Type="http://schemas.openxmlformats.org/officeDocument/2006/relationships/hyperlink" Id="rId28" Target="https://sunnah.com/bukhari%3A6646" TargetMode="External" /><Relationship Type="http://schemas.openxmlformats.org/officeDocument/2006/relationships/hyperlink" Id="rId68" Target="https://thequran.love/2025/03/04/every-nobel-prize-in-sciences-is-a-eulogy-and-glorification-of-god-the-creator-and-the-sustainer-of-our-universe/" TargetMode="External" /><Relationship Type="http://schemas.openxmlformats.org/officeDocument/2006/relationships/hyperlink" Id="rId22" Target="https://thequran.love/2025/05/19/oaths-in-the-quran-natures-testimony-to-tawhid-resurrection-and-revelation/" TargetMode="External" /><Relationship Type="http://schemas.openxmlformats.org/officeDocument/2006/relationships/hyperlink" Id="rId44" Target="https://thequran.love/2025/05/21/quranic-oaths-by-the-sun-classical-insights-and-modern-scientific-reflections/" TargetMode="External" /><Relationship Type="http://schemas.openxmlformats.org/officeDocument/2006/relationships/hyperlink" Id="rId67" Target="https://thequran.love/2025/06/27/every-scientific-discovery-as-a-testament-to-the-qurans-truth/" TargetMode="External" /><Relationship Type="http://schemas.openxmlformats.org/officeDocument/2006/relationships/hyperlink" Id="rId45" Target="https://thequran.love/2025/07/29/17674/" TargetMode="External" /><Relationship Type="http://schemas.openxmlformats.org/officeDocument/2006/relationships/hyperlink" Id="rId46" Target="https://www.alim.org/quran/tafsir/ibn-kathir/surah/92/2/" TargetMode="External" /><Relationship Type="http://schemas.openxmlformats.org/officeDocument/2006/relationships/hyperlink" Id="rId63" Target="https://www.britannica.com/science/midnight-Sun" TargetMode="External" /><Relationship Type="http://schemas.openxmlformats.org/officeDocument/2006/relationships/hyperlink" Id="rId21" Target="https://www.weather.gov/lmk/twilight-types"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2026-03-07T13:10:14Z</dcterms:created>
  <dcterms:modified xsi:type="dcterms:W3CDTF">2026-03-07T13:10:14Z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