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02" w:name="content"/>
    <w:bookmarkStart w:id="101" w:name="X4541bc7e7b6f373243e42e91fe5dc7271cac716"/>
    <w:p>
      <w:pPr>
        <w:pStyle w:val="Heading1"/>
      </w:pPr>
      <w:r>
        <w:t xml:space="preserve">A Qur’an-and-Tafsīr–Anchored Chronological Biography of the Prophet Muhammad</w:t>
      </w:r>
    </w:p>
    <w:bookmarkStart w:id="31" w:name="executive-summary"/>
    <w:p>
      <w:pPr>
        <w:pStyle w:val="Heading2"/>
      </w:pPr>
      <w:r>
        <w:t xml:space="preserve">Executive summary</w:t>
      </w:r>
    </w:p>
    <w:p>
      <w:pPr>
        <w:pStyle w:val="FirstParagraph"/>
      </w:pPr>
      <w:r>
        <w:t xml:space="preserve">A biography of the Prophet Muhammad (peace be upon him)</w:t>
      </w:r>
      <w:r>
        <w:t xml:space="preserve"> </w:t>
      </w:r>
      <w:r>
        <w:rPr>
          <w:b/>
          <w:bCs/>
        </w:rPr>
        <w:t xml:space="preserve">cannot be written from the Qur’an alone in the same way that later sīrah literature is written</w:t>
      </w:r>
      <w:r>
        <w:t xml:space="preserve">, because the Qur’an is primarily</w:t>
      </w:r>
      <w:r>
        <w:t xml:space="preserve"> </w:t>
      </w:r>
      <w:r>
        <w:rPr>
          <w:i/>
          <w:iCs/>
        </w:rPr>
        <w:t xml:space="preserve">guidance</w:t>
      </w:r>
      <w:r>
        <w:t xml:space="preserve">, not a continuous chronological narrative. The Qur’an alludes to events episodically, often as moral argument, legal instruction, consolation, or polemic;</w:t>
      </w:r>
      <w:r>
        <w:t xml:space="preserve"> </w:t>
      </w:r>
      <w:r>
        <w:rPr>
          <w:b/>
          <w:bCs/>
        </w:rPr>
        <w:t xml:space="preserve">chronology must therefore be reconstructed by linking verses to occasions of revelation (asbāb al-nuzūl), Meccan/Medinan classifications, and exegetical “event” reports preserved in tafsīr</w:t>
      </w:r>
      <w:r>
        <w:t xml:space="preserve">. This report operationalizes that approach by producing (a) a research-backed method for writing such a biography and (b) a chronological, sectioned biography whose claims are explicitly anchored to verses and major tafsīr traditions, while flagging where the verse itself is not explicit and where tafsīr diverges.</w:t>
      </w:r>
      <w:r>
        <w:t xml:space="preserve"> </w:t>
      </w:r>
      <w:hyperlink r:id="rId21">
        <w:r>
          <w:rPr>
            <w:rStyle w:val="Hyperlink"/>
          </w:rPr>
          <w:t xml:space="preserve">[1]</w:t>
        </w:r>
      </w:hyperlink>
    </w:p>
    <w:p>
      <w:pPr>
        <w:pStyle w:val="BodyText"/>
      </w:pPr>
      <w:r>
        <w:t xml:space="preserve">Across major classical Sunni tafsīr, several “biographical anchors” are especially strong because the</w:t>
      </w:r>
      <w:r>
        <w:t xml:space="preserve"> </w:t>
      </w:r>
      <w:r>
        <w:rPr>
          <w:i/>
          <w:iCs/>
        </w:rPr>
        <w:t xml:space="preserve">verse itself</w:t>
      </w:r>
      <w:r>
        <w:t xml:space="preserve"> </w:t>
      </w:r>
      <w:r>
        <w:t xml:space="preserve">points to an event-type claim (e.g., “orphan,” “emigration,” “cave,” named opponents) and tafsīr supplies the historical specifics:</w:t>
      </w:r>
      <w:r>
        <w:t xml:space="preserve"> </w:t>
      </w:r>
      <w:r>
        <w:rPr>
          <w:b/>
          <w:bCs/>
        </w:rPr>
        <w:t xml:space="preserve">orphanhood and guardianship</w:t>
      </w:r>
      <w:r>
        <w:t xml:space="preserve"> </w:t>
      </w:r>
      <w:r>
        <w:t xml:space="preserve">(Q 93:6)</w:t>
      </w:r>
      <w:r>
        <w:t xml:space="preserve"> </w:t>
      </w:r>
      <w:hyperlink r:id="rId22">
        <w:r>
          <w:rPr>
            <w:rStyle w:val="Hyperlink"/>
          </w:rPr>
          <w:t xml:space="preserve">[2]</w:t>
        </w:r>
      </w:hyperlink>
      <w:r>
        <w:t xml:space="preserve">;</w:t>
      </w:r>
      <w:r>
        <w:t xml:space="preserve"> </w:t>
      </w:r>
      <w:r>
        <w:rPr>
          <w:b/>
          <w:bCs/>
        </w:rPr>
        <w:t xml:space="preserve">enrichment interpreted via marriage and later communal income</w:t>
      </w:r>
      <w:r>
        <w:t xml:space="preserve"> </w:t>
      </w:r>
      <w:r>
        <w:t xml:space="preserve">(Q 93:8)</w:t>
      </w:r>
      <w:r>
        <w:t xml:space="preserve"> </w:t>
      </w:r>
      <w:hyperlink r:id="rId23">
        <w:r>
          <w:rPr>
            <w:rStyle w:val="Hyperlink"/>
          </w:rPr>
          <w:t xml:space="preserve">[3]</w:t>
        </w:r>
      </w:hyperlink>
      <w:r>
        <w:t xml:space="preserve">;</w:t>
      </w:r>
      <w:r>
        <w:t xml:space="preserve"> </w:t>
      </w:r>
      <w:r>
        <w:rPr>
          <w:b/>
          <w:bCs/>
        </w:rPr>
        <w:t xml:space="preserve">transition from private to public proclamation</w:t>
      </w:r>
      <w:r>
        <w:t xml:space="preserve"> </w:t>
      </w:r>
      <w:r>
        <w:t xml:space="preserve">(Q 15:94)</w:t>
      </w:r>
      <w:r>
        <w:t xml:space="preserve"> </w:t>
      </w:r>
      <w:hyperlink r:id="rId24">
        <w:r>
          <w:rPr>
            <w:rStyle w:val="Hyperlink"/>
          </w:rPr>
          <w:t xml:space="preserve">[4]</w:t>
        </w:r>
      </w:hyperlink>
      <w:r>
        <w:t xml:space="preserve">;</w:t>
      </w:r>
      <w:r>
        <w:t xml:space="preserve"> </w:t>
      </w:r>
      <w:r>
        <w:rPr>
          <w:b/>
          <w:bCs/>
        </w:rPr>
        <w:t xml:space="preserve">the Night Journey</w:t>
      </w:r>
      <w:r>
        <w:t xml:space="preserve"> </w:t>
      </w:r>
      <w:r>
        <w:t xml:space="preserve">(Q 17:1) with extensive debate on its modality and date</w:t>
      </w:r>
      <w:r>
        <w:t xml:space="preserve"> </w:t>
      </w:r>
      <w:hyperlink r:id="rId25">
        <w:r>
          <w:rPr>
            <w:rStyle w:val="Hyperlink"/>
          </w:rPr>
          <w:t xml:space="preserve">[5]</w:t>
        </w:r>
      </w:hyperlink>
      <w:r>
        <w:t xml:space="preserve">;</w:t>
      </w:r>
      <w:r>
        <w:t xml:space="preserve"> </w:t>
      </w:r>
      <w:r>
        <w:rPr>
          <w:b/>
          <w:bCs/>
        </w:rPr>
        <w:t xml:space="preserve">Hijra-era flight and the cave episode</w:t>
      </w:r>
      <w:r>
        <w:t xml:space="preserve"> </w:t>
      </w:r>
      <w:r>
        <w:t xml:space="preserve">(Q 9:40)</w:t>
      </w:r>
      <w:r>
        <w:t xml:space="preserve"> </w:t>
      </w:r>
      <w:hyperlink r:id="rId26">
        <w:r>
          <w:rPr>
            <w:rStyle w:val="Hyperlink"/>
          </w:rPr>
          <w:t xml:space="preserve">[6]</w:t>
        </w:r>
      </w:hyperlink>
      <w:r>
        <w:t xml:space="preserve">;</w:t>
      </w:r>
      <w:r>
        <w:t xml:space="preserve"> </w:t>
      </w:r>
      <w:r>
        <w:rPr>
          <w:b/>
          <w:bCs/>
        </w:rPr>
        <w:t xml:space="preserve">major communal turning points framed as “victory/opening”</w:t>
      </w:r>
      <w:r>
        <w:t xml:space="preserve"> </w:t>
      </w:r>
      <w:r>
        <w:t xml:space="preserve">(Q 48:1, Q 110:1)</w:t>
      </w:r>
      <w:r>
        <w:t xml:space="preserve"> </w:t>
      </w:r>
      <w:hyperlink r:id="rId27">
        <w:r>
          <w:rPr>
            <w:rStyle w:val="Hyperlink"/>
          </w:rPr>
          <w:t xml:space="preserve">[7]</w:t>
        </w:r>
      </w:hyperlink>
      <w:r>
        <w:t xml:space="preserve">;</w:t>
      </w:r>
      <w:r>
        <w:t xml:space="preserve"> </w:t>
      </w:r>
      <w:r>
        <w:rPr>
          <w:b/>
          <w:bCs/>
        </w:rPr>
        <w:t xml:space="preserve">battle contexts</w:t>
      </w:r>
      <w:r>
        <w:t xml:space="preserve"> </w:t>
      </w:r>
      <w:r>
        <w:t xml:space="preserve">(e.g., Badr in Q 3:123; Uhud rumor in Q 3:144; Khandaq in Q 33:9; Hunayn in Q 9:25; Tabuk in Q 9:38)</w:t>
      </w:r>
      <w:r>
        <w:t xml:space="preserve"> </w:t>
      </w:r>
      <w:hyperlink r:id="rId28">
        <w:r>
          <w:rPr>
            <w:rStyle w:val="Hyperlink"/>
          </w:rPr>
          <w:t xml:space="preserve">[8]</w:t>
        </w:r>
      </w:hyperlink>
      <w:r>
        <w:t xml:space="preserve">;</w:t>
      </w:r>
      <w:r>
        <w:t xml:space="preserve"> </w:t>
      </w:r>
      <w:r>
        <w:rPr>
          <w:b/>
          <w:bCs/>
        </w:rPr>
        <w:t xml:space="preserve">domestic/legal episodes involving the Prophet’s household</w:t>
      </w:r>
      <w:r>
        <w:t xml:space="preserve"> </w:t>
      </w:r>
      <w:r>
        <w:t xml:space="preserve">(Q 33:37; Q 66:1; Q 24:11)</w:t>
      </w:r>
      <w:r>
        <w:t xml:space="preserve"> </w:t>
      </w:r>
      <w:hyperlink r:id="rId29">
        <w:r>
          <w:rPr>
            <w:rStyle w:val="Hyperlink"/>
          </w:rPr>
          <w:t xml:space="preserve">[9]</w:t>
        </w:r>
      </w:hyperlink>
      <w:r>
        <w:t xml:space="preserve">; and</w:t>
      </w:r>
      <w:r>
        <w:t xml:space="preserve"> </w:t>
      </w:r>
      <w:r>
        <w:rPr>
          <w:b/>
          <w:bCs/>
        </w:rPr>
        <w:t xml:space="preserve">finality, mortality, and legacy</w:t>
      </w:r>
      <w:r>
        <w:t xml:space="preserve"> </w:t>
      </w:r>
      <w:r>
        <w:t xml:space="preserve">(Q 33:40; Q 3:144; Q 39:30; Q 7:158; Q 34:28; Q 21:107).</w:t>
      </w:r>
      <w:r>
        <w:t xml:space="preserve"> </w:t>
      </w:r>
      <w:hyperlink r:id="rId30">
        <w:r>
          <w:rPr>
            <w:rStyle w:val="Hyperlink"/>
          </w:rPr>
          <w:t xml:space="preserve">[10]</w:t>
        </w:r>
      </w:hyperlink>
    </w:p>
    <w:bookmarkEnd w:id="31"/>
    <w:bookmarkStart w:id="56" w:name="Xe0842362f77340dae3d21353bce36a53c21b508"/>
    <w:p>
      <w:pPr>
        <w:pStyle w:val="Heading2"/>
      </w:pPr>
      <w:r>
        <w:t xml:space="preserve">Tafsīr corpus and citation discipline used in this report</w:t>
      </w:r>
    </w:p>
    <w:p>
      <w:pPr>
        <w:pStyle w:val="FirstParagraph"/>
      </w:pPr>
      <w:r>
        <w:t xml:space="preserve">This report prioritizes (1)</w:t>
      </w:r>
      <w:r>
        <w:t xml:space="preserve"> </w:t>
      </w:r>
      <w:r>
        <w:rPr>
          <w:b/>
          <w:bCs/>
        </w:rPr>
        <w:t xml:space="preserve">primary Arabic tafsīr witnesses</w:t>
      </w:r>
      <w:r>
        <w:t xml:space="preserve"> </w:t>
      </w:r>
      <w:r>
        <w:t xml:space="preserve">and (2)</w:t>
      </w:r>
      <w:r>
        <w:t xml:space="preserve"> </w:t>
      </w:r>
      <w:r>
        <w:rPr>
          <w:b/>
          <w:bCs/>
        </w:rPr>
        <w:t xml:space="preserve">widely used translated compilations</w:t>
      </w:r>
      <w:r>
        <w:t xml:space="preserve"> </w:t>
      </w:r>
      <w:r>
        <w:t xml:space="preserve">where they explicitly preserve, cite, or summarize those Arabic works. The core Arabic base comes from the Qur’anic “Ayāt” project hosted by King Saud University</w:t>
      </w:r>
      <w:hyperlink r:id="rId25">
        <w:r>
          <w:rPr>
            <w:rStyle w:val="Hyperlink"/>
          </w:rPr>
          <w:t xml:space="preserve">[11]</w:t>
        </w:r>
      </w:hyperlink>
      <w:r>
        <w:t xml:space="preserve">, which provides stable verse-by-verse access to several major tafsīrs (notably including al-Ṭabarī, Ibn Kathīr, al-Qurṭubī, al-Baghawī, and al-Saʿdī).</w:t>
      </w:r>
      <w:r>
        <w:t xml:space="preserve"> </w:t>
      </w:r>
      <w:hyperlink r:id="rId21">
        <w:r>
          <w:rPr>
            <w:rStyle w:val="Hyperlink"/>
          </w:rPr>
          <w:t xml:space="preserve">[12]</w:t>
        </w:r>
      </w:hyperlink>
      <w:r>
        <w:t xml:space="preserve"> </w:t>
      </w:r>
      <w:r>
        <w:t xml:space="preserve">For breadth across additional traditions and later works, this report also uses multi-tafsīr aggregators (e.g., tafsir.app / altafsir)</w:t>
      </w:r>
      <w:r>
        <w:t xml:space="preserve"> </w:t>
      </w:r>
      <w:r>
        <w:rPr>
          <w:b/>
          <w:bCs/>
        </w:rPr>
        <w:t xml:space="preserve">only insofar as they reproduce identifiable tafsīr texts tied to specific verses</w:t>
      </w:r>
      <w:r>
        <w:t xml:space="preserve">.</w:t>
      </w:r>
      <w:r>
        <w:t xml:space="preserve"> </w:t>
      </w:r>
      <w:hyperlink r:id="rId32">
        <w:r>
          <w:rPr>
            <w:rStyle w:val="Hyperlink"/>
          </w:rPr>
          <w:t xml:space="preserve">[13]</w:t>
        </w:r>
      </w:hyperlink>
    </w:p>
    <w:bookmarkStart w:id="55" w:name="X1b1f62dbbf47f66b3b18a816c2c78bd902056a1"/>
    <w:p>
      <w:pPr>
        <w:pStyle w:val="Heading3"/>
      </w:pPr>
      <w:r>
        <w:t xml:space="preserve">Prioritized tafsīr and commentary sources used</w:t>
      </w:r>
    </w:p>
    <w:tbl>
      <w:tblPr>
        <w:tblStyle w:val="Table"/>
        <w:tblW w:type="auto" w:w="0"/>
        <w:tblLook w:firstRow="1" w:lastRow="0" w:firstColumn="0" w:lastColumn="0" w:noHBand="0" w:noVBand="0" w:val="0020"/>
      </w:tblPr>
      <w:tblGrid>
        <w:gridCol w:w="1320"/>
        <w:gridCol w:w="1320"/>
        <w:gridCol w:w="1320"/>
        <w:gridCol w:w="1320"/>
        <w:gridCol w:w="1320"/>
        <w:gridCol w:w="1320"/>
      </w:tblGrid>
      <w:tr>
        <w:trPr>
          <w:tblHeader w:val="on"/>
        </w:trPr>
        <w:tc>
          <w:tcPr/>
          <w:p>
            <w:pPr>
              <w:pStyle w:val="Compact"/>
            </w:pPr>
            <w:r>
              <w:t xml:space="preserve">Tier</w:t>
            </w:r>
          </w:p>
        </w:tc>
        <w:tc>
          <w:tcPr/>
          <w:p>
            <w:pPr>
              <w:pStyle w:val="Compact"/>
            </w:pPr>
            <w:r>
              <w:t xml:space="preserve">Work (type)</w:t>
            </w:r>
          </w:p>
        </w:tc>
        <w:tc>
          <w:tcPr/>
          <w:p>
            <w:pPr>
              <w:pStyle w:val="Compact"/>
            </w:pPr>
            <w:r>
              <w:t xml:space="preserve">Author (type)</w:t>
            </w:r>
          </w:p>
        </w:tc>
        <w:tc>
          <w:tcPr/>
          <w:p>
            <w:pPr>
              <w:pStyle w:val="Compact"/>
            </w:pPr>
            <w:r>
              <w:t xml:space="preserve">Tradition / language emphasis</w:t>
            </w:r>
          </w:p>
        </w:tc>
        <w:tc>
          <w:tcPr/>
          <w:p>
            <w:pPr>
              <w:pStyle w:val="Compact"/>
            </w:pPr>
            <w:r>
              <w:t xml:space="preserve">Why it matters for Qur’an-based biography</w:t>
            </w:r>
          </w:p>
        </w:tc>
        <w:tc>
          <w:tcPr/>
          <w:p>
            <w:pPr>
              <w:pStyle w:val="Compact"/>
            </w:pPr>
            <w:r>
              <w:t xml:space="preserve">Example of “biography extraction” strength</w:t>
            </w:r>
          </w:p>
        </w:tc>
      </w:tr>
      <w:tr>
        <w:tc>
          <w:tcPr/>
          <w:p>
            <w:pPr>
              <w:pStyle w:val="Compact"/>
            </w:pPr>
            <w:r>
              <w:t xml:space="preserve">Core</w:t>
            </w:r>
          </w:p>
        </w:tc>
        <w:tc>
          <w:tcPr/>
          <w:p>
            <w:pPr>
              <w:pStyle w:val="Compact"/>
            </w:pPr>
            <w:r>
              <w:t xml:space="preserve">Jāmiʿ al-bayān ʿan taʾwīl āy al-Qurʾān</w:t>
            </w:r>
            <w:hyperlink r:id="rId33">
              <w:r>
                <w:rPr>
                  <w:rStyle w:val="Hyperlink"/>
                </w:rPr>
                <w:t xml:space="preserve">[14]</w:t>
              </w:r>
            </w:hyperlink>
          </w:p>
        </w:tc>
        <w:tc>
          <w:tcPr/>
          <w:p>
            <w:pPr>
              <w:pStyle w:val="Compact"/>
            </w:pPr>
            <w:r>
              <w:t xml:space="preserve">Muhammad ibn Jarir al-Tabari</w:t>
            </w:r>
            <w:hyperlink r:id="rId34">
              <w:r>
                <w:rPr>
                  <w:rStyle w:val="Hyperlink"/>
                </w:rPr>
                <w:t xml:space="preserve">[15]</w:t>
              </w:r>
            </w:hyperlink>
          </w:p>
        </w:tc>
        <w:tc>
          <w:tcPr/>
          <w:p>
            <w:pPr>
              <w:pStyle w:val="Compact"/>
            </w:pPr>
            <w:r>
              <w:t xml:space="preserve">Early Sunni riwāyah-heavy Arabic</w:t>
            </w:r>
          </w:p>
        </w:tc>
        <w:tc>
          <w:tcPr/>
          <w:p>
            <w:pPr>
              <w:pStyle w:val="Compact"/>
            </w:pPr>
            <w:r>
              <w:t xml:space="preserve">Preserves variant early reports, often adjudicates among them; strong for asbāb-style links and competing narrations</w:t>
            </w:r>
          </w:p>
        </w:tc>
        <w:tc>
          <w:tcPr/>
          <w:p>
            <w:pPr>
              <w:pStyle w:val="Compact"/>
            </w:pPr>
            <w:r>
              <w:t xml:space="preserve">Isra’ modality adjudication (Q 17:1); Hijra reward contexts (Q 16:41)</w:t>
            </w:r>
            <w:r>
              <w:t xml:space="preserve"> </w:t>
            </w:r>
            <w:hyperlink r:id="rId35">
              <w:r>
                <w:rPr>
                  <w:rStyle w:val="Hyperlink"/>
                </w:rPr>
                <w:t xml:space="preserve">[16]</w:t>
              </w:r>
            </w:hyperlink>
          </w:p>
        </w:tc>
      </w:tr>
      <w:tr>
        <w:tc>
          <w:tcPr/>
          <w:p>
            <w:pPr>
              <w:pStyle w:val="Compact"/>
            </w:pPr>
            <w:r>
              <w:t xml:space="preserve">Core</w:t>
            </w:r>
          </w:p>
        </w:tc>
        <w:tc>
          <w:tcPr/>
          <w:p>
            <w:pPr>
              <w:pStyle w:val="Compact"/>
            </w:pPr>
            <w:r>
              <w:t xml:space="preserve">Tafsīr al-Qurʾān al-ʿAẓīm</w:t>
            </w:r>
            <w:hyperlink r:id="rId30">
              <w:r>
                <w:rPr>
                  <w:rStyle w:val="Hyperlink"/>
                </w:rPr>
                <w:t xml:space="preserve">[17]</w:t>
              </w:r>
            </w:hyperlink>
          </w:p>
        </w:tc>
        <w:tc>
          <w:tcPr/>
          <w:p>
            <w:pPr>
              <w:pStyle w:val="Compact"/>
            </w:pPr>
            <w:r>
              <w:t xml:space="preserve">Ismail ibn Umar Ibn Kathir</w:t>
            </w:r>
            <w:hyperlink r:id="rId36">
              <w:r>
                <w:rPr>
                  <w:rStyle w:val="Hyperlink"/>
                </w:rPr>
                <w:t xml:space="preserve">[18]</w:t>
              </w:r>
            </w:hyperlink>
          </w:p>
        </w:tc>
        <w:tc>
          <w:tcPr/>
          <w:p>
            <w:pPr>
              <w:pStyle w:val="Compact"/>
            </w:pPr>
            <w:r>
              <w:t xml:space="preserve">Sunni Arabic; integrates hadith/sīrah material into verse explanation</w:t>
            </w:r>
          </w:p>
        </w:tc>
        <w:tc>
          <w:tcPr/>
          <w:p>
            <w:pPr>
              <w:pStyle w:val="Compact"/>
            </w:pPr>
            <w:r>
              <w:t xml:space="preserve">Often supplies narrative detail for “event verses” (orphanhood, first revelation, battles, household incidents)</w:t>
            </w:r>
          </w:p>
        </w:tc>
        <w:tc>
          <w:tcPr/>
          <w:p>
            <w:pPr>
              <w:pStyle w:val="Compact"/>
            </w:pPr>
            <w:r>
              <w:t xml:space="preserve">Orphan chronology (Q 93:6); Khandaq dating note (Q 33:9)</w:t>
            </w:r>
            <w:r>
              <w:t xml:space="preserve"> </w:t>
            </w:r>
            <w:hyperlink r:id="rId22">
              <w:r>
                <w:rPr>
                  <w:rStyle w:val="Hyperlink"/>
                </w:rPr>
                <w:t xml:space="preserve">[19]</w:t>
              </w:r>
            </w:hyperlink>
          </w:p>
        </w:tc>
      </w:tr>
      <w:tr>
        <w:tc>
          <w:tcPr/>
          <w:p>
            <w:pPr>
              <w:pStyle w:val="Compact"/>
            </w:pPr>
            <w:r>
              <w:t xml:space="preserve">Core</w:t>
            </w:r>
          </w:p>
        </w:tc>
        <w:tc>
          <w:tcPr/>
          <w:p>
            <w:pPr>
              <w:pStyle w:val="Compact"/>
            </w:pPr>
            <w:r>
              <w:t xml:space="preserve">Al-Jāmiʿ li-aḥkām al-Qurʾān</w:t>
            </w:r>
            <w:hyperlink r:id="rId37">
              <w:r>
                <w:rPr>
                  <w:rStyle w:val="Hyperlink"/>
                </w:rPr>
                <w:t xml:space="preserve">[20]</w:t>
              </w:r>
            </w:hyperlink>
          </w:p>
        </w:tc>
        <w:tc>
          <w:tcPr/>
          <w:p>
            <w:pPr>
              <w:pStyle w:val="Compact"/>
            </w:pPr>
            <w:r>
              <w:t xml:space="preserve">Muhammad ibn Ahmad al-Qurtubi</w:t>
            </w:r>
            <w:hyperlink r:id="rId38">
              <w:r>
                <w:rPr>
                  <w:rStyle w:val="Hyperlink"/>
                </w:rPr>
                <w:t xml:space="preserve">[21]</w:t>
              </w:r>
            </w:hyperlink>
          </w:p>
        </w:tc>
        <w:tc>
          <w:tcPr/>
          <w:p>
            <w:pPr>
              <w:pStyle w:val="Compact"/>
            </w:pPr>
            <w:r>
              <w:t xml:space="preserve">Sunni Arabic with strong legal and philological expansion</w:t>
            </w:r>
          </w:p>
        </w:tc>
        <w:tc>
          <w:tcPr/>
          <w:p>
            <w:pPr>
              <w:pStyle w:val="Compact"/>
            </w:pPr>
            <w:r>
              <w:t xml:space="preserve">Frequently records</w:t>
            </w:r>
            <w:r>
              <w:t xml:space="preserve"> </w:t>
            </w:r>
            <w:r>
              <w:rPr>
                <w:i/>
                <w:iCs/>
              </w:rPr>
              <w:t xml:space="preserve">interpretive disputes</w:t>
            </w:r>
            <w:r>
              <w:t xml:space="preserve"> </w:t>
            </w:r>
            <w:r>
              <w:t xml:space="preserve">and legal/ethical “biography implications” (e.g., Miʿrāj mode/date; “perfected religion” logic)</w:t>
            </w:r>
          </w:p>
        </w:tc>
        <w:tc>
          <w:tcPr/>
          <w:p>
            <w:pPr>
              <w:pStyle w:val="Compact"/>
            </w:pPr>
            <w:r>
              <w:t xml:space="preserve">Miʿrāj body vs dream + date debate (Q 17:1); enrichment via Khadijah (Q 93:8)</w:t>
            </w:r>
            <w:r>
              <w:t xml:space="preserve"> </w:t>
            </w:r>
            <w:hyperlink r:id="rId25">
              <w:r>
                <w:rPr>
                  <w:rStyle w:val="Hyperlink"/>
                </w:rPr>
                <w:t xml:space="preserve">[22]</w:t>
              </w:r>
            </w:hyperlink>
          </w:p>
        </w:tc>
      </w:tr>
      <w:tr>
        <w:tc>
          <w:tcPr/>
          <w:p>
            <w:pPr>
              <w:pStyle w:val="Compact"/>
            </w:pPr>
            <w:r>
              <w:t xml:space="preserve">Core</w:t>
            </w:r>
          </w:p>
        </w:tc>
        <w:tc>
          <w:tcPr/>
          <w:p>
            <w:pPr>
              <w:pStyle w:val="Compact"/>
            </w:pPr>
            <w:r>
              <w:t xml:space="preserve">Mafātīḥ al-ghayb</w:t>
            </w:r>
            <w:hyperlink r:id="rId39">
              <w:r>
                <w:rPr>
                  <w:rStyle w:val="Hyperlink"/>
                </w:rPr>
                <w:t xml:space="preserve">[23]</w:t>
              </w:r>
            </w:hyperlink>
          </w:p>
        </w:tc>
        <w:tc>
          <w:tcPr/>
          <w:p>
            <w:pPr>
              <w:pStyle w:val="Compact"/>
            </w:pPr>
            <w:r>
              <w:t xml:space="preserve">Fakhr al-Din al-Razi</w:t>
            </w:r>
            <w:hyperlink r:id="rId26">
              <w:r>
                <w:rPr>
                  <w:rStyle w:val="Hyperlink"/>
                </w:rPr>
                <w:t xml:space="preserve">[24]</w:t>
              </w:r>
            </w:hyperlink>
          </w:p>
        </w:tc>
        <w:tc>
          <w:tcPr/>
          <w:p>
            <w:pPr>
              <w:pStyle w:val="Compact"/>
            </w:pPr>
            <w:r>
              <w:t xml:space="preserve">Sunni kalām + reasoning; Arabic</w:t>
            </w:r>
          </w:p>
        </w:tc>
        <w:tc>
          <w:tcPr/>
          <w:p>
            <w:pPr>
              <w:pStyle w:val="Compact"/>
            </w:pPr>
            <w:r>
              <w:t xml:space="preserve">Valuable for contested theological readings (e.g., finality; how to read extraordinary signs) with argumentation</w:t>
            </w:r>
          </w:p>
        </w:tc>
        <w:tc>
          <w:tcPr/>
          <w:p>
            <w:pPr>
              <w:pStyle w:val="Compact"/>
            </w:pPr>
            <w:r>
              <w:t xml:space="preserve">Finality/“seal” theological reasoning (Q 33:40); moon-splitting: dominant vs future-reading critique</w:t>
            </w:r>
            <w:r>
              <w:t xml:space="preserve"> </w:t>
            </w:r>
            <w:hyperlink r:id="rId30">
              <w:r>
                <w:rPr>
                  <w:rStyle w:val="Hyperlink"/>
                </w:rPr>
                <w:t xml:space="preserve">[25]</w:t>
              </w:r>
            </w:hyperlink>
          </w:p>
        </w:tc>
      </w:tr>
      <w:tr>
        <w:tc>
          <w:tcPr/>
          <w:p>
            <w:pPr>
              <w:pStyle w:val="Compact"/>
            </w:pPr>
            <w:r>
              <w:t xml:space="preserve">Core-support</w:t>
            </w:r>
          </w:p>
        </w:tc>
        <w:tc>
          <w:tcPr/>
          <w:p>
            <w:pPr>
              <w:pStyle w:val="Compact"/>
            </w:pPr>
            <w:r>
              <w:t xml:space="preserve">Maʿālim al-tanzīl</w:t>
            </w:r>
            <w:hyperlink r:id="rId24">
              <w:r>
                <w:rPr>
                  <w:rStyle w:val="Hyperlink"/>
                </w:rPr>
                <w:t xml:space="preserve">[26]</w:t>
              </w:r>
            </w:hyperlink>
          </w:p>
        </w:tc>
        <w:tc>
          <w:tcPr/>
          <w:p>
            <w:pPr>
              <w:pStyle w:val="Compact"/>
            </w:pPr>
            <w:r>
              <w:t xml:space="preserve">Al-Husayn ibn Mas'ud al-Baghawi</w:t>
            </w:r>
            <w:hyperlink r:id="rId25">
              <w:r>
                <w:rPr>
                  <w:rStyle w:val="Hyperlink"/>
                </w:rPr>
                <w:t xml:space="preserve">[27]</w:t>
              </w:r>
            </w:hyperlink>
          </w:p>
        </w:tc>
        <w:tc>
          <w:tcPr/>
          <w:p>
            <w:pPr>
              <w:pStyle w:val="Compact"/>
            </w:pPr>
            <w:r>
              <w:t xml:space="preserve">Sunni Arabic; concise riwāyah</w:t>
            </w:r>
          </w:p>
        </w:tc>
        <w:tc>
          <w:tcPr/>
          <w:p>
            <w:pPr>
              <w:pStyle w:val="Compact"/>
            </w:pPr>
            <w:r>
              <w:t xml:space="preserve">Good “consensus snapshot” and variant reporting, often shorter than Ṭabarī</w:t>
            </w:r>
          </w:p>
        </w:tc>
        <w:tc>
          <w:tcPr/>
          <w:p>
            <w:pPr>
              <w:pStyle w:val="Compact"/>
            </w:pPr>
            <w:r>
              <w:t xml:space="preserve">“Manifest victory” interpretations (Q 48:1); enrichment: Khadijah then spoils (Q 93:8)</w:t>
            </w:r>
            <w:r>
              <w:t xml:space="preserve"> </w:t>
            </w:r>
            <w:hyperlink r:id="rId40">
              <w:r>
                <w:rPr>
                  <w:rStyle w:val="Hyperlink"/>
                </w:rPr>
                <w:t xml:space="preserve">[28]</w:t>
              </w:r>
            </w:hyperlink>
          </w:p>
        </w:tc>
      </w:tr>
      <w:tr>
        <w:tc>
          <w:tcPr/>
          <w:p>
            <w:pPr>
              <w:pStyle w:val="Compact"/>
            </w:pPr>
            <w:r>
              <w:t xml:space="preserve">Core-support</w:t>
            </w:r>
          </w:p>
        </w:tc>
        <w:tc>
          <w:tcPr/>
          <w:p>
            <w:pPr>
              <w:pStyle w:val="Compact"/>
            </w:pPr>
            <w:r>
              <w:t xml:space="preserve">Taysīr al-karīm al-raḥmān</w:t>
            </w:r>
            <w:hyperlink r:id="rId41">
              <w:r>
                <w:rPr>
                  <w:rStyle w:val="Hyperlink"/>
                </w:rPr>
                <w:t xml:space="preserve">[29]</w:t>
              </w:r>
            </w:hyperlink>
          </w:p>
        </w:tc>
        <w:tc>
          <w:tcPr/>
          <w:p>
            <w:pPr>
              <w:pStyle w:val="Compact"/>
            </w:pPr>
            <w:r>
              <w:t xml:space="preserve">Abd al-Rahman al-Sa'di</w:t>
            </w:r>
            <w:hyperlink r:id="rId22">
              <w:r>
                <w:rPr>
                  <w:rStyle w:val="Hyperlink"/>
                </w:rPr>
                <w:t xml:space="preserve">[30]</w:t>
              </w:r>
            </w:hyperlink>
          </w:p>
        </w:tc>
        <w:tc>
          <w:tcPr/>
          <w:p>
            <w:pPr>
              <w:pStyle w:val="Compact"/>
            </w:pPr>
            <w:r>
              <w:t xml:space="preserve">Sunni modern Arabic; thematic-moral clarity</w:t>
            </w:r>
          </w:p>
        </w:tc>
        <w:tc>
          <w:tcPr/>
          <w:p>
            <w:pPr>
              <w:pStyle w:val="Compact"/>
            </w:pPr>
            <w:r>
              <w:t xml:space="preserve">Helps translate verse-to-character implications; often summarizes events succinctly</w:t>
            </w:r>
          </w:p>
        </w:tc>
        <w:tc>
          <w:tcPr/>
          <w:p>
            <w:pPr>
              <w:pStyle w:val="Compact"/>
            </w:pPr>
            <w:r>
              <w:t xml:space="preserve">Ethical portrait from “great character” and “leniency” motifs; orphan guardianship framing</w:t>
            </w:r>
            <w:r>
              <w:t xml:space="preserve"> </w:t>
            </w:r>
            <w:hyperlink r:id="rId42">
              <w:r>
                <w:rPr>
                  <w:rStyle w:val="Hyperlink"/>
                </w:rPr>
                <w:t xml:space="preserve">[31]</w:t>
              </w:r>
            </w:hyperlink>
          </w:p>
        </w:tc>
      </w:tr>
      <w:tr>
        <w:tc>
          <w:tcPr/>
          <w:p>
            <w:pPr>
              <w:pStyle w:val="Compact"/>
            </w:pPr>
            <w:r>
              <w:t xml:space="preserve">Expansion</w:t>
            </w:r>
          </w:p>
        </w:tc>
        <w:tc>
          <w:tcPr/>
          <w:p>
            <w:pPr>
              <w:pStyle w:val="Compact"/>
            </w:pPr>
            <w:r>
              <w:t xml:space="preserve">Al-Taḥrīr wa-al-tanwīr</w:t>
            </w:r>
            <w:hyperlink r:id="rId43">
              <w:r>
                <w:rPr>
                  <w:rStyle w:val="Hyperlink"/>
                </w:rPr>
                <w:t xml:space="preserve">[32]</w:t>
              </w:r>
            </w:hyperlink>
          </w:p>
        </w:tc>
        <w:tc>
          <w:tcPr/>
          <w:p>
            <w:pPr>
              <w:pStyle w:val="Compact"/>
            </w:pPr>
            <w:r>
              <w:t xml:space="preserve">Muhammad al-Tahir Ibn Ashur</w:t>
            </w:r>
            <w:hyperlink r:id="rId21">
              <w:r>
                <w:rPr>
                  <w:rStyle w:val="Hyperlink"/>
                </w:rPr>
                <w:t xml:space="preserve">[33]</w:t>
              </w:r>
            </w:hyperlink>
          </w:p>
        </w:tc>
        <w:tc>
          <w:tcPr/>
          <w:p>
            <w:pPr>
              <w:pStyle w:val="Compact"/>
            </w:pPr>
            <w:r>
              <w:t xml:space="preserve">Sunni modern Arabic; literary-rhetorical</w:t>
            </w:r>
          </w:p>
        </w:tc>
        <w:tc>
          <w:tcPr/>
          <w:p>
            <w:pPr>
              <w:pStyle w:val="Compact"/>
            </w:pPr>
            <w:r>
              <w:t xml:space="preserve">Useful for narrative logic and rhetorical framing of “astonishing events”</w:t>
            </w:r>
          </w:p>
        </w:tc>
        <w:tc>
          <w:tcPr/>
          <w:p>
            <w:pPr>
              <w:pStyle w:val="Compact"/>
            </w:pPr>
            <w:r>
              <w:t xml:space="preserve">Isra’ as “extraordinary news” rhetorical framing; thematic coherence</w:t>
            </w:r>
            <w:r>
              <w:t xml:space="preserve"> </w:t>
            </w:r>
            <w:hyperlink r:id="rId44">
              <w:r>
                <w:rPr>
                  <w:rStyle w:val="Hyperlink"/>
                </w:rPr>
                <w:t xml:space="preserve">[34]</w:t>
              </w:r>
            </w:hyperlink>
          </w:p>
        </w:tc>
      </w:tr>
      <w:tr>
        <w:tc>
          <w:tcPr/>
          <w:p>
            <w:pPr>
              <w:pStyle w:val="Compact"/>
            </w:pPr>
            <w:r>
              <w:t xml:space="preserve">Expansion</w:t>
            </w:r>
          </w:p>
        </w:tc>
        <w:tc>
          <w:tcPr/>
          <w:p>
            <w:pPr>
              <w:pStyle w:val="Compact"/>
            </w:pPr>
            <w:r>
              <w:t xml:space="preserve">Tafhīm al-Qurʾān</w:t>
            </w:r>
            <w:hyperlink r:id="rId45">
              <w:r>
                <w:rPr>
                  <w:rStyle w:val="Hyperlink"/>
                </w:rPr>
                <w:t xml:space="preserve">[35]</w:t>
              </w:r>
            </w:hyperlink>
          </w:p>
        </w:tc>
        <w:tc>
          <w:tcPr/>
          <w:p>
            <w:pPr>
              <w:pStyle w:val="Compact"/>
            </w:pPr>
            <w:r>
              <w:t xml:space="preserve">Abul A'la Maududi</w:t>
            </w:r>
            <w:hyperlink r:id="rId46">
              <w:r>
                <w:rPr>
                  <w:rStyle w:val="Hyperlink"/>
                </w:rPr>
                <w:t xml:space="preserve">[36]</w:t>
              </w:r>
            </w:hyperlink>
          </w:p>
        </w:tc>
        <w:tc>
          <w:tcPr/>
          <w:p>
            <w:pPr>
              <w:pStyle w:val="Compact"/>
            </w:pPr>
            <w:r>
              <w:t xml:space="preserve">Modern Urdu (with English access)</w:t>
            </w:r>
          </w:p>
        </w:tc>
        <w:tc>
          <w:tcPr/>
          <w:p>
            <w:pPr>
              <w:pStyle w:val="Compact"/>
            </w:pPr>
            <w:r>
              <w:t xml:space="preserve">Strong for historical-context summaries and community-building implications</w:t>
            </w:r>
          </w:p>
        </w:tc>
        <w:tc>
          <w:tcPr/>
          <w:p>
            <w:pPr>
              <w:pStyle w:val="Compact"/>
            </w:pPr>
            <w:r>
              <w:t xml:space="preserve">Trench appraisal / Banū Qurayẓah linkage (Q 33:9–27)</w:t>
            </w:r>
            <w:r>
              <w:t xml:space="preserve"> </w:t>
            </w:r>
            <w:hyperlink r:id="rId47">
              <w:r>
                <w:rPr>
                  <w:rStyle w:val="Hyperlink"/>
                </w:rPr>
                <w:t xml:space="preserve">[37]</w:t>
              </w:r>
            </w:hyperlink>
          </w:p>
        </w:tc>
      </w:tr>
      <w:tr>
        <w:tc>
          <w:tcPr/>
          <w:p>
            <w:pPr>
              <w:pStyle w:val="Compact"/>
            </w:pPr>
            <w:r>
              <w:t xml:space="preserve">Expansion</w:t>
            </w:r>
          </w:p>
        </w:tc>
        <w:tc>
          <w:tcPr/>
          <w:p>
            <w:pPr>
              <w:pStyle w:val="Compact"/>
            </w:pPr>
            <w:r>
              <w:t xml:space="preserve">Maʿārif al-Qurʾān</w:t>
            </w:r>
            <w:hyperlink r:id="rId32">
              <w:r>
                <w:rPr>
                  <w:rStyle w:val="Hyperlink"/>
                </w:rPr>
                <w:t xml:space="preserve">[38]</w:t>
              </w:r>
            </w:hyperlink>
          </w:p>
        </w:tc>
        <w:tc>
          <w:tcPr/>
          <w:p>
            <w:pPr>
              <w:pStyle w:val="Compact"/>
            </w:pPr>
            <w:r>
              <w:t xml:space="preserve">Muhammad Shafi Deobandi</w:t>
            </w:r>
            <w:hyperlink r:id="rId22">
              <w:r>
                <w:rPr>
                  <w:rStyle w:val="Hyperlink"/>
                </w:rPr>
                <w:t xml:space="preserve">[39]</w:t>
              </w:r>
            </w:hyperlink>
          </w:p>
        </w:tc>
        <w:tc>
          <w:tcPr/>
          <w:p>
            <w:pPr>
              <w:pStyle w:val="Compact"/>
            </w:pPr>
            <w:r>
              <w:t xml:space="preserve">Urdu-origin modern Hanafi; English access</w:t>
            </w:r>
          </w:p>
        </w:tc>
        <w:tc>
          <w:tcPr/>
          <w:p>
            <w:pPr>
              <w:pStyle w:val="Compact"/>
            </w:pPr>
            <w:r>
              <w:t xml:space="preserve">Often aggregates classical tafsīr and hadith material into readable narrative; explicit on asbāb and “stage-by-stage” daʿwah framing</w:t>
            </w:r>
          </w:p>
        </w:tc>
        <w:tc>
          <w:tcPr/>
          <w:p>
            <w:pPr>
              <w:pStyle w:val="Compact"/>
            </w:pPr>
            <w:r>
              <w:t xml:space="preserve">Public proclamation stage (Q 15:94); Ifk episode framing (Q 24:11); Miʿrāj dream/body reconciliation</w:t>
            </w:r>
            <w:r>
              <w:t xml:space="preserve"> </w:t>
            </w:r>
            <w:hyperlink r:id="rId48">
              <w:r>
                <w:rPr>
                  <w:rStyle w:val="Hyperlink"/>
                </w:rPr>
                <w:t xml:space="preserve">[40]</w:t>
              </w:r>
            </w:hyperlink>
          </w:p>
        </w:tc>
      </w:tr>
      <w:tr>
        <w:tc>
          <w:tcPr/>
          <w:p>
            <w:pPr>
              <w:pStyle w:val="Compact"/>
            </w:pPr>
            <w:r>
              <w:t xml:space="preserve">Cross-madhhab</w:t>
            </w:r>
          </w:p>
        </w:tc>
        <w:tc>
          <w:tcPr/>
          <w:p>
            <w:pPr>
              <w:pStyle w:val="Compact"/>
            </w:pPr>
            <w:r>
              <w:t xml:space="preserve">Al-Mīzān fī tafsīr al-Qurʾān</w:t>
            </w:r>
            <w:hyperlink r:id="rId49">
              <w:r>
                <w:rPr>
                  <w:rStyle w:val="Hyperlink"/>
                </w:rPr>
                <w:t xml:space="preserve">[41]</w:t>
              </w:r>
            </w:hyperlink>
          </w:p>
        </w:tc>
        <w:tc>
          <w:tcPr/>
          <w:p>
            <w:pPr>
              <w:pStyle w:val="Compact"/>
            </w:pPr>
            <w:r>
              <w:t xml:space="preserve">Muhammad Husayn Tabatabai</w:t>
            </w:r>
            <w:hyperlink r:id="rId46">
              <w:r>
                <w:rPr>
                  <w:rStyle w:val="Hyperlink"/>
                </w:rPr>
                <w:t xml:space="preserve">[42]</w:t>
              </w:r>
            </w:hyperlink>
          </w:p>
        </w:tc>
        <w:tc>
          <w:tcPr/>
          <w:p>
            <w:pPr>
              <w:pStyle w:val="Compact"/>
            </w:pPr>
            <w:r>
              <w:t xml:space="preserve">Twelver Shīʿī; Arabic/Persian; some English availability</w:t>
            </w:r>
          </w:p>
        </w:tc>
        <w:tc>
          <w:tcPr/>
          <w:p>
            <w:pPr>
              <w:pStyle w:val="Compact"/>
            </w:pPr>
            <w:r>
              <w:t xml:space="preserve">Adds Shīʿī hadith-corpora emphases and theological framing on select “event verses”</w:t>
            </w:r>
          </w:p>
        </w:tc>
        <w:tc>
          <w:tcPr/>
          <w:p>
            <w:pPr>
              <w:pStyle w:val="Compact"/>
            </w:pPr>
            <w:r>
              <w:t xml:space="preserve">Alternative reading traditions around “religion perfected” (Q 5:3)</w:t>
            </w:r>
            <w:r>
              <w:t xml:space="preserve"> </w:t>
            </w:r>
            <w:hyperlink r:id="rId50">
              <w:r>
                <w:rPr>
                  <w:rStyle w:val="Hyperlink"/>
                </w:rPr>
                <w:t xml:space="preserve">[43]</w:t>
              </w:r>
            </w:hyperlink>
          </w:p>
        </w:tc>
      </w:tr>
      <w:tr>
        <w:tc>
          <w:tcPr/>
          <w:p>
            <w:pPr>
              <w:pStyle w:val="Compact"/>
            </w:pPr>
            <w:r>
              <w:t xml:space="preserve">Cross-madhhab</w:t>
            </w:r>
          </w:p>
        </w:tc>
        <w:tc>
          <w:tcPr/>
          <w:p>
            <w:pPr>
              <w:pStyle w:val="Compact"/>
            </w:pPr>
            <w:r>
              <w:t xml:space="preserve">Majmaʿ al-bayān</w:t>
            </w:r>
            <w:hyperlink r:id="rId24">
              <w:r>
                <w:rPr>
                  <w:rStyle w:val="Hyperlink"/>
                </w:rPr>
                <w:t xml:space="preserve">[44]</w:t>
              </w:r>
            </w:hyperlink>
          </w:p>
        </w:tc>
        <w:tc>
          <w:tcPr/>
          <w:p>
            <w:pPr>
              <w:pStyle w:val="Compact"/>
            </w:pPr>
            <w:r>
              <w:t xml:space="preserve">Fadl ibn Hasan al-Tabarsi</w:t>
            </w:r>
            <w:hyperlink r:id="rId25">
              <w:r>
                <w:rPr>
                  <w:rStyle w:val="Hyperlink"/>
                </w:rPr>
                <w:t xml:space="preserve">[45]</w:t>
              </w:r>
            </w:hyperlink>
          </w:p>
        </w:tc>
        <w:tc>
          <w:tcPr/>
          <w:p>
            <w:pPr>
              <w:pStyle w:val="Compact"/>
            </w:pPr>
            <w:r>
              <w:t xml:space="preserve">Twelver Shīʿī Arabic</w:t>
            </w:r>
          </w:p>
        </w:tc>
        <w:tc>
          <w:tcPr/>
          <w:p>
            <w:pPr>
              <w:pStyle w:val="Compact"/>
            </w:pPr>
            <w:r>
              <w:t xml:space="preserve">Useful for Shīʿī report selection and variant emphases</w:t>
            </w:r>
          </w:p>
        </w:tc>
        <w:tc>
          <w:tcPr/>
          <w:p>
            <w:pPr>
              <w:pStyle w:val="Compact"/>
            </w:pPr>
            <w:r>
              <w:t xml:space="preserve">“Cave verse” presented through Shīʿī compilation frame (Q 9:40)</w:t>
            </w:r>
            <w:r>
              <w:t xml:space="preserve"> </w:t>
            </w:r>
            <w:hyperlink r:id="rId45">
              <w:r>
                <w:rPr>
                  <w:rStyle w:val="Hyperlink"/>
                </w:rPr>
                <w:t xml:space="preserve">[46]</w:t>
              </w:r>
            </w:hyperlink>
          </w:p>
        </w:tc>
      </w:tr>
      <w:tr>
        <w:tc>
          <w:tcPr/>
          <w:p>
            <w:pPr>
              <w:pStyle w:val="Compact"/>
            </w:pPr>
            <w:r>
              <w:t xml:space="preserve">Asbāb focus</w:t>
            </w:r>
          </w:p>
        </w:tc>
        <w:tc>
          <w:tcPr/>
          <w:p>
            <w:pPr>
              <w:pStyle w:val="Compact"/>
            </w:pPr>
            <w:r>
              <w:t xml:space="preserve">Asbāb al-nuzūl</w:t>
            </w:r>
            <w:hyperlink r:id="rId32">
              <w:r>
                <w:rPr>
                  <w:rStyle w:val="Hyperlink"/>
                </w:rPr>
                <w:t xml:space="preserve">[47]</w:t>
              </w:r>
            </w:hyperlink>
          </w:p>
        </w:tc>
        <w:tc>
          <w:tcPr/>
          <w:p>
            <w:pPr>
              <w:pStyle w:val="Compact"/>
            </w:pPr>
            <w:r>
              <w:t xml:space="preserve">Ali ibn Ahmad al-Wahidi</w:t>
            </w:r>
            <w:hyperlink r:id="rId51">
              <w:r>
                <w:rPr>
                  <w:rStyle w:val="Hyperlink"/>
                </w:rPr>
                <w:t xml:space="preserve">[48]</w:t>
              </w:r>
            </w:hyperlink>
          </w:p>
        </w:tc>
        <w:tc>
          <w:tcPr/>
          <w:p>
            <w:pPr>
              <w:pStyle w:val="Compact"/>
            </w:pPr>
            <w:r>
              <w:t xml:space="preserve">Sunni Arabic; occasion reports</w:t>
            </w:r>
          </w:p>
        </w:tc>
        <w:tc>
          <w:tcPr/>
          <w:p>
            <w:pPr>
              <w:pStyle w:val="Compact"/>
            </w:pPr>
            <w:r>
              <w:t xml:space="preserve">Explicitly “event-maps” revelation to incidents (best for biography reconstruction when Qur’an is elliptic)</w:t>
            </w:r>
          </w:p>
        </w:tc>
        <w:tc>
          <w:tcPr/>
          <w:p>
            <w:pPr>
              <w:pStyle w:val="Compact"/>
            </w:pPr>
            <w:r>
              <w:t xml:space="preserve">Blind man / elite audience episode for Q 80:1–10</w:t>
            </w:r>
            <w:r>
              <w:t xml:space="preserve"> </w:t>
            </w:r>
            <w:hyperlink r:id="rId51">
              <w:r>
                <w:rPr>
                  <w:rStyle w:val="Hyperlink"/>
                </w:rPr>
                <w:t xml:space="preserve">[49]</w:t>
              </w:r>
            </w:hyperlink>
          </w:p>
        </w:tc>
      </w:tr>
      <w:tr>
        <w:tc>
          <w:tcPr/>
          <w:p>
            <w:pPr>
              <w:pStyle w:val="Compact"/>
            </w:pPr>
            <w:r>
              <w:t xml:space="preserve">Modern academic compendium</w:t>
            </w:r>
          </w:p>
        </w:tc>
        <w:tc>
          <w:tcPr/>
          <w:p>
            <w:pPr>
              <w:pStyle w:val="Compact"/>
            </w:pPr>
            <w:r>
              <w:t xml:space="preserve">The Study Quran</w:t>
            </w:r>
            <w:hyperlink r:id="rId52">
              <w:r>
                <w:rPr>
                  <w:rStyle w:val="Hyperlink"/>
                </w:rPr>
                <w:t xml:space="preserve">[50]</w:t>
              </w:r>
            </w:hyperlink>
          </w:p>
        </w:tc>
        <w:tc>
          <w:tcPr/>
          <w:p>
            <w:pPr>
              <w:pStyle w:val="Compact"/>
            </w:pPr>
            <w:r>
              <w:t xml:space="preserve">Seyyed Hossein Nasr</w:t>
            </w:r>
            <w:hyperlink r:id="rId53">
              <w:r>
                <w:rPr>
                  <w:rStyle w:val="Hyperlink"/>
                </w:rPr>
                <w:t xml:space="preserve">[51]</w:t>
              </w:r>
            </w:hyperlink>
          </w:p>
        </w:tc>
        <w:tc>
          <w:tcPr/>
          <w:p>
            <w:pPr>
              <w:pStyle w:val="Compact"/>
            </w:pPr>
            <w:r>
              <w:t xml:space="preserve">Academic English translation + commentary (multi-author)</w:t>
            </w:r>
          </w:p>
        </w:tc>
        <w:tc>
          <w:tcPr/>
          <w:p>
            <w:pPr>
              <w:pStyle w:val="Compact"/>
            </w:pPr>
            <w:r>
              <w:t xml:space="preserve">Useful as a modern “meta-tafsīr” that quotes and compares classical lines (not a replacement for primary Arabic)</w:t>
            </w:r>
          </w:p>
        </w:tc>
        <w:tc>
          <w:tcPr/>
          <w:p>
            <w:pPr>
              <w:pStyle w:val="Compact"/>
            </w:pPr>
            <w:r>
              <w:t xml:space="preserve">Best used to triangulate interpretive options and locate classical citations</w:t>
            </w:r>
            <w:r>
              <w:t xml:space="preserve"> </w:t>
            </w:r>
            <w:hyperlink r:id="rId54">
              <w:r>
                <w:rPr>
                  <w:rStyle w:val="Hyperlink"/>
                </w:rPr>
                <w:t xml:space="preserve">[52]</w:t>
              </w:r>
            </w:hyperlink>
          </w:p>
        </w:tc>
      </w:tr>
    </w:tbl>
    <w:bookmarkEnd w:id="55"/>
    <w:bookmarkEnd w:id="56"/>
    <w:bookmarkStart w:id="58" w:name="Xcc84df250d7c7afa0f8ec383a9b068d6ebd0acf"/>
    <w:p>
      <w:pPr>
        <w:pStyle w:val="Heading2"/>
      </w:pPr>
      <w:r>
        <w:t xml:space="preserve">A research-based method for writing a Qur’an-and-tafsīr biography</w:t>
      </w:r>
    </w:p>
    <w:p>
      <w:pPr>
        <w:pStyle w:val="FirstParagraph"/>
      </w:pPr>
      <w:r>
        <w:t xml:space="preserve">To write “strictly from Qur’anic verses and tafsīr,” the key methodological problem is</w:t>
      </w:r>
      <w:r>
        <w:t xml:space="preserve"> </w:t>
      </w:r>
      <w:r>
        <w:rPr>
          <w:b/>
          <w:bCs/>
        </w:rPr>
        <w:t xml:space="preserve">source-to-event inference</w:t>
      </w:r>
      <w:r>
        <w:t xml:space="preserve">: many prophetic life events are not stated directly in the Qur’an, so any narrative move from “verse” → “event” must be justified via tafsīr and graded for strength.</w:t>
      </w:r>
    </w:p>
    <w:p>
      <w:pPr>
        <w:pStyle w:val="BodyText"/>
      </w:pPr>
      <w:r>
        <w:t xml:space="preserve">A rigorous method (aligned with how major mufassirūn themselves work) can be implemented as follows:</w:t>
      </w:r>
    </w:p>
    <w:p>
      <w:pPr>
        <w:pStyle w:val="BodyText"/>
      </w:pPr>
      <w:r>
        <w:rPr>
          <w:b/>
          <w:bCs/>
        </w:rPr>
        <w:t xml:space="preserve">Epistemic grading for each biographical claim</w:t>
      </w:r>
    </w:p>
    <w:p>
      <w:pPr>
        <w:pStyle w:val="Compact"/>
        <w:numPr>
          <w:ilvl w:val="0"/>
          <w:numId w:val="1001"/>
        </w:numPr>
      </w:pPr>
      <w:r>
        <w:rPr>
          <w:b/>
          <w:bCs/>
        </w:rPr>
        <w:t xml:space="preserve">Grade A (explicit Qur’an event-claim):</w:t>
      </w:r>
      <w:r>
        <w:t xml:space="preserve"> </w:t>
      </w:r>
      <w:r>
        <w:t xml:space="preserve">the verse plainly asserts an event-relevant fact (e.g., “orphan,” “emigration,” “in the cave,” “slander incident”). Tafsīr mainly clarifies meaning and fills in names and circumstances. Example: Q 93:6 explicitly states orphanhood; Ibn Kathīr then supplies parental/guardian details.</w:t>
      </w:r>
      <w:r>
        <w:t xml:space="preserve"> </w:t>
      </w:r>
      <w:hyperlink r:id="rId22">
        <w:r>
          <w:rPr>
            <w:rStyle w:val="Hyperlink"/>
          </w:rPr>
          <w:t xml:space="preserve">[53]</w:t>
        </w:r>
      </w:hyperlink>
    </w:p>
    <w:p>
      <w:pPr>
        <w:pStyle w:val="Compact"/>
        <w:numPr>
          <w:ilvl w:val="0"/>
          <w:numId w:val="1001"/>
        </w:numPr>
      </w:pPr>
      <w:r>
        <w:rPr>
          <w:b/>
          <w:bCs/>
        </w:rPr>
        <w:t xml:space="preserve">Grade B (Qur’an allusion + tafsīr consensus mapping):</w:t>
      </w:r>
      <w:r>
        <w:t xml:space="preserve"> </w:t>
      </w:r>
      <w:r>
        <w:t xml:space="preserve">the verse is general but tafsīr overwhelmingly maps it to a known incident (e.g., Q 48:1 as Hudaybiyyah “victory”).</w:t>
      </w:r>
      <w:r>
        <w:t xml:space="preserve"> </w:t>
      </w:r>
      <w:hyperlink r:id="rId46">
        <w:r>
          <w:rPr>
            <w:rStyle w:val="Hyperlink"/>
          </w:rPr>
          <w:t xml:space="preserve">[54]</w:t>
        </w:r>
      </w:hyperlink>
    </w:p>
    <w:p>
      <w:pPr>
        <w:pStyle w:val="Compact"/>
        <w:numPr>
          <w:ilvl w:val="0"/>
          <w:numId w:val="1001"/>
        </w:numPr>
      </w:pPr>
      <w:r>
        <w:rPr>
          <w:b/>
          <w:bCs/>
        </w:rPr>
        <w:t xml:space="preserve">Grade C (tafsīr disagreement):</w:t>
      </w:r>
      <w:r>
        <w:t xml:space="preserve"> </w:t>
      </w:r>
      <w:r>
        <w:t xml:space="preserve">tafsīr links the verse to different dates/events, or disputes the modality (dream/body), or disputes “who is seen.” These must be shown transparently with competing readings. Example: Isra’ physical vs dream reading at Q 17:1; also competing “first revealed” claims between Q 96:1 and Q 74:1.</w:t>
      </w:r>
      <w:r>
        <w:t xml:space="preserve"> </w:t>
      </w:r>
      <w:hyperlink r:id="rId25">
        <w:r>
          <w:rPr>
            <w:rStyle w:val="Hyperlink"/>
          </w:rPr>
          <w:t xml:space="preserve">[55]</w:t>
        </w:r>
      </w:hyperlink>
    </w:p>
    <w:p>
      <w:pPr>
        <w:pStyle w:val="Compact"/>
        <w:numPr>
          <w:ilvl w:val="0"/>
          <w:numId w:val="1001"/>
        </w:numPr>
      </w:pPr>
      <w:r>
        <w:rPr>
          <w:b/>
          <w:bCs/>
        </w:rPr>
        <w:t xml:space="preserve">Grade D (beyond tafsīr; not used here):</w:t>
      </w:r>
      <w:r>
        <w:t xml:space="preserve"> </w:t>
      </w:r>
      <w:r>
        <w:t xml:space="preserve">claims rooted chiefly in later sīrah/hadith independent of tafsīr linkage. Per your constraint, this report does not treat such claims as foundational unless they appear</w:t>
      </w:r>
      <w:r>
        <w:t xml:space="preserve"> </w:t>
      </w:r>
      <w:r>
        <w:rPr>
          <w:i/>
          <w:iCs/>
        </w:rPr>
        <w:t xml:space="preserve">within tafsīr as verse-interpretive material</w:t>
      </w:r>
      <w:r>
        <w:t xml:space="preserve">.</w:t>
      </w:r>
    </w:p>
    <w:p>
      <w:pPr>
        <w:pStyle w:val="FirstParagraph"/>
      </w:pPr>
      <w:r>
        <w:rPr>
          <w:b/>
          <w:bCs/>
        </w:rPr>
        <w:t xml:space="preserve">Chronology construction rules (for a Qur’an-based life narrative)</w:t>
      </w:r>
    </w:p>
    <w:p>
      <w:pPr>
        <w:pStyle w:val="Compact"/>
        <w:numPr>
          <w:ilvl w:val="0"/>
          <w:numId w:val="1002"/>
        </w:numPr>
      </w:pPr>
      <w:r>
        <w:rPr>
          <w:b/>
          <w:bCs/>
        </w:rPr>
        <w:t xml:space="preserve">Attach verses to time-windows</w:t>
      </w:r>
      <w:r>
        <w:t xml:space="preserve"> </w:t>
      </w:r>
      <w:r>
        <w:t xml:space="preserve">using Meccan/Medinan labels that mufassirūn often state explicitly (e.g., al-Qurṭubī introduces Sūrat al-Fatḥ as Medinan and tied to Hudaybiyyah; al-Ṭabarī’s comments can explicitly connect a verse to Tabuk).</w:t>
      </w:r>
      <w:r>
        <w:t xml:space="preserve"> </w:t>
      </w:r>
      <w:hyperlink r:id="rId57">
        <w:r>
          <w:rPr>
            <w:rStyle w:val="Hyperlink"/>
          </w:rPr>
          <w:t xml:space="preserve">[56]</w:t>
        </w:r>
      </w:hyperlink>
    </w:p>
    <w:p>
      <w:pPr>
        <w:pStyle w:val="Compact"/>
        <w:numPr>
          <w:ilvl w:val="0"/>
          <w:numId w:val="1002"/>
        </w:numPr>
      </w:pPr>
      <w:r>
        <w:rPr>
          <w:b/>
          <w:bCs/>
        </w:rPr>
        <w:t xml:space="preserve">Let “stage verses” organize the narrative</w:t>
      </w:r>
      <w:r>
        <w:t xml:space="preserve">, not surah order: early concealment → proclamation (Q 15:94), family warning (Q 26:214), emigration (Q 16:41; Q 9:40), etc.</w:t>
      </w:r>
      <w:r>
        <w:t xml:space="preserve"> </w:t>
      </w:r>
      <w:hyperlink r:id="rId24">
        <w:r>
          <w:rPr>
            <w:rStyle w:val="Hyperlink"/>
          </w:rPr>
          <w:t xml:space="preserve">[57]</w:t>
        </w:r>
      </w:hyperlink>
    </w:p>
    <w:p>
      <w:pPr>
        <w:pStyle w:val="Compact"/>
        <w:numPr>
          <w:ilvl w:val="0"/>
          <w:numId w:val="1002"/>
        </w:numPr>
      </w:pPr>
      <w:r>
        <w:rPr>
          <w:b/>
          <w:bCs/>
        </w:rPr>
        <w:t xml:space="preserve">When tafsīr uses asbāb reports, record whether multiple identifications exist</w:t>
      </w:r>
      <w:r>
        <w:t xml:space="preserve">, and whether the mufassir adjudicates. Example: al-Baghawī records multiple candidates for what “فتح” is in Q 48:1, while noting “most” say Hudaybiyyah.</w:t>
      </w:r>
      <w:r>
        <w:t xml:space="preserve"> </w:t>
      </w:r>
      <w:hyperlink r:id="rId40">
        <w:r>
          <w:rPr>
            <w:rStyle w:val="Hyperlink"/>
          </w:rPr>
          <w:t xml:space="preserve">[58]</w:t>
        </w:r>
      </w:hyperlink>
    </w:p>
    <w:p>
      <w:pPr>
        <w:pStyle w:val="Compact"/>
        <w:numPr>
          <w:ilvl w:val="0"/>
          <w:numId w:val="1002"/>
        </w:numPr>
      </w:pPr>
      <w:r>
        <w:rPr>
          <w:b/>
          <w:bCs/>
        </w:rPr>
        <w:t xml:space="preserve">For “contested events,” show comparative tables</w:t>
      </w:r>
      <w:r>
        <w:t xml:space="preserve"> </w:t>
      </w:r>
      <w:r>
        <w:t xml:space="preserve">rather than silently choosing one line; this is closer to the transparency style of encyclopedic tafsīr works such as al-Qurṭubī and al-Ṭabarī.</w:t>
      </w:r>
      <w:r>
        <w:t xml:space="preserve"> </w:t>
      </w:r>
      <w:hyperlink r:id="rId25">
        <w:r>
          <w:rPr>
            <w:rStyle w:val="Hyperlink"/>
          </w:rPr>
          <w:t xml:space="preserve">[5]</w:t>
        </w:r>
      </w:hyperlink>
    </w:p>
    <w:bookmarkEnd w:id="58"/>
    <w:bookmarkStart w:id="94" w:name="X67ccb0a34da54a26f6a6702178eb55a858134a5"/>
    <w:p>
      <w:pPr>
        <w:pStyle w:val="Heading2"/>
      </w:pPr>
      <w:r>
        <w:t xml:space="preserve">Chronological biography anchored to Qur’anic verses and tafsīr</w:t>
      </w:r>
    </w:p>
    <w:p>
      <w:pPr>
        <w:pStyle w:val="FirstParagraph"/>
      </w:pPr>
      <w:r>
        <w:t xml:space="preserve">What follows is a</w:t>
      </w:r>
      <w:r>
        <w:t xml:space="preserve"> </w:t>
      </w:r>
      <w:r>
        <w:rPr>
          <w:i/>
          <w:iCs/>
        </w:rPr>
        <w:t xml:space="preserve">chronological</w:t>
      </w:r>
      <w:r>
        <w:t xml:space="preserve"> </w:t>
      </w:r>
      <w:r>
        <w:t xml:space="preserve">biography in which each section lists Qur’anic anchors and then summarizes how tafsīr interprets those anchors. Where a verse does</w:t>
      </w:r>
      <w:r>
        <w:t xml:space="preserve"> </w:t>
      </w:r>
      <w:r>
        <w:rPr>
          <w:b/>
          <w:bCs/>
        </w:rPr>
        <w:t xml:space="preserve">not</w:t>
      </w:r>
      <w:r>
        <w:t xml:space="preserve"> </w:t>
      </w:r>
      <w:r>
        <w:t xml:space="preserve">itself state a biographical detail, this is explicitly flagged and the event detail is attributed to tafsīr reports.</w:t>
      </w:r>
    </w:p>
    <w:p>
      <w:pPr>
        <w:pStyle w:val="BodyText"/>
      </w:pPr>
      <w:r>
        <w:rPr>
          <w:b/>
          <w:bCs/>
        </w:rPr>
        <w:t xml:space="preserve">Birth and lineage</w:t>
      </w:r>
    </w:p>
    <w:p>
      <w:pPr>
        <w:pStyle w:val="BodyText"/>
      </w:pPr>
      <w:r>
        <w:rPr>
          <w:b/>
          <w:bCs/>
        </w:rPr>
        <w:t xml:space="preserve">Qur’anic anchors:</w:t>
      </w:r>
      <w:r>
        <w:t xml:space="preserve"> </w:t>
      </w:r>
      <w:r>
        <w:t xml:space="preserve">Sūrat al-Fīl (Q 105:1–5) is not a “birth verse,” but tafsīr frequently treats it as a chronological marker proximate to the Prophet’s birth; Q 9:128 emphasizes that the Messenger is “from among yourselves.”</w:t>
      </w:r>
    </w:p>
    <w:p>
      <w:pPr>
        <w:pStyle w:val="BodyText"/>
      </w:pPr>
      <w:r>
        <w:rPr>
          <w:b/>
          <w:bCs/>
        </w:rPr>
        <w:t xml:space="preserve">What the verse states vs. what tafsīr adds:</w:t>
      </w:r>
      <w:r>
        <w:br/>
      </w:r>
      <w:r>
        <w:t xml:space="preserve">Q 105 narrates the defeat of the “People of the Elephant” (no birth is mentioned). Classical tafsīr nonetheless often links this event to the well-known chronological label “ʿĀm al-Fīl,” and</w:t>
      </w:r>
      <w:r>
        <w:t xml:space="preserve"> </w:t>
      </w:r>
      <w:r>
        <w:rPr>
          <w:b/>
          <w:bCs/>
        </w:rPr>
        <w:t xml:space="preserve">some mufassirūn explicitly state that the Prophet was born in that year</w:t>
      </w:r>
      <w:r>
        <w:t xml:space="preserve">, while also recording alternative offsets. Al-Qurṭubī explicitly notes the Prophet’s birth in “the Year of the Elephant” in his commentary framing.</w:t>
      </w:r>
      <w:r>
        <w:t xml:space="preserve"> </w:t>
      </w:r>
      <w:hyperlink r:id="rId33">
        <w:r>
          <w:rPr>
            <w:rStyle w:val="Hyperlink"/>
          </w:rPr>
          <w:t xml:space="preserve">[59]</w:t>
        </w:r>
      </w:hyperlink>
      <w:r>
        <w:t xml:space="preserve"> </w:t>
      </w:r>
      <w:r>
        <w:t xml:space="preserve">Al-Baghawī preserves variant sequencing: some reports connect the enrichment and later prosperity flow to later phases, and on Sūrat al-Fīl he preserves reports that relate the elephant event to a remembered pre-prophetic era that later becomes a chronological reference point.</w:t>
      </w:r>
      <w:r>
        <w:t xml:space="preserve"> </w:t>
      </w:r>
      <w:hyperlink r:id="rId59">
        <w:r>
          <w:rPr>
            <w:rStyle w:val="Hyperlink"/>
          </w:rPr>
          <w:t xml:space="preserve">[60]</w:t>
        </w:r>
      </w:hyperlink>
    </w:p>
    <w:p>
      <w:pPr>
        <w:pStyle w:val="BodyText"/>
      </w:pPr>
      <w:r>
        <w:t xml:space="preserve">For lineage, Q 9:128 does not enumerate genealogy, but tafsīr commonly reads “from among yourselves” as emphasizing that he is from the Arabs addressed (and, in many tafsīr report-lines, specifically from their known nobility), strengthening the rhetorical force of “you know him; he is not a foreign claimant.”</w:t>
      </w:r>
      <w:r>
        <w:t xml:space="preserve"> </w:t>
      </w:r>
      <w:hyperlink r:id="rId52">
        <w:r>
          <w:rPr>
            <w:rStyle w:val="Hyperlink"/>
          </w:rPr>
          <w:t xml:space="preserve">[61]</w:t>
        </w:r>
      </w:hyperlink>
    </w:p>
    <w:p>
      <w:pPr>
        <w:pStyle w:val="BodyText"/>
      </w:pPr>
      <w:r>
        <w:rPr>
          <w:b/>
          <w:bCs/>
        </w:rPr>
        <w:t xml:space="preserve">Early life: orphanhood, guardianship, and formative conditions</w:t>
      </w:r>
    </w:p>
    <w:p>
      <w:pPr>
        <w:pStyle w:val="BodyText"/>
      </w:pPr>
      <w:r>
        <w:rPr>
          <w:b/>
          <w:bCs/>
        </w:rPr>
        <w:t xml:space="preserve">Qur’anic anchors:</w:t>
      </w:r>
      <w:r>
        <w:t xml:space="preserve"> </w:t>
      </w:r>
      <w:r>
        <w:t xml:space="preserve">Q 93:6–8 (the “Duḥā” triad: orphan → sheltered; searching → guided; needy → enriched).</w:t>
      </w:r>
    </w:p>
    <w:p>
      <w:pPr>
        <w:pStyle w:val="BodyText"/>
      </w:pPr>
      <w:r>
        <w:rPr>
          <w:b/>
          <w:bCs/>
        </w:rPr>
        <w:t xml:space="preserve">What the verse states vs. what tafsīr adds:</w:t>
      </w:r>
      <w:r>
        <w:br/>
      </w:r>
      <w:r>
        <w:t xml:space="preserve">Q 93:6 explicitly states that God “found you an orphan and sheltered [you].” Ibn Kathīr’s tafsīr makes this biographically concrete by preserving a sequence (father dies before birth or shortly after; mother dies at six; grandfather dies at eight; guardianship passes to the uncle).</w:t>
      </w:r>
      <w:r>
        <w:t xml:space="preserve"> </w:t>
      </w:r>
      <w:hyperlink r:id="rId22">
        <w:r>
          <w:rPr>
            <w:rStyle w:val="Hyperlink"/>
          </w:rPr>
          <w:t xml:space="preserve">[62]</w:t>
        </w:r>
      </w:hyperlink>
      <w:r>
        <w:t xml:space="preserve"> </w:t>
      </w:r>
      <w:r>
        <w:t xml:space="preserve">Al-Saʿdī likewise frames the verse as literal orphanhood and explicitly names guardianship transitions as the form of divine “shelter” (kafālah).</w:t>
      </w:r>
      <w:r>
        <w:t xml:space="preserve"> </w:t>
      </w:r>
      <w:hyperlink r:id="rId60">
        <w:r>
          <w:rPr>
            <w:rStyle w:val="Hyperlink"/>
          </w:rPr>
          <w:t xml:space="preserve">[63]</w:t>
        </w:r>
      </w:hyperlink>
      <w:r>
        <w:t xml:space="preserve"> </w:t>
      </w:r>
      <w:r>
        <w:t xml:space="preserve">Al-Ṭabarī’s commentary stays closer to semantic explanation (“made for you a refuge/dwelling”), but it still treats the verse as enumerating divine favors in the Prophet’s life.</w:t>
      </w:r>
      <w:r>
        <w:t xml:space="preserve"> </w:t>
      </w:r>
      <w:hyperlink r:id="rId61">
        <w:r>
          <w:rPr>
            <w:rStyle w:val="Hyperlink"/>
          </w:rPr>
          <w:t xml:space="preserve">[64]</w:t>
        </w:r>
      </w:hyperlink>
    </w:p>
    <w:p>
      <w:pPr>
        <w:pStyle w:val="BodyText"/>
      </w:pPr>
      <w:r>
        <w:t xml:space="preserve">Q 93:8 states enrichment after need; the verse does not name</w:t>
      </w:r>
      <w:r>
        <w:t xml:space="preserve"> </w:t>
      </w:r>
      <w:r>
        <w:rPr>
          <w:i/>
          <w:iCs/>
        </w:rPr>
        <w:t xml:space="preserve">how</w:t>
      </w:r>
      <w:r>
        <w:t xml:space="preserve">. Al-Qurṭubī explicitly gives one historically anchored reading: enrichment “through” Khadijah bint Khuwaylid</w:t>
      </w:r>
      <w:hyperlink r:id="rId62">
        <w:r>
          <w:rPr>
            <w:rStyle w:val="Hyperlink"/>
          </w:rPr>
          <w:t xml:space="preserve">[65]</w:t>
        </w:r>
      </w:hyperlink>
      <w:r>
        <w:t xml:space="preserve"> </w:t>
      </w:r>
      <w:r>
        <w:t xml:space="preserve">(i.e., via marriage), while also recording other interpretive options (e.g., contentment, inner richness).</w:t>
      </w:r>
      <w:r>
        <w:t xml:space="preserve"> </w:t>
      </w:r>
      <w:hyperlink r:id="rId23">
        <w:r>
          <w:rPr>
            <w:rStyle w:val="Hyperlink"/>
          </w:rPr>
          <w:t xml:space="preserve">[66]</w:t>
        </w:r>
      </w:hyperlink>
      <w:r>
        <w:t xml:space="preserve"> </w:t>
      </w:r>
      <w:r>
        <w:t xml:space="preserve">Al-Baghawī preserves a composite narrative: first enrichment by Khadijah’s wealth, and later by spoils.</w:t>
      </w:r>
      <w:r>
        <w:t xml:space="preserve"> </w:t>
      </w:r>
      <w:hyperlink r:id="rId63">
        <w:r>
          <w:rPr>
            <w:rStyle w:val="Hyperlink"/>
          </w:rPr>
          <w:t xml:space="preserve">[67]</w:t>
        </w:r>
      </w:hyperlink>
      <w:r>
        <w:t xml:space="preserve"> </w:t>
      </w:r>
      <w:r>
        <w:t xml:space="preserve">Maʿārif al-Qurʾān (a modern Urdu-origin tafsīr in English access) expands that into a readable staged biography: early poverty → commercial partnership → marriage → wealth devoted to the mission.</w:t>
      </w:r>
      <w:r>
        <w:t xml:space="preserve"> </w:t>
      </w:r>
      <w:hyperlink r:id="rId64">
        <w:r>
          <w:rPr>
            <w:rStyle w:val="Hyperlink"/>
          </w:rPr>
          <w:t xml:space="preserve">[68]</w:t>
        </w:r>
      </w:hyperlink>
    </w:p>
    <w:p>
      <w:pPr>
        <w:pStyle w:val="BodyText"/>
      </w:pPr>
      <w:r>
        <w:rPr>
          <w:b/>
          <w:bCs/>
        </w:rPr>
        <w:t xml:space="preserve">Call to prophethood: first revelation and the shift into warning</w:t>
      </w:r>
    </w:p>
    <w:p>
      <w:pPr>
        <w:pStyle w:val="BodyText"/>
      </w:pPr>
      <w:r>
        <w:rPr>
          <w:b/>
          <w:bCs/>
        </w:rPr>
        <w:t xml:space="preserve">Qur’anic anchors:</w:t>
      </w:r>
      <w:r>
        <w:t xml:space="preserve"> </w:t>
      </w:r>
      <w:r>
        <w:t xml:space="preserve">Q 96:1–5 (“Read…”) and Q 74:1–7 (“O cloaked one, arise and warn…”). Q 93:3 is often connected in tafsīr to a pause or anxiety around revelation (fatrah), but the verse itself is a reassurance.</w:t>
      </w:r>
    </w:p>
    <w:p>
      <w:pPr>
        <w:pStyle w:val="BodyText"/>
      </w:pPr>
      <w:r>
        <w:rPr>
          <w:b/>
          <w:bCs/>
        </w:rPr>
        <w:t xml:space="preserve">What the verse states vs. what tafsīr adds:</w:t>
      </w:r>
      <w:r>
        <w:br/>
      </w:r>
      <w:r>
        <w:t xml:space="preserve">Ibn Kathīr explicitly introduces Q 96:1 as the opening of revelation and preserves the well-known report-line (through a Companion chain) describing the angelic encounter and the Prophet’s initial response (“not a reader”), locating it in the solitude of Ḥirāʾ.</w:t>
      </w:r>
      <w:r>
        <w:t xml:space="preserve"> </w:t>
      </w:r>
      <w:hyperlink r:id="rId65">
        <w:r>
          <w:rPr>
            <w:rStyle w:val="Hyperlink"/>
          </w:rPr>
          <w:t xml:space="preserve">[69]</w:t>
        </w:r>
      </w:hyperlink>
      <w:r>
        <w:t xml:space="preserve"> </w:t>
      </w:r>
      <w:r>
        <w:t xml:space="preserve">Maʿārif al-Qurʾān states that “the first five verses” of Sūrat al-ʿAlaq mark the beginning of Qur’anic revelation, while acknowledging that some scholars argued for Sūrat al-Muddaththir or al-Fātiḥah first—i.e., it records the</w:t>
      </w:r>
      <w:r>
        <w:t xml:space="preserve"> </w:t>
      </w:r>
      <w:r>
        <w:rPr>
          <w:i/>
          <w:iCs/>
        </w:rPr>
        <w:t xml:space="preserve">dispute structure</w:t>
      </w:r>
      <w:r>
        <w:t xml:space="preserve"> </w:t>
      </w:r>
      <w:r>
        <w:t xml:space="preserve">even while stating a dominant view.</w:t>
      </w:r>
      <w:r>
        <w:t xml:space="preserve"> </w:t>
      </w:r>
      <w:hyperlink r:id="rId66">
        <w:r>
          <w:rPr>
            <w:rStyle w:val="Hyperlink"/>
          </w:rPr>
          <w:t xml:space="preserve">[70]</w:t>
        </w:r>
      </w:hyperlink>
    </w:p>
    <w:p>
      <w:pPr>
        <w:pStyle w:val="BodyText"/>
      </w:pPr>
      <w:r>
        <w:t xml:space="preserve">Al-Ṭabarī’s commentary on Q 74:1 is crucial for methodological transparency because it explicitly preserves an alternative “first revealed” claim: it records a report that “O cloaked one” was the first revelation, and embeds this within a narrative of the Prophet returning and being covered (tadaththur), with the command to arise and warn then following.</w:t>
      </w:r>
      <w:r>
        <w:t xml:space="preserve"> </w:t>
      </w:r>
      <w:hyperlink r:id="rId67">
        <w:r>
          <w:rPr>
            <w:rStyle w:val="Hyperlink"/>
          </w:rPr>
          <w:t xml:space="preserve">[71]</w:t>
        </w:r>
      </w:hyperlink>
      <w:r>
        <w:t xml:space="preserve"> </w:t>
      </w:r>
      <w:r>
        <w:t xml:space="preserve">Ibn Kathīr on the same passage preserves another contextual track: the Quraysh’s deliberations (via al-Walīd b. al-Mughīrah) and accusations, followed by the Prophet’s distress and the descent of “O cloaked one.”</w:t>
      </w:r>
      <w:r>
        <w:t xml:space="preserve"> </w:t>
      </w:r>
      <w:hyperlink r:id="rId49">
        <w:r>
          <w:rPr>
            <w:rStyle w:val="Hyperlink"/>
          </w:rPr>
          <w:t xml:space="preserve">[72]</w:t>
        </w:r>
      </w:hyperlink>
    </w:p>
    <w:p>
      <w:pPr>
        <w:pStyle w:val="BodyText"/>
      </w:pPr>
      <w:r>
        <w:rPr>
          <w:b/>
          <w:bCs/>
        </w:rPr>
        <w:t xml:space="preserve">Meccan mission: concealment, proclamation, opposition, and signs</w:t>
      </w:r>
    </w:p>
    <w:p>
      <w:pPr>
        <w:pStyle w:val="BodyText"/>
      </w:pPr>
      <w:r>
        <w:rPr>
          <w:b/>
          <w:bCs/>
        </w:rPr>
        <w:t xml:space="preserve">Qur’anic anchors:</w:t>
      </w:r>
      <w:r>
        <w:br/>
      </w:r>
      <w:r>
        <w:t xml:space="preserve">- Public proclamation: Q 15:94 (“proclaim what you are commanded”).</w:t>
      </w:r>
      <w:r>
        <w:br/>
      </w:r>
      <w:r>
        <w:t xml:space="preserve">- Family warning: Q 26:214 (“warn your nearest kindred”).</w:t>
      </w:r>
      <w:r>
        <w:br/>
      </w:r>
      <w:r>
        <w:t xml:space="preserve">- Named opposition: Q 111:1–5 (Abū Lahab), Q 108:3 (being called “abtar”), Q 109 (rejection of compromise).</w:t>
      </w:r>
      <w:r>
        <w:br/>
      </w:r>
      <w:r>
        <w:t xml:space="preserve">- Extraordinary sign-theme: Q 17:1 (Night Journey) and, in some exegetical framings, Q 54:1 (moon splitting) as a sign-demand episode.</w:t>
      </w:r>
    </w:p>
    <w:p>
      <w:pPr>
        <w:pStyle w:val="BodyText"/>
      </w:pPr>
      <w:r>
        <w:rPr>
          <w:b/>
          <w:bCs/>
        </w:rPr>
        <w:t xml:space="preserve">What the verse states vs. what tafsīr adds:</w:t>
      </w:r>
      <w:r>
        <w:br/>
      </w:r>
      <w:r>
        <w:t xml:space="preserve">Q 15:94 does not describe “secret preaching,” but al-Ṭabarī and Ibn Kathīr both preserve the staging: the Prophet and companions remained hidden until this command, after which public confrontation began.</w:t>
      </w:r>
      <w:r>
        <w:t xml:space="preserve"> </w:t>
      </w:r>
      <w:hyperlink r:id="rId24">
        <w:r>
          <w:rPr>
            <w:rStyle w:val="Hyperlink"/>
          </w:rPr>
          <w:t xml:space="preserve">[73]</w:t>
        </w:r>
      </w:hyperlink>
      <w:r>
        <w:t xml:space="preserve"> </w:t>
      </w:r>
      <w:r>
        <w:t xml:space="preserve">Al-Qurṭubī’s philological analysis (“split/open”) is paired with the same mission-stage reading: the verse is read as the turn into open tablīgh.</w:t>
      </w:r>
      <w:r>
        <w:t xml:space="preserve"> </w:t>
      </w:r>
      <w:hyperlink r:id="rId68">
        <w:r>
          <w:rPr>
            <w:rStyle w:val="Hyperlink"/>
          </w:rPr>
          <w:t xml:space="preserve">[74]</w:t>
        </w:r>
      </w:hyperlink>
      <w:r>
        <w:t xml:space="preserve"> </w:t>
      </w:r>
      <w:r>
        <w:t xml:space="preserve">Maʿārif al-Qurʾān similarly narrates this as the transition from secrecy to public reading/prayer.</w:t>
      </w:r>
      <w:r>
        <w:t xml:space="preserve"> </w:t>
      </w:r>
      <w:hyperlink r:id="rId48">
        <w:r>
          <w:rPr>
            <w:rStyle w:val="Hyperlink"/>
          </w:rPr>
          <w:t xml:space="preserve">[75]</w:t>
        </w:r>
      </w:hyperlink>
    </w:p>
    <w:p>
      <w:pPr>
        <w:pStyle w:val="BodyText"/>
      </w:pPr>
      <w:r>
        <w:t xml:space="preserve">Q 26:214 is terse, but major tafsīr corpora attach it to a concrete “close kin warning” episode. Ibn Kathīr explicitly frames it as a command to warn closest relatives and cites early reports.</w:t>
      </w:r>
      <w:r>
        <w:t xml:space="preserve"> </w:t>
      </w:r>
      <w:hyperlink r:id="rId62">
        <w:r>
          <w:rPr>
            <w:rStyle w:val="Hyperlink"/>
          </w:rPr>
          <w:t xml:space="preserve">[76]</w:t>
        </w:r>
      </w:hyperlink>
      <w:r>
        <w:t xml:space="preserve"> </w:t>
      </w:r>
      <w:r>
        <w:t xml:space="preserve">For cross-tradition visibility, Ibn ʿĀshūr also treats it as the pivot from general proclamation to nearer-circle warning.</w:t>
      </w:r>
      <w:r>
        <w:t xml:space="preserve"> </w:t>
      </w:r>
      <w:hyperlink r:id="rId36">
        <w:r>
          <w:rPr>
            <w:rStyle w:val="Hyperlink"/>
          </w:rPr>
          <w:t xml:space="preserve">[77]</w:t>
        </w:r>
      </w:hyperlink>
      <w:r>
        <w:t xml:space="preserve"> </w:t>
      </w:r>
      <w:r>
        <w:t xml:space="preserve">Shīʿī tafsīr traditions can place additional weight on this episode for community leadership implications; the key methodological point for a biography is that</w:t>
      </w:r>
      <w:r>
        <w:t xml:space="preserve"> </w:t>
      </w:r>
      <w:r>
        <w:rPr>
          <w:b/>
          <w:bCs/>
        </w:rPr>
        <w:t xml:space="preserve">the verse itself commands a family-address stage, while the details come from exegetical report material</w:t>
      </w:r>
      <w:r>
        <w:t xml:space="preserve">.</w:t>
      </w:r>
      <w:r>
        <w:t xml:space="preserve"> </w:t>
      </w:r>
      <w:hyperlink r:id="rId69">
        <w:r>
          <w:rPr>
            <w:rStyle w:val="Hyperlink"/>
          </w:rPr>
          <w:t xml:space="preserve">[78]</w:t>
        </w:r>
      </w:hyperlink>
    </w:p>
    <w:p>
      <w:pPr>
        <w:pStyle w:val="BodyText"/>
      </w:pPr>
      <w:r>
        <w:t xml:space="preserve">Named opposition becomes biographically vivid where the Qur’an names or clearly points to individuals. Q 111 condemns Abu Lahab</w:t>
      </w:r>
      <w:hyperlink r:id="rId42">
        <w:r>
          <w:rPr>
            <w:rStyle w:val="Hyperlink"/>
          </w:rPr>
          <w:t xml:space="preserve">[79]</w:t>
        </w:r>
      </w:hyperlink>
      <w:r>
        <w:t xml:space="preserve">; Ibn Kathīr explicitly identifies him as an uncle and preserves a cause narrative in which Abū Lahab responds with “tabban,” prompting the revelation.</w:t>
      </w:r>
      <w:r>
        <w:t xml:space="preserve"> </w:t>
      </w:r>
      <w:hyperlink r:id="rId70">
        <w:r>
          <w:rPr>
            <w:rStyle w:val="Hyperlink"/>
          </w:rPr>
          <w:t xml:space="preserve">[80]</w:t>
        </w:r>
      </w:hyperlink>
      <w:r>
        <w:t xml:space="preserve"> </w:t>
      </w:r>
      <w:r>
        <w:t xml:space="preserve">Q 108:3 (“your enemy is the one cut off”) is read in tafsīr as responding to taunts that the Prophet’s “line” is cut off; Maʿārif al-Qurʾān records multiple identifications of the taunters across report-lines, reflecting asbāb variability.</w:t>
      </w:r>
      <w:r>
        <w:t xml:space="preserve"> </w:t>
      </w:r>
      <w:hyperlink r:id="rId34">
        <w:r>
          <w:rPr>
            <w:rStyle w:val="Hyperlink"/>
          </w:rPr>
          <w:t xml:space="preserve">[81]</w:t>
        </w:r>
      </w:hyperlink>
    </w:p>
    <w:p>
      <w:pPr>
        <w:pStyle w:val="BodyText"/>
      </w:pPr>
      <w:r>
        <w:t xml:space="preserve">Q 109 is read as rejecting compromise proposals; Maʿārif al-Qurʾān preserves a compromise-offer narrative in which elites propose wealth/leadership or ritual compromise, after which the categorical dissociation is revealed.</w:t>
      </w:r>
      <w:r>
        <w:t xml:space="preserve"> </w:t>
      </w:r>
      <w:hyperlink r:id="rId37">
        <w:r>
          <w:rPr>
            <w:rStyle w:val="Hyperlink"/>
          </w:rPr>
          <w:t xml:space="preserve">[82]</w:t>
        </w:r>
      </w:hyperlink>
      <w:r>
        <w:t xml:space="preserve"> </w:t>
      </w:r>
      <w:r>
        <w:t xml:space="preserve">This matters biographically because it frames the Meccan mission as not merely “preaching,” but negotiating intense pressure for syncretism and refusing it through revelation.</w:t>
      </w:r>
    </w:p>
    <w:p>
      <w:pPr>
        <w:pStyle w:val="BodyText"/>
      </w:pPr>
      <w:r>
        <w:rPr>
          <w:b/>
          <w:bCs/>
        </w:rPr>
        <w:t xml:space="preserve">The Night Journey and Ascension: Meccan climax and interpretive complexity</w:t>
      </w:r>
    </w:p>
    <w:p>
      <w:pPr>
        <w:pStyle w:val="BodyText"/>
      </w:pPr>
      <w:r>
        <w:rPr>
          <w:b/>
          <w:bCs/>
        </w:rPr>
        <w:t xml:space="preserve">Qur’anic anchors:</w:t>
      </w:r>
      <w:r>
        <w:t xml:space="preserve"> </w:t>
      </w:r>
      <w:r>
        <w:t xml:space="preserve">Q 17:1; Q 53:11–18.</w:t>
      </w:r>
    </w:p>
    <w:p>
      <w:pPr>
        <w:pStyle w:val="BodyText"/>
      </w:pPr>
      <w:r>
        <w:t xml:space="preserve">Q 17:1 explicitly states a nocturnal journey from the Sacred Mosque to “the further mosque,” to show signs. Al-Ṭabarī identifies “the further mosque” as the sanctuary in Jerusalem, explaining the epithet “furthest” as distance and pilgrimage hierarchy.</w:t>
      </w:r>
      <w:r>
        <w:t xml:space="preserve"> </w:t>
      </w:r>
      <w:hyperlink r:id="rId71">
        <w:r>
          <w:rPr>
            <w:rStyle w:val="Hyperlink"/>
          </w:rPr>
          <w:t xml:space="preserve">[83]</w:t>
        </w:r>
      </w:hyperlink>
      <w:r>
        <w:t xml:space="preserve"> </w:t>
      </w:r>
      <w:r>
        <w:t xml:space="preserve">Al-Qurṭubī treats the verse as a major miracle and records extensive debate: (a) bodily journey vs visionary dream, (b) timing, and (c) implications for the obligation of prayer. He explicitly argues that the “bodily while awake” reading is the default unless impossibility forces metaphor, while still documenting minority views and date disagreements.</w:t>
      </w:r>
      <w:r>
        <w:t xml:space="preserve"> </w:t>
      </w:r>
      <w:hyperlink r:id="rId25">
        <w:r>
          <w:rPr>
            <w:rStyle w:val="Hyperlink"/>
          </w:rPr>
          <w:t xml:space="preserve">[84]</w:t>
        </w:r>
      </w:hyperlink>
      <w:r>
        <w:t xml:space="preserve"> </w:t>
      </w:r>
      <w:r>
        <w:t xml:space="preserve">Al-Ṭabarī likewise records dream/vision claims (attributed to specific report-lines) but then argues for the bodily journey as the sounder reading, partly because a mere dream would not function as evidentiary miracle in the polemical setting.</w:t>
      </w:r>
      <w:r>
        <w:t xml:space="preserve"> </w:t>
      </w:r>
      <w:hyperlink r:id="rId35">
        <w:r>
          <w:rPr>
            <w:rStyle w:val="Hyperlink"/>
          </w:rPr>
          <w:t xml:space="preserve">[85]</w:t>
        </w:r>
      </w:hyperlink>
    </w:p>
    <w:p>
      <w:pPr>
        <w:pStyle w:val="BodyText"/>
      </w:pPr>
      <w:r>
        <w:rPr>
          <w:b/>
          <w:bCs/>
        </w:rPr>
        <w:t xml:space="preserve">Visual grounding for the Hijra / Mecca–Medina axis and the Isra’ destination</w:t>
      </w:r>
      <w:r>
        <w:br/>
      </w:r>
    </w:p>
    <w:p>
      <w:pPr>
        <w:pStyle w:val="BodyText"/>
      </w:pPr>
      <w:r>
        <w:t xml:space="preserve">Q 53:11–18 is exegetically central because it is often paired with Miʿrāj/vision narratives, but it is also</w:t>
      </w:r>
      <w:r>
        <w:t xml:space="preserve"> </w:t>
      </w:r>
      <w:r>
        <w:rPr>
          <w:b/>
          <w:bCs/>
        </w:rPr>
        <w:t xml:space="preserve">interpretively contested</w:t>
      </w:r>
      <w:r>
        <w:t xml:space="preserve"> </w:t>
      </w:r>
      <w:r>
        <w:t xml:space="preserve">regarding</w:t>
      </w:r>
      <w:r>
        <w:t xml:space="preserve"> </w:t>
      </w:r>
      <w:r>
        <w:rPr>
          <w:i/>
          <w:iCs/>
        </w:rPr>
        <w:t xml:space="preserve">what</w:t>
      </w:r>
      <w:r>
        <w:t xml:space="preserve"> </w:t>
      </w:r>
      <w:r>
        <w:t xml:space="preserve">(or whom) the Prophet “saw.” Al-Ṭabarī reports a straightforward line that the vision concerns Jibril</w:t>
      </w:r>
      <w:hyperlink r:id="rId52">
        <w:r>
          <w:rPr>
            <w:rStyle w:val="Hyperlink"/>
          </w:rPr>
          <w:t xml:space="preserve">[86]</w:t>
        </w:r>
      </w:hyperlink>
      <w:r>
        <w:t xml:space="preserve"> </w:t>
      </w:r>
      <w:r>
        <w:t xml:space="preserve">in his created form, linking “the heart did not deny what it saw” to this recognition.</w:t>
      </w:r>
      <w:r>
        <w:t xml:space="preserve"> </w:t>
      </w:r>
      <w:hyperlink r:id="rId72">
        <w:r>
          <w:rPr>
            <w:rStyle w:val="Hyperlink"/>
          </w:rPr>
          <w:t xml:space="preserve">[87]</w:t>
        </w:r>
      </w:hyperlink>
      <w:r>
        <w:t xml:space="preserve"> </w:t>
      </w:r>
      <w:r>
        <w:t xml:space="preserve">Ibn Kathīr similarly emphasizes the “second seeing” of Gabriel on the night of Isra’, while acknowledging that some major authorities argued for a different referent.</w:t>
      </w:r>
      <w:r>
        <w:t xml:space="preserve"> </w:t>
      </w:r>
      <w:hyperlink r:id="rId73">
        <w:r>
          <w:rPr>
            <w:rStyle w:val="Hyperlink"/>
          </w:rPr>
          <w:t xml:space="preserve">[88]</w:t>
        </w:r>
      </w:hyperlink>
      <w:r>
        <w:t xml:space="preserve"> </w:t>
      </w:r>
      <w:r>
        <w:t xml:space="preserve">Al-Qurṭubī preserves a strong alternative line (attributed to Ibn ʿAbbās in his report corpus): that the Prophet “saw his Lord” with his heart, integrating Q 53:13 into that reading.</w:t>
      </w:r>
      <w:r>
        <w:t xml:space="preserve"> </w:t>
      </w:r>
      <w:hyperlink r:id="rId74">
        <w:r>
          <w:rPr>
            <w:rStyle w:val="Hyperlink"/>
          </w:rPr>
          <w:t xml:space="preserve">[89]</w:t>
        </w:r>
      </w:hyperlink>
      <w:r>
        <w:t xml:space="preserve"> </w:t>
      </w:r>
      <w:r>
        <w:t xml:space="preserve">These divergences need to be treated explicitly in any Qur’an-and-tafsīr biography (see comparative tables below).</w:t>
      </w:r>
    </w:p>
    <w:p>
      <w:pPr>
        <w:pStyle w:val="BodyText"/>
      </w:pPr>
      <w:r>
        <w:rPr>
          <w:b/>
          <w:bCs/>
        </w:rPr>
        <w:t xml:space="preserve">Migration and the Mecca-to-Medina transition (Hijra)</w:t>
      </w:r>
    </w:p>
    <w:p>
      <w:pPr>
        <w:pStyle w:val="BodyText"/>
      </w:pPr>
      <w:r>
        <w:rPr>
          <w:b/>
          <w:bCs/>
        </w:rPr>
        <w:t xml:space="preserve">Qur’anic anchors:</w:t>
      </w:r>
      <w:r>
        <w:t xml:space="preserve"> </w:t>
      </w:r>
      <w:r>
        <w:t xml:space="preserve">Q 9:40 (the cave), Q 16:41 (those who emigrated after being wronged), and the general emigration ethic verses (e.g., Q 2:218). (Q 8:30 is also commonly linked to the plot to restrain/kill/expel, but its detailed asbāb is usually supplied by tafsīr/an asbāb work rather than the verse alone.)</w:t>
      </w:r>
    </w:p>
    <w:p>
      <w:pPr>
        <w:pStyle w:val="BodyText"/>
      </w:pPr>
      <w:r>
        <w:t xml:space="preserve">Q 9:40 explicitly references expulsion, being “the second of two,” being “in the cave,” and reassurance to “his companion.” The verse itself does not name the companion, but Ibn Kathīr’s tafsīr tradition identifies the companion as Abu Bakr</w:t>
      </w:r>
      <w:hyperlink r:id="rId22">
        <w:r>
          <w:rPr>
            <w:rStyle w:val="Hyperlink"/>
          </w:rPr>
          <w:t xml:space="preserve">[90]</w:t>
        </w:r>
      </w:hyperlink>
      <w:r>
        <w:t xml:space="preserve"> </w:t>
      </w:r>
      <w:r>
        <w:t xml:space="preserve">and preserves the reassurance tradition (“What do you think of two with God as their third?”).</w:t>
      </w:r>
      <w:r>
        <w:t xml:space="preserve"> </w:t>
      </w:r>
      <w:hyperlink r:id="rId75">
        <w:r>
          <w:rPr>
            <w:rStyle w:val="Hyperlink"/>
          </w:rPr>
          <w:t xml:space="preserve">[91]</w:t>
        </w:r>
      </w:hyperlink>
      <w:r>
        <w:t xml:space="preserve"> </w:t>
      </w:r>
      <w:r>
        <w:t xml:space="preserve">Al-Qurṭubī provides the verse text and the exegetical setting of flight/expulsion.</w:t>
      </w:r>
      <w:r>
        <w:t xml:space="preserve"> </w:t>
      </w:r>
      <w:hyperlink r:id="rId26">
        <w:r>
          <w:rPr>
            <w:rStyle w:val="Hyperlink"/>
          </w:rPr>
          <w:t xml:space="preserve">[92]</w:t>
        </w:r>
      </w:hyperlink>
    </w:p>
    <w:p>
      <w:pPr>
        <w:pStyle w:val="BodyText"/>
      </w:pPr>
      <w:r>
        <w:t xml:space="preserve">Q 16:41 speaks generally of those who emigrated for God after being wronged; al-Ṭabarī makes the biography link explicit by identifying them as the Prophet’s companions wronged by Meccan persecution and by narrating phases: some went to Abyssinia and later were settled in Medina</w:t>
      </w:r>
      <w:hyperlink r:id="rId59">
        <w:r>
          <w:rPr>
            <w:rStyle w:val="Hyperlink"/>
          </w:rPr>
          <w:t xml:space="preserve">[93]</w:t>
        </w:r>
      </w:hyperlink>
      <w:r>
        <w:t xml:space="preserve">.</w:t>
      </w:r>
      <w:r>
        <w:t xml:space="preserve"> </w:t>
      </w:r>
      <w:hyperlink r:id="rId76">
        <w:r>
          <w:rPr>
            <w:rStyle w:val="Hyperlink"/>
          </w:rPr>
          <w:t xml:space="preserve">[94]</w:t>
        </w:r>
      </w:hyperlink>
      <w:r>
        <w:t xml:space="preserve"> </w:t>
      </w:r>
      <w:r>
        <w:t xml:space="preserve">This is a key example of “biography by tafsīr”:</w:t>
      </w:r>
      <w:r>
        <w:t xml:space="preserve"> </w:t>
      </w:r>
      <w:r>
        <w:rPr>
          <w:b/>
          <w:bCs/>
        </w:rPr>
        <w:t xml:space="preserve">the Qur’an provides the moral category, and tafsīr supplies the historical referent</w:t>
      </w:r>
      <w:r>
        <w:t xml:space="preserve">.</w:t>
      </w:r>
    </w:p>
    <w:p>
      <w:pPr>
        <w:pStyle w:val="BodyText"/>
      </w:pPr>
      <w:r>
        <w:rPr>
          <w:b/>
          <w:bCs/>
        </w:rPr>
        <w:t xml:space="preserve">Medinan period: community consolidation, conflict, treaties, and expansion</w:t>
      </w:r>
    </w:p>
    <w:p>
      <w:pPr>
        <w:pStyle w:val="BodyText"/>
      </w:pPr>
      <w:r>
        <w:t xml:space="preserve">Because the Qur’an is not a linear “campaign diary,” Medinan biography must be organized around (a) verses that explicitly name events or locales, and (b) clusters where mufassirūn explicitly say “this was about X.”</w:t>
      </w:r>
    </w:p>
    <w:p>
      <w:pPr>
        <w:pStyle w:val="BodyText"/>
      </w:pPr>
      <w:r>
        <w:rPr>
          <w:b/>
          <w:bCs/>
        </w:rPr>
        <w:t xml:space="preserve">Battles and military crises (named by place or strongly attached in tafsīr)</w:t>
      </w:r>
      <w:r>
        <w:br/>
      </w:r>
      <w:r>
        <w:t xml:space="preserve">-</w:t>
      </w:r>
      <w:r>
        <w:t xml:space="preserve"> </w:t>
      </w:r>
      <w:r>
        <w:rPr>
          <w:b/>
          <w:bCs/>
        </w:rPr>
        <w:t xml:space="preserve">Badr (Q 3:123):</w:t>
      </w:r>
      <w:r>
        <w:t xml:space="preserve"> </w:t>
      </w:r>
      <w:r>
        <w:t xml:space="preserve">The verse explicitly names Badr as a locus of divine aid. Al-Qurṭubī, in commenting on Q 3:123, makes the incident manifestly historical, providing a precise dating tradition (“Friday, 17 Ramadan”) and battleground framing.</w:t>
      </w:r>
      <w:r>
        <w:t xml:space="preserve"> </w:t>
      </w:r>
      <w:hyperlink r:id="rId28">
        <w:r>
          <w:rPr>
            <w:rStyle w:val="Hyperlink"/>
          </w:rPr>
          <w:t xml:space="preserve">[95]</w:t>
        </w:r>
      </w:hyperlink>
      <w:r>
        <w:t xml:space="preserve"> </w:t>
      </w:r>
      <w:r>
        <w:t xml:space="preserve">Al-Ṭabarī’s treatment of “the Day of Criterion” (Q 8:41) explicitly identifies it as the day the two armies met (Badr), reinforcing the Qur’an’s event linkage.</w:t>
      </w:r>
      <w:r>
        <w:t xml:space="preserve"> </w:t>
      </w:r>
      <w:hyperlink r:id="rId77">
        <w:r>
          <w:rPr>
            <w:rStyle w:val="Hyperlink"/>
          </w:rPr>
          <w:t xml:space="preserve">[96]</w:t>
        </w:r>
      </w:hyperlink>
      <w:r>
        <w:br/>
      </w:r>
      <w:r>
        <w:t xml:space="preserve">-</w:t>
      </w:r>
      <w:r>
        <w:t xml:space="preserve"> </w:t>
      </w:r>
      <w:r>
        <w:rPr>
          <w:b/>
          <w:bCs/>
        </w:rPr>
        <w:t xml:space="preserve">Uhud (Q 3:144):</w:t>
      </w:r>
      <w:r>
        <w:t xml:space="preserve"> </w:t>
      </w:r>
      <w:r>
        <w:t xml:space="preserve">The verse itself uses the conditional “if he died or was killed,” aimed at preventing apostasy regression; tafsīr commonly maps it to a rumor in the battle context. English-access Ibn Kathīr explicitly states that a cry spread that the Prophet was killed at Uhud, weakening some resolve, whereupon the verse was revealed.</w:t>
      </w:r>
      <w:r>
        <w:t xml:space="preserve"> </w:t>
      </w:r>
      <w:hyperlink r:id="rId78">
        <w:r>
          <w:rPr>
            <w:rStyle w:val="Hyperlink"/>
          </w:rPr>
          <w:t xml:space="preserve">[97]</w:t>
        </w:r>
      </w:hyperlink>
      <w:r>
        <w:br/>
      </w:r>
      <w:r>
        <w:t xml:space="preserve">-</w:t>
      </w:r>
      <w:r>
        <w:t xml:space="preserve"> </w:t>
      </w:r>
      <w:r>
        <w:rPr>
          <w:b/>
          <w:bCs/>
        </w:rPr>
        <w:t xml:space="preserve">The Confederates / Khandaq (Q 33:9):</w:t>
      </w:r>
      <w:r>
        <w:t xml:space="preserve"> </w:t>
      </w:r>
      <w:r>
        <w:t xml:space="preserve">Ibn Kathīr’s tafsīr explicitly names the “Campaign of the Confederates,” situates it at “the year of al-Khandaq,” and even records a debated year (5 AH as “well-known correct view,” with some saying 4 AH).</w:t>
      </w:r>
      <w:r>
        <w:t xml:space="preserve"> </w:t>
      </w:r>
      <w:hyperlink r:id="rId43">
        <w:r>
          <w:rPr>
            <w:rStyle w:val="Hyperlink"/>
          </w:rPr>
          <w:t xml:space="preserve">[98]</w:t>
        </w:r>
      </w:hyperlink>
      <w:r>
        <w:br/>
      </w:r>
      <w:r>
        <w:t xml:space="preserve">-</w:t>
      </w:r>
      <w:r>
        <w:t xml:space="preserve"> </w:t>
      </w:r>
      <w:r>
        <w:rPr>
          <w:b/>
          <w:bCs/>
        </w:rPr>
        <w:t xml:space="preserve">Hunayn (Q 9:25):</w:t>
      </w:r>
      <w:r>
        <w:t xml:space="preserve"> </w:t>
      </w:r>
      <w:r>
        <w:t xml:space="preserve">The verse explicitly names Hunayn; al-Ṭabarī reads it as an admonitory lesson about overconfidence in numbers, anchored to that battle-day.</w:t>
      </w:r>
      <w:r>
        <w:t xml:space="preserve"> </w:t>
      </w:r>
      <w:hyperlink r:id="rId79">
        <w:r>
          <w:rPr>
            <w:rStyle w:val="Hyperlink"/>
          </w:rPr>
          <w:t xml:space="preserve">[99]</w:t>
        </w:r>
      </w:hyperlink>
      <w:r>
        <w:br/>
      </w:r>
      <w:r>
        <w:t xml:space="preserve">-</w:t>
      </w:r>
      <w:r>
        <w:t xml:space="preserve"> </w:t>
      </w:r>
      <w:r>
        <w:rPr>
          <w:b/>
          <w:bCs/>
        </w:rPr>
        <w:t xml:space="preserve">Tabuk (Q 9:38):</w:t>
      </w:r>
      <w:r>
        <w:t xml:space="preserve"> </w:t>
      </w:r>
      <w:r>
        <w:t xml:space="preserve">al-Ṭabarī directly identifies the verse as a mobilization for the expedition against the Byzantines—explicitly naming it as the Tabuk campaign.</w:t>
      </w:r>
      <w:r>
        <w:t xml:space="preserve"> </w:t>
      </w:r>
      <w:hyperlink r:id="rId80">
        <w:r>
          <w:rPr>
            <w:rStyle w:val="Hyperlink"/>
          </w:rPr>
          <w:t xml:space="preserve">[100]</w:t>
        </w:r>
      </w:hyperlink>
    </w:p>
    <w:p>
      <w:pPr>
        <w:pStyle w:val="BodyText"/>
      </w:pPr>
      <w:r>
        <w:rPr>
          <w:b/>
          <w:bCs/>
        </w:rPr>
        <w:t xml:space="preserve">Treaties: Hudaybiyyah as “manifest victory” and the logic of peace</w:t>
      </w:r>
      <w:r>
        <w:br/>
      </w:r>
      <w:r>
        <w:t xml:space="preserve">Q 48:1 announces a “manifest victory” without naming a treaty; major tafsīr attaches it to Hudaybiyyah. Ibn Kathīr explicitly states that what is meant is the treaty of Hudaybiyyah and emphasizes its downstream benefits (security, social contact, spread of knowledge).</w:t>
      </w:r>
      <w:r>
        <w:t xml:space="preserve"> </w:t>
      </w:r>
      <w:hyperlink r:id="rId46">
        <w:r>
          <w:rPr>
            <w:rStyle w:val="Hyperlink"/>
          </w:rPr>
          <w:t xml:space="preserve">[101]</w:t>
        </w:r>
      </w:hyperlink>
      <w:r>
        <w:t xml:space="preserve"> </w:t>
      </w:r>
      <w:r>
        <w:t xml:space="preserve">Al-Qurṭubī likewise introduces Sūrat al-Fatḥ as revealed “regarding Hudaybiyyah.”</w:t>
      </w:r>
      <w:r>
        <w:t xml:space="preserve"> </w:t>
      </w:r>
      <w:hyperlink r:id="rId57">
        <w:r>
          <w:rPr>
            <w:rStyle w:val="Hyperlink"/>
          </w:rPr>
          <w:t xml:space="preserve">[102]</w:t>
        </w:r>
      </w:hyperlink>
      <w:r>
        <w:t xml:space="preserve"> </w:t>
      </w:r>
      <w:r>
        <w:t xml:space="preserve">Al-Baghawī records interpretive plurality (some reported it as Mecca’s conquest; some as Khaybar; “most” as Hudaybiyyah), which is important for contested biography mapping.</w:t>
      </w:r>
      <w:r>
        <w:t xml:space="preserve"> </w:t>
      </w:r>
      <w:hyperlink r:id="rId40">
        <w:r>
          <w:rPr>
            <w:rStyle w:val="Hyperlink"/>
          </w:rPr>
          <w:t xml:space="preserve">[58]</w:t>
        </w:r>
      </w:hyperlink>
      <w:r>
        <w:t xml:space="preserve"> </w:t>
      </w:r>
      <w:r>
        <w:t xml:space="preserve">Al-Ṭabarī’s explanation frames “victory” as divine judgment granting dominance and foreshadows later “فتح.”</w:t>
      </w:r>
      <w:r>
        <w:t xml:space="preserve"> </w:t>
      </w:r>
      <w:hyperlink r:id="rId27">
        <w:r>
          <w:rPr>
            <w:rStyle w:val="Hyperlink"/>
          </w:rPr>
          <w:t xml:space="preserve">[103]</w:t>
        </w:r>
      </w:hyperlink>
    </w:p>
    <w:p>
      <w:pPr>
        <w:pStyle w:val="BodyText"/>
      </w:pPr>
      <w:r>
        <w:rPr>
          <w:b/>
          <w:bCs/>
        </w:rPr>
        <w:t xml:space="preserve">Family and household: marriages, etiquette, and domestic trials</w:t>
      </w:r>
    </w:p>
    <w:p>
      <w:pPr>
        <w:pStyle w:val="BodyText"/>
      </w:pPr>
      <w:r>
        <w:rPr>
          <w:b/>
          <w:bCs/>
        </w:rPr>
        <w:t xml:space="preserve">Qur’anic anchors:</w:t>
      </w:r>
      <w:r>
        <w:t xml:space="preserve"> </w:t>
      </w:r>
      <w:r>
        <w:t xml:space="preserve">Q 33:37 (marriage after Zayd’s divorce); Q 66:1 (self-prohibition to please wives); Q 24:11–20 (Ifk/slander); Q 33:40 (not father of any of your men; seal of prophets).</w:t>
      </w:r>
    </w:p>
    <w:p>
      <w:pPr>
        <w:pStyle w:val="BodyText"/>
      </w:pPr>
      <w:r>
        <w:t xml:space="preserve">Q 33:37 explicitly references Zayd ibn Harithah</w:t>
      </w:r>
      <w:hyperlink r:id="rId81">
        <w:r>
          <w:rPr>
            <w:rStyle w:val="Hyperlink"/>
          </w:rPr>
          <w:t xml:space="preserve">[104]</w:t>
        </w:r>
      </w:hyperlink>
      <w:r>
        <w:t xml:space="preserve"> </w:t>
      </w:r>
      <w:r>
        <w:t xml:space="preserve">(without naming, but “the one God favored and you favored,” identified in tafsīr), his divorce, and the Prophet’s subsequent marriage to Zaynab bint Jahsh</w:t>
      </w:r>
      <w:hyperlink r:id="rId63">
        <w:r>
          <w:rPr>
            <w:rStyle w:val="Hyperlink"/>
          </w:rPr>
          <w:t xml:space="preserve">[105]</w:t>
        </w:r>
      </w:hyperlink>
      <w:r>
        <w:t xml:space="preserve">. Al-Qurṭubī provides the verse and tafsīr apparatus on the legal rationale (“so there is no blame regarding wives of adopted sons”).</w:t>
      </w:r>
      <w:r>
        <w:t xml:space="preserve"> </w:t>
      </w:r>
      <w:hyperlink r:id="rId29">
        <w:r>
          <w:rPr>
            <w:rStyle w:val="Hyperlink"/>
          </w:rPr>
          <w:t xml:space="preserve">[106]</w:t>
        </w:r>
      </w:hyperlink>
      <w:r>
        <w:t xml:space="preserve"> </w:t>
      </w:r>
      <w:r>
        <w:t xml:space="preserve">Ibn Kathīr’s tafsīr frames it as divine rebuke and legal-social reform (ending pre-Islamic adoption equivalence), explicitly narrating the story as “Allah’s rebuke to His Messenger and the story of Zayd and Zaynab.”</w:t>
      </w:r>
      <w:r>
        <w:t xml:space="preserve"> </w:t>
      </w:r>
      <w:hyperlink r:id="rId82">
        <w:r>
          <w:rPr>
            <w:rStyle w:val="Hyperlink"/>
          </w:rPr>
          <w:t xml:space="preserve">[107]</w:t>
        </w:r>
      </w:hyperlink>
      <w:r>
        <w:t xml:space="preserve"> </w:t>
      </w:r>
      <w:r>
        <w:t xml:space="preserve">Maʿārif al-Qurʾān reports a line in which the Prophet is informed by revelation of the future divorce and marriage, illustrating how tafsīr sometimes narrativizes divine foreknowledge.</w:t>
      </w:r>
      <w:r>
        <w:t xml:space="preserve"> </w:t>
      </w:r>
      <w:hyperlink r:id="rId83">
        <w:r>
          <w:rPr>
            <w:rStyle w:val="Hyperlink"/>
          </w:rPr>
          <w:t xml:space="preserve">[108]</w:t>
        </w:r>
      </w:hyperlink>
    </w:p>
    <w:p>
      <w:pPr>
        <w:pStyle w:val="BodyText"/>
      </w:pPr>
      <w:r>
        <w:t xml:space="preserve">Q 66:1 is a domestic-ethical anchor. The verse indicates self-prohibition to please wives (without naming the incident). Ibn Kathīr’s tafsīr treats it as addressing a specific household situation and uses it to illustrate prophetic discipline and divine correction.</w:t>
      </w:r>
      <w:r>
        <w:t xml:space="preserve"> </w:t>
      </w:r>
      <w:hyperlink r:id="rId84">
        <w:r>
          <w:rPr>
            <w:rStyle w:val="Hyperlink"/>
          </w:rPr>
          <w:t xml:space="preserve">[109]</w:t>
        </w:r>
      </w:hyperlink>
    </w:p>
    <w:p>
      <w:pPr>
        <w:pStyle w:val="BodyText"/>
      </w:pPr>
      <w:r>
        <w:t xml:space="preserve">Q 24:11 is a strong Grade A biography anchor because it explicitly references a “slander” brought by a group. Tafsīr then identifies the incident as the Ifk and supplies the parties. Al-Ṭabarī explicitly names individuals in the group and explains the moral logic (“do not think it bad; it is good” as purification and public vindication).</w:t>
      </w:r>
      <w:r>
        <w:t xml:space="preserve"> </w:t>
      </w:r>
      <w:hyperlink r:id="rId85">
        <w:r>
          <w:rPr>
            <w:rStyle w:val="Hyperlink"/>
          </w:rPr>
          <w:t xml:space="preserve">[110]</w:t>
        </w:r>
      </w:hyperlink>
      <w:r>
        <w:t xml:space="preserve"> </w:t>
      </w:r>
      <w:r>
        <w:t xml:space="preserve">Ibn Kathīr explicitly identifies it as the revelation exonerating Aisha</w:t>
      </w:r>
      <w:hyperlink r:id="rId73">
        <w:r>
          <w:rPr>
            <w:rStyle w:val="Hyperlink"/>
          </w:rPr>
          <w:t xml:space="preserve">[111]</w:t>
        </w:r>
      </w:hyperlink>
      <w:r>
        <w:t xml:space="preserve"> </w:t>
      </w:r>
      <w:r>
        <w:t xml:space="preserve">and frames it as divine protection of prophetic honor.</w:t>
      </w:r>
      <w:r>
        <w:t xml:space="preserve"> </w:t>
      </w:r>
      <w:hyperlink r:id="rId53">
        <w:r>
          <w:rPr>
            <w:rStyle w:val="Hyperlink"/>
          </w:rPr>
          <w:t xml:space="preserve">[112]</w:t>
        </w:r>
      </w:hyperlink>
      <w:r>
        <w:t xml:space="preserve"> </w:t>
      </w:r>
      <w:r>
        <w:t xml:space="preserve">Maududi’s “Tafhīm” also treats it as an allusion to the slander against A’ishah and emphasizes that the Qur’an itself labels it “ifk,” implying refutation.</w:t>
      </w:r>
      <w:r>
        <w:t xml:space="preserve"> </w:t>
      </w:r>
      <w:hyperlink r:id="rId86">
        <w:r>
          <w:rPr>
            <w:rStyle w:val="Hyperlink"/>
          </w:rPr>
          <w:t xml:space="preserve">[113]</w:t>
        </w:r>
      </w:hyperlink>
    </w:p>
    <w:p>
      <w:pPr>
        <w:pStyle w:val="BodyText"/>
      </w:pPr>
      <w:r>
        <w:rPr>
          <w:b/>
          <w:bCs/>
        </w:rPr>
        <w:t xml:space="preserve">Character and prophetic ethos: mercy, consultation, and moral excellence</w:t>
      </w:r>
    </w:p>
    <w:p>
      <w:pPr>
        <w:pStyle w:val="BodyText"/>
      </w:pPr>
      <w:r>
        <w:rPr>
          <w:b/>
          <w:bCs/>
        </w:rPr>
        <w:t xml:space="preserve">Qur’anic anchors:</w:t>
      </w:r>
      <w:r>
        <w:t xml:space="preserve"> </w:t>
      </w:r>
      <w:r>
        <w:t xml:space="preserve">Q 68:4 (“great character”), Q 21:107 (“mercy to the worlds”), Q 33:21 (“excellent example”), Q 3:159 (“lenient; consult them”).</w:t>
      </w:r>
    </w:p>
    <w:p>
      <w:pPr>
        <w:pStyle w:val="BodyText"/>
      </w:pPr>
      <w:r>
        <w:t xml:space="preserve">Al-Ṭabarī reads Q 68:4 as “a great discipline/ethos,” identifying it as the “adab of the Qur’an” and thus tying prophetic character directly to revelation-guided practice.</w:t>
      </w:r>
      <w:r>
        <w:t xml:space="preserve"> </w:t>
      </w:r>
      <w:hyperlink r:id="rId87">
        <w:r>
          <w:rPr>
            <w:rStyle w:val="Hyperlink"/>
          </w:rPr>
          <w:t xml:space="preserve">[114]</w:t>
        </w:r>
      </w:hyperlink>
      <w:r>
        <w:t xml:space="preserve"> </w:t>
      </w:r>
      <w:r>
        <w:t xml:space="preserve">Ibn Kathīr records a famous interpretive line: that his “character was the Qur’an,” preserving the idea that prophetic character is a lived embodiment of scriptural ethics.</w:t>
      </w:r>
      <w:r>
        <w:t xml:space="preserve"> </w:t>
      </w:r>
      <w:hyperlink r:id="rId88">
        <w:r>
          <w:rPr>
            <w:rStyle w:val="Hyperlink"/>
          </w:rPr>
          <w:t xml:space="preserve">[115]</w:t>
        </w:r>
      </w:hyperlink>
      <w:r>
        <w:t xml:space="preserve"> </w:t>
      </w:r>
      <w:r>
        <w:t xml:space="preserve">Al-Qurṭubī records multiple expansions: completion of noble character traits, gentleness toward the community, and the linguistic meaning of “khuluq.”</w:t>
      </w:r>
      <w:r>
        <w:t xml:space="preserve"> </w:t>
      </w:r>
      <w:hyperlink r:id="rId89">
        <w:r>
          <w:rPr>
            <w:rStyle w:val="Hyperlink"/>
          </w:rPr>
          <w:t xml:space="preserve">[116]</w:t>
        </w:r>
      </w:hyperlink>
    </w:p>
    <w:p>
      <w:pPr>
        <w:pStyle w:val="BodyText"/>
      </w:pPr>
      <w:r>
        <w:t xml:space="preserve">Q 21:107 defines the mission as “mercy for the worlds,” but al-Ṭabarī records an interpretive dispute: is “mercy” intended for believers only, or also for disbelievers in some worldly sense (e.g., delayed punishment, ethical mediation)? He explicitly states the disagreement, which is important for “legacy” framing.</w:t>
      </w:r>
      <w:r>
        <w:t xml:space="preserve"> </w:t>
      </w:r>
      <w:hyperlink r:id="rId38">
        <w:r>
          <w:rPr>
            <w:rStyle w:val="Hyperlink"/>
          </w:rPr>
          <w:t xml:space="preserve">[117]</w:t>
        </w:r>
      </w:hyperlink>
    </w:p>
    <w:p>
      <w:pPr>
        <w:pStyle w:val="BodyText"/>
      </w:pPr>
      <w:r>
        <w:t xml:space="preserve">Q 33:21 is used in tafsīr as a foundational principle of prophetic exemplarity; Ibn Kathīr calls it a “great foundation” for emulation.</w:t>
      </w:r>
      <w:r>
        <w:t xml:space="preserve"> </w:t>
      </w:r>
      <w:hyperlink r:id="rId41">
        <w:r>
          <w:rPr>
            <w:rStyle w:val="Hyperlink"/>
          </w:rPr>
          <w:t xml:space="preserve">[118]</w:t>
        </w:r>
      </w:hyperlink>
    </w:p>
    <w:p>
      <w:pPr>
        <w:pStyle w:val="BodyText"/>
      </w:pPr>
      <w:r>
        <w:t xml:space="preserve">Q 3:159 frames prophetic leadership as leniency, pardon, and consultation. Maʿārif al-Qurʾān highlights this leadership ethic, including decision-making with consultation and reliance on God.</w:t>
      </w:r>
      <w:r>
        <w:t xml:space="preserve"> </w:t>
      </w:r>
      <w:hyperlink r:id="rId90">
        <w:r>
          <w:rPr>
            <w:rStyle w:val="Hyperlink"/>
          </w:rPr>
          <w:t xml:space="preserve">[119]</w:t>
        </w:r>
      </w:hyperlink>
    </w:p>
    <w:p>
      <w:pPr>
        <w:pStyle w:val="BodyText"/>
      </w:pPr>
      <w:r>
        <w:rPr>
          <w:b/>
          <w:bCs/>
        </w:rPr>
        <w:t xml:space="preserve">Death and final days: mortality, completion motifs, and enduring mission</w:t>
      </w:r>
    </w:p>
    <w:p>
      <w:pPr>
        <w:pStyle w:val="BodyText"/>
      </w:pPr>
      <w:r>
        <w:rPr>
          <w:b/>
          <w:bCs/>
        </w:rPr>
        <w:t xml:space="preserve">Qur’anic anchors:</w:t>
      </w:r>
      <w:r>
        <w:t xml:space="preserve"> </w:t>
      </w:r>
      <w:r>
        <w:t xml:space="preserve">Q 39:30 (“you will die and they will die”), Q 3:144 (messenger mortality clause), Q 110:1–3 (interpreted as a sign of approaching end), Q 33:40 (seal/finality), alongside universal mission verses Q 7:158 and Q 34:28.</w:t>
      </w:r>
    </w:p>
    <w:p>
      <w:pPr>
        <w:pStyle w:val="BodyText"/>
      </w:pPr>
      <w:r>
        <w:t xml:space="preserve">Q 39:30 explicitly states mortality; al-Ṭabarī glosses it plainly (“you will die soon; so will they”), emphasizing universal death, while Ibn Kathīr notes that early leaders cited this verse when the Prophet died to steady the community.</w:t>
      </w:r>
      <w:r>
        <w:t xml:space="preserve"> </w:t>
      </w:r>
      <w:hyperlink r:id="rId81">
        <w:r>
          <w:rPr>
            <w:rStyle w:val="Hyperlink"/>
          </w:rPr>
          <w:t xml:space="preserve">[120]</w:t>
        </w:r>
      </w:hyperlink>
      <w:r>
        <w:t xml:space="preserve"> </w:t>
      </w:r>
      <w:r>
        <w:t xml:space="preserve">Q 3:144 is commonly tied in tafsīr to the Uhud rumor (as above), but it also functions as a key “legacy” anchor: the community must not collapse if the Messenger dies.</w:t>
      </w:r>
      <w:r>
        <w:t xml:space="preserve"> </w:t>
      </w:r>
      <w:hyperlink r:id="rId78">
        <w:r>
          <w:rPr>
            <w:rStyle w:val="Hyperlink"/>
          </w:rPr>
          <w:t xml:space="preserve">[97]</w:t>
        </w:r>
      </w:hyperlink>
    </w:p>
    <w:p>
      <w:pPr>
        <w:pStyle w:val="BodyText"/>
      </w:pPr>
      <w:r>
        <w:t xml:space="preserve">Sūrat al-Naṣr (Q 110:1) explicitly references “help” and “opening/conquest.” Ibn Kathīr’s English-access tafsīr interprets it as</w:t>
      </w:r>
      <w:r>
        <w:t xml:space="preserve"> </w:t>
      </w:r>
      <w:r>
        <w:rPr>
          <w:b/>
          <w:bCs/>
        </w:rPr>
        <w:t xml:space="preserve">a sign that the end of the Prophet’s life is near</w:t>
      </w:r>
      <w:r>
        <w:t xml:space="preserve">, making it a Qur’an-based “approaching death” indicator used by exegetes.</w:t>
      </w:r>
      <w:r>
        <w:t xml:space="preserve"> </w:t>
      </w:r>
      <w:hyperlink r:id="rId91">
        <w:r>
          <w:rPr>
            <w:rStyle w:val="Hyperlink"/>
          </w:rPr>
          <w:t xml:space="preserve">[121]</w:t>
        </w:r>
      </w:hyperlink>
    </w:p>
    <w:p>
      <w:pPr>
        <w:pStyle w:val="BodyText"/>
      </w:pPr>
      <w:r>
        <w:t xml:space="preserve">Finality and legacy are anchored in Q 33:40 (“seal of the prophets”). Al-Rāzī argues that the verse’s finality intensifies prophetic care for the community: unlike a prophet after whom another prophet will correct omissions, the final prophet must deliver counsel and guidance completely.</w:t>
      </w:r>
      <w:r>
        <w:t xml:space="preserve"> </w:t>
      </w:r>
      <w:hyperlink r:id="rId30">
        <w:r>
          <w:rPr>
            <w:rStyle w:val="Hyperlink"/>
          </w:rPr>
          <w:t xml:space="preserve">[122]</w:t>
        </w:r>
      </w:hyperlink>
      <w:r>
        <w:t xml:space="preserve"> </w:t>
      </w:r>
      <w:r>
        <w:t xml:space="preserve">Maududi’s tafsīr explicitly states the conclusion of prophethood after him.</w:t>
      </w:r>
      <w:r>
        <w:t xml:space="preserve"> </w:t>
      </w:r>
      <w:hyperlink r:id="rId92">
        <w:r>
          <w:rPr>
            <w:rStyle w:val="Hyperlink"/>
          </w:rPr>
          <w:t xml:space="preserve">[123]</w:t>
        </w:r>
      </w:hyperlink>
    </w:p>
    <w:p>
      <w:pPr>
        <w:pStyle w:val="BodyText"/>
      </w:pPr>
      <w:r>
        <w:t xml:space="preserve">Universal mission and enduring legacy are strongly stated in Q 7:158 (“to all people”) and Q 34:28 (“to all humanity”). Al-Ṭabarī on Q 7:158 explicitly contrasts earlier messengers limited to particular peoples with Muhammad’s universal mission.</w:t>
      </w:r>
      <w:r>
        <w:t xml:space="preserve"> </w:t>
      </w:r>
      <w:hyperlink r:id="rId93">
        <w:r>
          <w:rPr>
            <w:rStyle w:val="Hyperlink"/>
          </w:rPr>
          <w:t xml:space="preserve">[124]</w:t>
        </w:r>
      </w:hyperlink>
      <w:r>
        <w:t xml:space="preserve"> </w:t>
      </w:r>
      <w:r>
        <w:t xml:space="preserve">Al-Ṭabarī similarly reads Q 34:28 as comprehensive across Arabs/non-Arabs and across peoples, reinforcing the “legacy beyond Arabia” framing within tafsīr.</w:t>
      </w:r>
      <w:r>
        <w:t xml:space="preserve"> </w:t>
      </w:r>
      <w:hyperlink r:id="rId39">
        <w:r>
          <w:rPr>
            <w:rStyle w:val="Hyperlink"/>
          </w:rPr>
          <w:t xml:space="preserve">[125]</w:t>
        </w:r>
      </w:hyperlink>
    </w:p>
    <w:bookmarkEnd w:id="94"/>
    <w:bookmarkStart w:id="99" w:name="X21dc39153fc85dbf80c6d3a4086c7ef1bb6784c"/>
    <w:p>
      <w:pPr>
        <w:pStyle w:val="Heading2"/>
      </w:pPr>
      <w:r>
        <w:t xml:space="preserve">Comparative tafsīr tables for contested or interpretively loaded biography points</w:t>
      </w:r>
    </w:p>
    <w:bookmarkStart w:id="96" w:name="X3c53a0eb68fbeea0532b5c2c4d81673af9e19c0"/>
    <w:p>
      <w:pPr>
        <w:pStyle w:val="Heading3"/>
      </w:pPr>
      <w:r>
        <w:t xml:space="preserve">Sequence and dating disputes that affect chronology</w:t>
      </w:r>
    </w:p>
    <w:tbl>
      <w:tblPr>
        <w:tblStyle w:val="Table"/>
        <w:tblW w:type="auto" w:w="0"/>
        <w:tblLook w:firstRow="1" w:lastRow="0" w:firstColumn="0" w:lastColumn="0" w:noHBand="0" w:noVBand="0" w:val="0020"/>
      </w:tblPr>
      <w:tblGrid>
        <w:gridCol w:w="1584"/>
        <w:gridCol w:w="1584"/>
        <w:gridCol w:w="1584"/>
        <w:gridCol w:w="1584"/>
        <w:gridCol w:w="1584"/>
      </w:tblGrid>
      <w:tr>
        <w:trPr>
          <w:tblHeader w:val="on"/>
        </w:trPr>
        <w:tc>
          <w:tcPr/>
          <w:p>
            <w:pPr>
              <w:pStyle w:val="Compact"/>
            </w:pPr>
            <w:r>
              <w:t xml:space="preserve">Issue</w:t>
            </w:r>
          </w:p>
        </w:tc>
        <w:tc>
          <w:tcPr/>
          <w:p>
            <w:pPr>
              <w:pStyle w:val="Compact"/>
            </w:pPr>
            <w:r>
              <w:t xml:space="preserve">Verse anchor</w:t>
            </w:r>
          </w:p>
        </w:tc>
        <w:tc>
          <w:tcPr/>
          <w:p>
            <w:pPr>
              <w:pStyle w:val="Compact"/>
            </w:pPr>
            <w:r>
              <w:t xml:space="preserve">Major tafsīr positions</w:t>
            </w:r>
          </w:p>
        </w:tc>
        <w:tc>
          <w:tcPr/>
          <w:p>
            <w:pPr>
              <w:pStyle w:val="Compact"/>
            </w:pPr>
            <w:r>
              <w:t xml:space="preserve">What the verse itself does (and does not) say</w:t>
            </w:r>
          </w:p>
        </w:tc>
        <w:tc>
          <w:tcPr/>
          <w:p>
            <w:pPr>
              <w:pStyle w:val="Compact"/>
            </w:pPr>
            <w:r>
              <w:t xml:space="preserve">Implication for biography writing</w:t>
            </w:r>
          </w:p>
        </w:tc>
      </w:tr>
      <w:tr>
        <w:tc>
          <w:tcPr/>
          <w:p>
            <w:pPr>
              <w:pStyle w:val="Compact"/>
            </w:pPr>
            <w:r>
              <w:t xml:space="preserve">“First revealed” passage</w:t>
            </w:r>
          </w:p>
        </w:tc>
        <w:tc>
          <w:tcPr/>
          <w:p>
            <w:pPr>
              <w:pStyle w:val="Compact"/>
            </w:pPr>
            <w:r>
              <w:t xml:space="preserve">Q 96:1 vs Q 74:1</w:t>
            </w:r>
          </w:p>
        </w:tc>
        <w:tc>
          <w:tcPr/>
          <w:p>
            <w:pPr>
              <w:pStyle w:val="Compact"/>
            </w:pPr>
            <w:r>
              <w:t xml:space="preserve">Ibn Kathīr frames Q 96:1 as first revelation and preserves a detailed report-line of the initial encounter; al-Ṭabarī preserves the view that Q 74:1 was first, embedding it in a “cloaked” narrative; Maʿārif al-Qurʾān states a dominant consensus for the first five of Q 96 while explicitly acknowledging rival claims (Q 74 or Q 1).</w:t>
            </w:r>
            <w:r>
              <w:t xml:space="preserve"> </w:t>
            </w:r>
            <w:hyperlink r:id="rId65">
              <w:r>
                <w:rPr>
                  <w:rStyle w:val="Hyperlink"/>
                </w:rPr>
                <w:t xml:space="preserve">[126]</w:t>
              </w:r>
            </w:hyperlink>
          </w:p>
        </w:tc>
        <w:tc>
          <w:tcPr/>
          <w:p>
            <w:pPr>
              <w:pStyle w:val="Compact"/>
            </w:pPr>
            <w:r>
              <w:t xml:space="preserve">Neither verse says “this is the first revelation.” The “firstness” is a tafsīr/hadith-based claim.</w:t>
            </w:r>
          </w:p>
        </w:tc>
        <w:tc>
          <w:tcPr/>
          <w:p>
            <w:pPr>
              <w:pStyle w:val="Compact"/>
            </w:pPr>
            <w:r>
              <w:t xml:space="preserve">Present as a</w:t>
            </w:r>
            <w:r>
              <w:t xml:space="preserve"> </w:t>
            </w:r>
            <w:r>
              <w:rPr>
                <w:b/>
                <w:bCs/>
              </w:rPr>
              <w:t xml:space="preserve">documented dispute</w:t>
            </w:r>
            <w:r>
              <w:t xml:space="preserve">; narrate both sequences or choose one with explicit justification and citations.</w:t>
            </w:r>
          </w:p>
        </w:tc>
      </w:tr>
      <w:tr>
        <w:tc>
          <w:tcPr/>
          <w:p>
            <w:pPr>
              <w:pStyle w:val="Compact"/>
            </w:pPr>
            <w:r>
              <w:t xml:space="preserve">“Manifest victory” referent</w:t>
            </w:r>
          </w:p>
        </w:tc>
        <w:tc>
          <w:tcPr/>
          <w:p>
            <w:pPr>
              <w:pStyle w:val="Compact"/>
            </w:pPr>
            <w:r>
              <w:t xml:space="preserve">Q 48:1</w:t>
            </w:r>
          </w:p>
        </w:tc>
        <w:tc>
          <w:tcPr/>
          <w:p>
            <w:pPr>
              <w:pStyle w:val="Compact"/>
            </w:pPr>
            <w:r>
              <w:t xml:space="preserve">Ibn Kathīr and al-Qurṭubī tie it to Hudaybiyyah; al-Baghawī records alternative identifications (Mecca, Khaybar) while stating “most” say Hudaybiyyah; al-Ṭabarī frames it as divine judgment and victory logic.</w:t>
            </w:r>
            <w:r>
              <w:t xml:space="preserve"> </w:t>
            </w:r>
            <w:hyperlink r:id="rId46">
              <w:r>
                <w:rPr>
                  <w:rStyle w:val="Hyperlink"/>
                </w:rPr>
                <w:t xml:space="preserve">[127]</w:t>
              </w:r>
            </w:hyperlink>
          </w:p>
        </w:tc>
        <w:tc>
          <w:tcPr/>
          <w:p>
            <w:pPr>
              <w:pStyle w:val="Compact"/>
            </w:pPr>
            <w:r>
              <w:t xml:space="preserve">The verse does not name Hudaybiyyah.</w:t>
            </w:r>
          </w:p>
        </w:tc>
        <w:tc>
          <w:tcPr/>
          <w:p>
            <w:pPr>
              <w:pStyle w:val="Compact"/>
            </w:pPr>
            <w:r>
              <w:t xml:space="preserve">Biography should treat Hudaybiyyah as</w:t>
            </w:r>
            <w:r>
              <w:t xml:space="preserve"> </w:t>
            </w:r>
            <w:r>
              <w:rPr>
                <w:b/>
                <w:bCs/>
              </w:rPr>
              <w:t xml:space="preserve">dominant exegetical mapping</w:t>
            </w:r>
            <w:r>
              <w:t xml:space="preserve">, not explicit Qur’an narration.</w:t>
            </w:r>
          </w:p>
        </w:tc>
      </w:tr>
      <w:tr>
        <w:tc>
          <w:tcPr/>
          <w:p>
            <w:pPr>
              <w:pStyle w:val="Compact"/>
            </w:pPr>
            <w:r>
              <w:t xml:space="preserve">Khandaq year</w:t>
            </w:r>
          </w:p>
        </w:tc>
        <w:tc>
          <w:tcPr/>
          <w:p>
            <w:pPr>
              <w:pStyle w:val="Compact"/>
            </w:pPr>
            <w:r>
              <w:t xml:space="preserve">Q 33:9 (Al-Aḥzāb)</w:t>
            </w:r>
          </w:p>
        </w:tc>
        <w:tc>
          <w:tcPr/>
          <w:p>
            <w:pPr>
              <w:pStyle w:val="Compact"/>
            </w:pPr>
            <w:r>
              <w:t xml:space="preserve">Ibn Kathīr’s tafsīr gives “Shawwāl 5 AH” as the widely held correct view, with a minority “4 AH” view recorded.</w:t>
            </w:r>
            <w:r>
              <w:t xml:space="preserve"> </w:t>
            </w:r>
            <w:hyperlink r:id="rId43">
              <w:r>
                <w:rPr>
                  <w:rStyle w:val="Hyperlink"/>
                </w:rPr>
                <w:t xml:space="preserve">[98]</w:t>
              </w:r>
            </w:hyperlink>
          </w:p>
        </w:tc>
        <w:tc>
          <w:tcPr/>
          <w:p>
            <w:pPr>
              <w:pStyle w:val="Compact"/>
            </w:pPr>
            <w:r>
              <w:t xml:space="preserve">The verse describes the crisis (“hosts came; wind; unseen hosts”) but supplies no date.</w:t>
            </w:r>
          </w:p>
        </w:tc>
        <w:tc>
          <w:tcPr/>
          <w:p>
            <w:pPr>
              <w:pStyle w:val="Compact"/>
            </w:pPr>
            <w:r>
              <w:t xml:space="preserve">Include the year as a tafsīr-preserved dating tradition, not a Qur’anic datum.</w:t>
            </w:r>
          </w:p>
        </w:tc>
      </w:tr>
      <w:tr>
        <w:tc>
          <w:tcPr/>
          <w:p>
            <w:pPr>
              <w:pStyle w:val="Compact"/>
            </w:pPr>
            <w:r>
              <w:t xml:space="preserve">“Perfected religion” event setting</w:t>
            </w:r>
          </w:p>
        </w:tc>
        <w:tc>
          <w:tcPr/>
          <w:p>
            <w:pPr>
              <w:pStyle w:val="Compact"/>
            </w:pPr>
            <w:r>
              <w:t xml:space="preserve">Q 5:3</w:t>
            </w:r>
          </w:p>
        </w:tc>
        <w:tc>
          <w:tcPr/>
          <w:p>
            <w:pPr>
              <w:pStyle w:val="Compact"/>
            </w:pPr>
            <w:r>
              <w:t xml:space="preserve">Sunni report compilations (e.g., al-Durr al-Manthūr) preserve revelation-at-ʿArafah traditions; Ibn Kathīr treats it as completion of religion; Shīʿī tafsīr/report collections (e.g., Furāt al-Kūfī; al-Burhān) explicitly link it to ʿAlī’s wilāyah, sometimes while still invoking ʿArafah timing.</w:t>
            </w:r>
            <w:r>
              <w:t xml:space="preserve"> </w:t>
            </w:r>
            <w:hyperlink r:id="rId95">
              <w:r>
                <w:rPr>
                  <w:rStyle w:val="Hyperlink"/>
                </w:rPr>
                <w:t xml:space="preserve">[128]</w:t>
              </w:r>
            </w:hyperlink>
          </w:p>
        </w:tc>
        <w:tc>
          <w:tcPr/>
          <w:p>
            <w:pPr>
              <w:pStyle w:val="Compact"/>
            </w:pPr>
            <w:r>
              <w:t xml:space="preserve">The verse does not name a location or companion; it is a doctrinal declaration embedded in legal context.</w:t>
            </w:r>
          </w:p>
        </w:tc>
        <w:tc>
          <w:tcPr/>
          <w:p>
            <w:pPr>
              <w:pStyle w:val="Compact"/>
            </w:pPr>
            <w:r>
              <w:t xml:space="preserve">For biography, present both: “Farewell-era completion” (Sunni-majority framing) and “wilāyah climax” (Shīʿī framing), marking interpretive traditions.</w:t>
            </w:r>
          </w:p>
        </w:tc>
      </w:tr>
      <w:tr>
        <w:tc>
          <w:tcPr/>
          <w:p>
            <w:pPr>
              <w:pStyle w:val="Compact"/>
            </w:pPr>
            <w:r>
              <w:t xml:space="preserve">“Year of the Elephant” relation to birth</w:t>
            </w:r>
          </w:p>
        </w:tc>
        <w:tc>
          <w:tcPr/>
          <w:p>
            <w:pPr>
              <w:pStyle w:val="Compact"/>
            </w:pPr>
            <w:r>
              <w:t xml:space="preserve">Q 105:1–5</w:t>
            </w:r>
          </w:p>
        </w:tc>
        <w:tc>
          <w:tcPr/>
          <w:p>
            <w:pPr>
              <w:pStyle w:val="Compact"/>
            </w:pPr>
            <w:r>
              <w:t xml:space="preserve">Some tafsīr explicitly associates the Prophet’s birth with that year; other report-lines treat the event as a pre-birth sign without pinning exact equivalence.</w:t>
            </w:r>
            <w:r>
              <w:t xml:space="preserve"> </w:t>
            </w:r>
            <w:hyperlink r:id="rId33">
              <w:r>
                <w:rPr>
                  <w:rStyle w:val="Hyperlink"/>
                </w:rPr>
                <w:t xml:space="preserve">[129]</w:t>
              </w:r>
            </w:hyperlink>
          </w:p>
        </w:tc>
        <w:tc>
          <w:tcPr/>
          <w:p>
            <w:pPr>
              <w:pStyle w:val="Compact"/>
            </w:pPr>
            <w:r>
              <w:t xml:space="preserve">The surah narrates the elephant event only; it does not mention birth.</w:t>
            </w:r>
          </w:p>
        </w:tc>
        <w:tc>
          <w:tcPr/>
          <w:p>
            <w:pPr>
              <w:pStyle w:val="Compact"/>
            </w:pPr>
            <w:r>
              <w:t xml:space="preserve">In a Qur’an-tafsīr biography, birth dating remains</w:t>
            </w:r>
            <w:r>
              <w:t xml:space="preserve"> </w:t>
            </w:r>
            <w:r>
              <w:rPr>
                <w:b/>
                <w:bCs/>
              </w:rPr>
              <w:t xml:space="preserve">inferential</w:t>
            </w:r>
            <w:r>
              <w:t xml:space="preserve"> </w:t>
            </w:r>
            <w:r>
              <w:t xml:space="preserve">and should be labeled as such.</w:t>
            </w:r>
          </w:p>
        </w:tc>
      </w:tr>
    </w:tbl>
    <w:bookmarkEnd w:id="96"/>
    <w:bookmarkStart w:id="98" w:name="X030950aebe616c3ef0546350c157d0a5c5ab7c1"/>
    <w:p>
      <w:pPr>
        <w:pStyle w:val="Heading3"/>
      </w:pPr>
      <w:r>
        <w:t xml:space="preserve">Interpretation disputes that affect meaning of events</w:t>
      </w:r>
    </w:p>
    <w:tbl>
      <w:tblPr>
        <w:tblStyle w:val="Table"/>
        <w:tblW w:type="auto" w:w="0"/>
        <w:tblLook w:firstRow="1" w:lastRow="0" w:firstColumn="0" w:lastColumn="0" w:noHBand="0" w:noVBand="0" w:val="0020"/>
      </w:tblPr>
      <w:tblGrid>
        <w:gridCol w:w="1584"/>
        <w:gridCol w:w="1584"/>
        <w:gridCol w:w="1584"/>
        <w:gridCol w:w="1584"/>
        <w:gridCol w:w="1584"/>
      </w:tblGrid>
      <w:tr>
        <w:trPr>
          <w:tblHeader w:val="on"/>
        </w:trPr>
        <w:tc>
          <w:tcPr/>
          <w:p>
            <w:pPr>
              <w:pStyle w:val="Compact"/>
            </w:pPr>
            <w:r>
              <w:t xml:space="preserve">Issue</w:t>
            </w:r>
          </w:p>
        </w:tc>
        <w:tc>
          <w:tcPr/>
          <w:p>
            <w:pPr>
              <w:pStyle w:val="Compact"/>
            </w:pPr>
            <w:r>
              <w:t xml:space="preserve">Verse anchor</w:t>
            </w:r>
          </w:p>
        </w:tc>
        <w:tc>
          <w:tcPr/>
          <w:p>
            <w:pPr>
              <w:pStyle w:val="Compact"/>
            </w:pPr>
            <w:r>
              <w:t xml:space="preserve">Tafsīr spectrum</w:t>
            </w:r>
          </w:p>
        </w:tc>
        <w:tc>
          <w:tcPr/>
          <w:p>
            <w:pPr>
              <w:pStyle w:val="Compact"/>
            </w:pPr>
            <w:r>
              <w:t xml:space="preserve">Representative sources</w:t>
            </w:r>
          </w:p>
        </w:tc>
        <w:tc>
          <w:tcPr/>
          <w:p>
            <w:pPr>
              <w:pStyle w:val="Compact"/>
            </w:pPr>
            <w:r>
              <w:t xml:space="preserve">Biography-safe phrasing</w:t>
            </w:r>
          </w:p>
        </w:tc>
      </w:tr>
      <w:tr>
        <w:tc>
          <w:tcPr/>
          <w:p>
            <w:pPr>
              <w:pStyle w:val="Compact"/>
            </w:pPr>
            <w:r>
              <w:t xml:space="preserve">Isra’/Miʿrāj: bodily or dream?</w:t>
            </w:r>
          </w:p>
        </w:tc>
        <w:tc>
          <w:tcPr/>
          <w:p>
            <w:pPr>
              <w:pStyle w:val="Compact"/>
            </w:pPr>
            <w:r>
              <w:t xml:space="preserve">Q 17:1</w:t>
            </w:r>
          </w:p>
        </w:tc>
        <w:tc>
          <w:tcPr/>
          <w:p>
            <w:pPr>
              <w:pStyle w:val="Compact"/>
            </w:pPr>
            <w:r>
              <w:t xml:space="preserve">(a) Bodily and awake (majority in many Sunni tafsīrs); (b) dream/vision (minority report-lines); (c) hybrid: core event bodily with accompanying visionary experiences</w:t>
            </w:r>
          </w:p>
        </w:tc>
        <w:tc>
          <w:tcPr/>
          <w:p>
            <w:pPr>
              <w:pStyle w:val="Compact"/>
            </w:pPr>
            <w:r>
              <w:t xml:space="preserve">al-Qurṭubī documents the dispute and argues for bodily default; al-Ṭabarī records vision claims then argues bodily; Maʿārif al-Qurʾān allows a reconciliation where dream reports do not negate a bodily Miʿrāj.</w:t>
            </w:r>
            <w:r>
              <w:t xml:space="preserve"> </w:t>
            </w:r>
            <w:hyperlink r:id="rId25">
              <w:r>
                <w:rPr>
                  <w:rStyle w:val="Hyperlink"/>
                </w:rPr>
                <w:t xml:space="preserve">[130]</w:t>
              </w:r>
            </w:hyperlink>
          </w:p>
        </w:tc>
        <w:tc>
          <w:tcPr/>
          <w:p>
            <w:pPr>
              <w:pStyle w:val="Compact"/>
            </w:pPr>
            <w:r>
              <w:t xml:space="preserve">“The Qur’an states a night journey (Q 17:1); tafsīr debates whether it occurred bodily or as a true prophetic vision, with many mufassirūn favoring bodily travel while preserving minority reports.”</w:t>
            </w:r>
          </w:p>
        </w:tc>
      </w:tr>
      <w:tr>
        <w:tc>
          <w:tcPr/>
          <w:p>
            <w:pPr>
              <w:pStyle w:val="Compact"/>
            </w:pPr>
            <w:r>
              <w:t xml:space="preserve">What was “seen” in Q 53? (Gabriel or God)?</w:t>
            </w:r>
          </w:p>
        </w:tc>
        <w:tc>
          <w:tcPr/>
          <w:p>
            <w:pPr>
              <w:pStyle w:val="Compact"/>
            </w:pPr>
            <w:r>
              <w:t xml:space="preserve">Q 53:11–18</w:t>
            </w:r>
          </w:p>
        </w:tc>
        <w:tc>
          <w:tcPr/>
          <w:p>
            <w:pPr>
              <w:pStyle w:val="Compact"/>
            </w:pPr>
            <w:r>
              <w:t xml:space="preserve">Two major lines: (a) seeing Gabriel in true form; (b) seeing God with the heart (some report-lines), with additional theological nuance in later tafsīr</w:t>
            </w:r>
          </w:p>
        </w:tc>
        <w:tc>
          <w:tcPr/>
          <w:p>
            <w:pPr>
              <w:pStyle w:val="Compact"/>
            </w:pPr>
            <w:r>
              <w:t xml:space="preserve">al-Ṭabarī ties it to seeing Gabriel; Ibn Kathīr emphasizes Gabriel, while acknowledging disagreement; al-Qurṭubī preserves Ibn ʿAbbās-attributed “saw his Lord with his heart” line.</w:t>
            </w:r>
            <w:r>
              <w:t xml:space="preserve"> </w:t>
            </w:r>
            <w:hyperlink r:id="rId72">
              <w:r>
                <w:rPr>
                  <w:rStyle w:val="Hyperlink"/>
                </w:rPr>
                <w:t xml:space="preserve">[131]</w:t>
              </w:r>
            </w:hyperlink>
          </w:p>
        </w:tc>
        <w:tc>
          <w:tcPr/>
          <w:p>
            <w:pPr>
              <w:pStyle w:val="Compact"/>
            </w:pPr>
            <w:r>
              <w:t xml:space="preserve">“Tafsīr often reads Q 53 as describing visions associated with Miʿrāj; many interpret ‘he saw him’ as Gabriel, while a substantial report tradition reads it as a heart-vision of the Lord.”</w:t>
            </w:r>
          </w:p>
        </w:tc>
      </w:tr>
      <w:tr>
        <w:tc>
          <w:tcPr/>
          <w:p>
            <w:pPr>
              <w:pStyle w:val="Compact"/>
            </w:pPr>
            <w:r>
              <w:t xml:space="preserve">Moon splitting: miracle past or future portent / metaphor</w:t>
            </w:r>
          </w:p>
        </w:tc>
        <w:tc>
          <w:tcPr/>
          <w:p>
            <w:pPr>
              <w:pStyle w:val="Compact"/>
            </w:pPr>
            <w:r>
              <w:t xml:space="preserve">Q 54:1</w:t>
            </w:r>
          </w:p>
        </w:tc>
        <w:tc>
          <w:tcPr/>
          <w:p>
            <w:pPr>
              <w:pStyle w:val="Compact"/>
            </w:pPr>
            <w:r>
              <w:t xml:space="preserve">Dominant classical reading: a real miracle occurred; minority: future splitting at the Hour; alternative: “splitting” as emergence from darkness / rhetorical image</w:t>
            </w:r>
          </w:p>
        </w:tc>
        <w:tc>
          <w:tcPr/>
          <w:p>
            <w:pPr>
              <w:pStyle w:val="Compact"/>
            </w:pPr>
            <w:r>
              <w:t xml:space="preserve">al-Rāzī asserts the dominant “it happened” view and criticizes the future-only reading as strained; al-Qurṭubī records alternative interpretive options (including figurative).</w:t>
            </w:r>
            <w:r>
              <w:t xml:space="preserve"> </w:t>
            </w:r>
            <w:hyperlink r:id="rId97">
              <w:r>
                <w:rPr>
                  <w:rStyle w:val="Hyperlink"/>
                </w:rPr>
                <w:t xml:space="preserve">[132]</w:t>
              </w:r>
            </w:hyperlink>
          </w:p>
        </w:tc>
        <w:tc>
          <w:tcPr/>
          <w:p>
            <w:pPr>
              <w:pStyle w:val="Compact"/>
            </w:pPr>
            <w:r>
              <w:t xml:space="preserve">“Exegetes mostly read Q 54:1 as a sign-demand miracle in Mecca, while some interpret it as a future eschatological sign or a figurative description; a biography should label any asserted ‘event’ as tafsīr-dependent.”</w:t>
            </w:r>
          </w:p>
        </w:tc>
      </w:tr>
      <w:tr>
        <w:tc>
          <w:tcPr/>
          <w:p>
            <w:pPr>
              <w:pStyle w:val="Compact"/>
            </w:pPr>
            <w:r>
              <w:t xml:space="preserve">“Mercy to the worlds”: believers only or all creation?</w:t>
            </w:r>
          </w:p>
        </w:tc>
        <w:tc>
          <w:tcPr/>
          <w:p>
            <w:pPr>
              <w:pStyle w:val="Compact"/>
            </w:pPr>
            <w:r>
              <w:t xml:space="preserve">Q 21:107</w:t>
            </w:r>
          </w:p>
        </w:tc>
        <w:tc>
          <w:tcPr/>
          <w:p>
            <w:pPr>
              <w:pStyle w:val="Compact"/>
            </w:pPr>
            <w:r>
              <w:t xml:space="preserve">Debate whether “mercy” is universal (believers + disbelievers in different senses) or restricted</w:t>
            </w:r>
          </w:p>
        </w:tc>
        <w:tc>
          <w:tcPr/>
          <w:p>
            <w:pPr>
              <w:pStyle w:val="Compact"/>
            </w:pPr>
            <w:r>
              <w:t xml:space="preserve">al-Ṭabarī explicitly records interpretive disagreement.</w:t>
            </w:r>
            <w:r>
              <w:t xml:space="preserve"> </w:t>
            </w:r>
            <w:hyperlink r:id="rId38">
              <w:r>
                <w:rPr>
                  <w:rStyle w:val="Hyperlink"/>
                </w:rPr>
                <w:t xml:space="preserve">[117]</w:t>
              </w:r>
            </w:hyperlink>
          </w:p>
        </w:tc>
        <w:tc>
          <w:tcPr/>
          <w:p>
            <w:pPr>
              <w:pStyle w:val="Compact"/>
            </w:pPr>
            <w:r>
              <w:t xml:space="preserve">“The Qur’an defines the mission as ‘mercy for the worlds’; tafsīr differs on whether this mercy is universal or believer-specific in ultimate sense.”</w:t>
            </w:r>
          </w:p>
        </w:tc>
      </w:tr>
    </w:tbl>
    <w:bookmarkEnd w:id="98"/>
    <w:bookmarkEnd w:id="99"/>
    <w:bookmarkStart w:id="100" w:name="visual-timeline"/>
    <w:p>
      <w:pPr>
        <w:pStyle w:val="Heading2"/>
      </w:pPr>
      <w:r>
        <w:t xml:space="preserve">Visual timeline</w:t>
      </w:r>
    </w:p>
    <w:p>
      <w:pPr>
        <w:pStyle w:val="SourceCode"/>
      </w:pPr>
      <w:r>
        <w:rPr>
          <w:rStyle w:val="VerbatimChar"/>
        </w:rPr>
        <w:t xml:space="preserve">timeline</w:t>
      </w:r>
      <w:r>
        <w:br/>
      </w:r>
      <w:r>
        <w:rPr>
          <w:rStyle w:val="VerbatimChar"/>
        </w:rPr>
        <w:t xml:space="preserve">  title Qur’an-and-tafsīr Anchors for a Chronological Prophetic Biography</w:t>
      </w:r>
      <w:r>
        <w:br/>
      </w:r>
      <w:r>
        <w:rPr>
          <w:rStyle w:val="VerbatimChar"/>
        </w:rPr>
        <w:t xml:space="preserve">  section Pre-prophethood</w:t>
      </w:r>
      <w:r>
        <w:br/>
      </w:r>
      <w:r>
        <w:rPr>
          <w:rStyle w:val="VerbatimChar"/>
        </w:rPr>
        <w:t xml:space="preserve">    Event of the Elephant (Q 105): Surah al-Fil :: Tafsir often treats as pre-birth chronological marker</w:t>
      </w:r>
      <w:r>
        <w:br/>
      </w:r>
      <w:r>
        <w:rPr>
          <w:rStyle w:val="VerbatimChar"/>
        </w:rPr>
        <w:t xml:space="preserve">    Orphanhood and guardianship (Q 93:6): "found you an orphan and sheltered you"</w:t>
      </w:r>
      <w:r>
        <w:br/>
      </w:r>
      <w:r>
        <w:rPr>
          <w:rStyle w:val="VerbatimChar"/>
        </w:rPr>
        <w:t xml:space="preserve">    Enrichment after need (Q 93:8): Tafsir links to Khadijah partnership/marriage; later communal income</w:t>
      </w:r>
      <w:r>
        <w:br/>
      </w:r>
      <w:r>
        <w:rPr>
          <w:rStyle w:val="VerbatimChar"/>
        </w:rPr>
        <w:t xml:space="preserve">  section Beginning of revelation and Meccan mission</w:t>
      </w:r>
      <w:r>
        <w:br/>
      </w:r>
      <w:r>
        <w:rPr>
          <w:rStyle w:val="VerbatimChar"/>
        </w:rPr>
        <w:t xml:space="preserve">    First revelation debate (Q 96:1–5 vs Q 74:1–7): Tafsir preserves differing "first" claims</w:t>
      </w:r>
      <w:r>
        <w:br/>
      </w:r>
      <w:r>
        <w:rPr>
          <w:rStyle w:val="VerbatimChar"/>
        </w:rPr>
        <w:t xml:space="preserve">    Private-to-public proclamation (Q 15:94): Command to proclaim openly</w:t>
      </w:r>
      <w:r>
        <w:br/>
      </w:r>
      <w:r>
        <w:rPr>
          <w:rStyle w:val="VerbatimChar"/>
        </w:rPr>
        <w:t xml:space="preserve">    Family warning stage (Q 26:214): Warn nearest kindred</w:t>
      </w:r>
      <w:r>
        <w:br/>
      </w:r>
      <w:r>
        <w:rPr>
          <w:rStyle w:val="VerbatimChar"/>
        </w:rPr>
        <w:t xml:space="preserve">    Named opposition and polemic (Q 111; Q 108; Q 109): Abu Lahab; "abtar" taunt; rejection of compromise</w:t>
      </w:r>
      <w:r>
        <w:br/>
      </w:r>
      <w:r>
        <w:rPr>
          <w:rStyle w:val="VerbatimChar"/>
        </w:rPr>
        <w:t xml:space="preserve">    Night Journey/Signs (Q 17:1; Q 53:11–18): Isra' and Mi'raj-related visions; interpretive disputes</w:t>
      </w:r>
      <w:r>
        <w:br/>
      </w:r>
      <w:r>
        <w:rPr>
          <w:rStyle w:val="VerbatimChar"/>
        </w:rPr>
        <w:t xml:space="preserve">  section Hijra and Medinan period</w:t>
      </w:r>
      <w:r>
        <w:br/>
      </w:r>
      <w:r>
        <w:rPr>
          <w:rStyle w:val="VerbatimChar"/>
        </w:rPr>
        <w:t xml:space="preserve">    Emigration after persecution (Q 16:41): Tafsir maps to Abyssinia/Medina migrations</w:t>
      </w:r>
      <w:r>
        <w:br/>
      </w:r>
      <w:r>
        <w:rPr>
          <w:rStyle w:val="VerbatimChar"/>
        </w:rPr>
        <w:t xml:space="preserve">    Cave episode during flight (Q 9:40): "second of two" in the cave; reassurance to companion</w:t>
      </w:r>
      <w:r>
        <w:br/>
      </w:r>
      <w:r>
        <w:rPr>
          <w:rStyle w:val="VerbatimChar"/>
        </w:rPr>
        <w:t xml:space="preserve">    Badr referenced (Q 3:123; Q 8:41): Divine aid and "Day of Criterion"</w:t>
      </w:r>
      <w:r>
        <w:br/>
      </w:r>
      <w:r>
        <w:rPr>
          <w:rStyle w:val="VerbatimChar"/>
        </w:rPr>
        <w:t xml:space="preserve">    Uhud rumor lesson (Q 3:144): Mortality clause; tafsir ties to battlefield rumor</w:t>
      </w:r>
      <w:r>
        <w:br/>
      </w:r>
      <w:r>
        <w:rPr>
          <w:rStyle w:val="VerbatimChar"/>
        </w:rPr>
        <w:t xml:space="preserve">    Confederates/Trench crisis (Q 33:9): Tafsir dates 5 AH (some 4 AH)</w:t>
      </w:r>
      <w:r>
        <w:br/>
      </w:r>
      <w:r>
        <w:rPr>
          <w:rStyle w:val="VerbatimChar"/>
        </w:rPr>
        <w:t xml:space="preserve">    Treaty framing as victory (Q 48:1; Q 48:27): Hudaybiyyah; vision of entering the Sanctuary</w:t>
      </w:r>
      <w:r>
        <w:br/>
      </w:r>
      <w:r>
        <w:rPr>
          <w:rStyle w:val="VerbatimChar"/>
        </w:rPr>
        <w:t xml:space="preserve">    Conquest and mass entry (Q 110): Seen as triumph and end-of-life sign in tafsir</w:t>
      </w:r>
      <w:r>
        <w:br/>
      </w:r>
      <w:r>
        <w:rPr>
          <w:rStyle w:val="VerbatimChar"/>
        </w:rPr>
        <w:t xml:space="preserve">    Hunayn (Q 9:25) and Tabuk mobilization (Q 9:38): Later campaigns named by place</w:t>
      </w:r>
      <w:r>
        <w:br/>
      </w:r>
      <w:r>
        <w:rPr>
          <w:rStyle w:val="VerbatimChar"/>
        </w:rPr>
        <w:t xml:space="preserve">  section Finality and legacy</w:t>
      </w:r>
      <w:r>
        <w:br/>
      </w:r>
      <w:r>
        <w:rPr>
          <w:rStyle w:val="VerbatimChar"/>
        </w:rPr>
        <w:t xml:space="preserve">    Completion/perfection motif (Q 5:3): Tafsir links to Farewell-era or wilayah debates</w:t>
      </w:r>
      <w:r>
        <w:br/>
      </w:r>
      <w:r>
        <w:rPr>
          <w:rStyle w:val="VerbatimChar"/>
        </w:rPr>
        <w:t xml:space="preserve">    Mortality stated (Q 39:30; Q 3:144): Community stabilization after death</w:t>
      </w:r>
      <w:r>
        <w:br/>
      </w:r>
      <w:r>
        <w:rPr>
          <w:rStyle w:val="VerbatimChar"/>
        </w:rPr>
        <w:t xml:space="preserve">    Seal and universality (Q 33:40; Q 7:158; Q 34:28): Final prophet; universal messenger</w:t>
      </w:r>
      <w:r>
        <w:br/>
      </w:r>
      <w:r>
        <w:rPr>
          <w:rStyle w:val="VerbatimChar"/>
        </w:rPr>
        <w:t xml:space="preserve">    Mercy mission (Q 21:107): Legacy framing through mercy motif</w:t>
      </w:r>
    </w:p>
    <w:p>
      <w:pPr>
        <w:pStyle w:val="FirstParagraph"/>
      </w:pPr>
      <w:r>
        <w:t xml:space="preserve">The timeline above is constrained by your “Qur’an + tafsīr only” rule:</w:t>
      </w:r>
      <w:r>
        <w:t xml:space="preserve"> </w:t>
      </w:r>
      <w:r>
        <w:rPr>
          <w:b/>
          <w:bCs/>
        </w:rPr>
        <w:t xml:space="preserve">where the Qur’an does not state a date, the timeline labels the item as tafsīr-dependent</w:t>
      </w:r>
      <w:r>
        <w:t xml:space="preserve"> </w:t>
      </w:r>
      <w:r>
        <w:t xml:space="preserve">(e.g., first revelation sequence, Khandaq year, perfection verse setting).</w:t>
      </w:r>
      <w:r>
        <w:t xml:space="preserve"> </w:t>
      </w:r>
      <w:hyperlink r:id="rId67">
        <w:r>
          <w:rPr>
            <w:rStyle w:val="Hyperlink"/>
          </w:rPr>
          <w:t xml:space="preserve">[133]</w:t>
        </w:r>
      </w:hyperlink>
    </w:p>
    <w:bookmarkEnd w:id="100"/>
    <w:bookmarkEnd w:id="101"/>
    <w:bookmarkEnd w:id="102"/>
    <w:p>
      <w:r>
        <w:pict>
          <v:rect style="width:0;height:1.5pt" o:hralign="center" o:hrstd="t" o:hr="t"/>
        </w:pict>
      </w:r>
    </w:p>
    <w:bookmarkStart w:id="103" w:name="citations"/>
    <w:p>
      <w:pPr>
        <w:pStyle w:val="FirstParagraph"/>
      </w:pPr>
      <w:hyperlink r:id="rId21">
        <w:r>
          <w:rPr>
            <w:rStyle w:val="Hyperlink"/>
          </w:rPr>
          <w:t xml:space="preserve">[1]</w:t>
        </w:r>
      </w:hyperlink>
      <w:r>
        <w:t xml:space="preserve"> </w:t>
      </w:r>
      <w:hyperlink r:id="rId21">
        <w:r>
          <w:rPr>
            <w:rStyle w:val="Hyperlink"/>
          </w:rPr>
          <w:t xml:space="preserve">[12]</w:t>
        </w:r>
      </w:hyperlink>
      <w:r>
        <w:t xml:space="preserve"> </w:t>
      </w:r>
      <w:hyperlink r:id="rId21">
        <w:r>
          <w:rPr>
            <w:rStyle w:val="Hyperlink"/>
          </w:rPr>
          <w:t xml:space="preserve">[33]</w:t>
        </w:r>
      </w:hyperlink>
      <w:r>
        <w:t xml:space="preserve"> </w:t>
      </w:r>
      <w:r>
        <w:t xml:space="preserve">https://quran.ksu.edu.sa/tafseer/</w:t>
      </w:r>
    </w:p>
    <w:p>
      <w:pPr>
        <w:pStyle w:val="BodyText"/>
      </w:pPr>
      <w:hyperlink r:id="rId21">
        <w:r>
          <w:rPr>
            <w:rStyle w:val="Hyperlink"/>
          </w:rPr>
          <w:t xml:space="preserve">https://quran.ksu.edu.sa/tafseer/</w:t>
        </w:r>
      </w:hyperlink>
    </w:p>
    <w:p>
      <w:pPr>
        <w:pStyle w:val="BodyText"/>
      </w:pPr>
      <w:hyperlink r:id="rId22">
        <w:r>
          <w:rPr>
            <w:rStyle w:val="Hyperlink"/>
          </w:rPr>
          <w:t xml:space="preserve">[2]</w:t>
        </w:r>
      </w:hyperlink>
      <w:r>
        <w:t xml:space="preserve"> </w:t>
      </w:r>
      <w:hyperlink r:id="rId22">
        <w:r>
          <w:rPr>
            <w:rStyle w:val="Hyperlink"/>
          </w:rPr>
          <w:t xml:space="preserve">[19]</w:t>
        </w:r>
      </w:hyperlink>
      <w:r>
        <w:t xml:space="preserve"> </w:t>
      </w:r>
      <w:hyperlink r:id="rId22">
        <w:r>
          <w:rPr>
            <w:rStyle w:val="Hyperlink"/>
          </w:rPr>
          <w:t xml:space="preserve">[30]</w:t>
        </w:r>
      </w:hyperlink>
      <w:r>
        <w:t xml:space="preserve"> </w:t>
      </w:r>
      <w:hyperlink r:id="rId22">
        <w:r>
          <w:rPr>
            <w:rStyle w:val="Hyperlink"/>
          </w:rPr>
          <w:t xml:space="preserve">[39]</w:t>
        </w:r>
      </w:hyperlink>
      <w:r>
        <w:t xml:space="preserve"> </w:t>
      </w:r>
      <w:hyperlink r:id="rId22">
        <w:r>
          <w:rPr>
            <w:rStyle w:val="Hyperlink"/>
          </w:rPr>
          <w:t xml:space="preserve">[53]</w:t>
        </w:r>
      </w:hyperlink>
      <w:r>
        <w:t xml:space="preserve"> </w:t>
      </w:r>
      <w:hyperlink r:id="rId22">
        <w:r>
          <w:rPr>
            <w:rStyle w:val="Hyperlink"/>
          </w:rPr>
          <w:t xml:space="preserve">[62]</w:t>
        </w:r>
      </w:hyperlink>
      <w:r>
        <w:t xml:space="preserve"> </w:t>
      </w:r>
      <w:hyperlink r:id="rId22">
        <w:r>
          <w:rPr>
            <w:rStyle w:val="Hyperlink"/>
          </w:rPr>
          <w:t xml:space="preserve">[90]</w:t>
        </w:r>
      </w:hyperlink>
      <w:r>
        <w:t xml:space="preserve"> </w:t>
      </w:r>
      <w:r>
        <w:t xml:space="preserve">تفسير ابن كثير - تفسير سورة الضحى - الآية 6</w:t>
      </w:r>
    </w:p>
    <w:p>
      <w:pPr>
        <w:pStyle w:val="BodyText"/>
      </w:pPr>
      <w:hyperlink r:id="rId22">
        <w:r>
          <w:rPr>
            <w:rStyle w:val="Hyperlink"/>
          </w:rPr>
          <w:t xml:space="preserve">https://quran.ksu.edu.sa/tafseer/katheer/sura93-aya6.html?utm_source=chatgpt.com</w:t>
        </w:r>
      </w:hyperlink>
    </w:p>
    <w:p>
      <w:pPr>
        <w:pStyle w:val="BodyText"/>
      </w:pPr>
      <w:hyperlink r:id="rId23">
        <w:r>
          <w:rPr>
            <w:rStyle w:val="Hyperlink"/>
          </w:rPr>
          <w:t xml:space="preserve">[3]</w:t>
        </w:r>
      </w:hyperlink>
      <w:r>
        <w:t xml:space="preserve"> </w:t>
      </w:r>
      <w:hyperlink r:id="rId23">
        <w:r>
          <w:rPr>
            <w:rStyle w:val="Hyperlink"/>
          </w:rPr>
          <w:t xml:space="preserve">[66]</w:t>
        </w:r>
      </w:hyperlink>
      <w:r>
        <w:t xml:space="preserve"> </w:t>
      </w:r>
      <w:r>
        <w:t xml:space="preserve">https://quran.ksu.edu.sa/tafseer/qortobi/sura93-aya8.html</w:t>
      </w:r>
    </w:p>
    <w:p>
      <w:pPr>
        <w:pStyle w:val="BodyText"/>
      </w:pPr>
      <w:hyperlink r:id="rId23">
        <w:r>
          <w:rPr>
            <w:rStyle w:val="Hyperlink"/>
          </w:rPr>
          <w:t xml:space="preserve">https://quran.ksu.edu.sa/tafseer/qortobi/sura93-aya8.html</w:t>
        </w:r>
      </w:hyperlink>
    </w:p>
    <w:p>
      <w:pPr>
        <w:pStyle w:val="BodyText"/>
      </w:pPr>
      <w:hyperlink r:id="rId24">
        <w:r>
          <w:rPr>
            <w:rStyle w:val="Hyperlink"/>
          </w:rPr>
          <w:t xml:space="preserve">[4]</w:t>
        </w:r>
      </w:hyperlink>
      <w:r>
        <w:t xml:space="preserve"> </w:t>
      </w:r>
      <w:hyperlink r:id="rId24">
        <w:r>
          <w:rPr>
            <w:rStyle w:val="Hyperlink"/>
          </w:rPr>
          <w:t xml:space="preserve">[26]</w:t>
        </w:r>
      </w:hyperlink>
      <w:r>
        <w:t xml:space="preserve"> </w:t>
      </w:r>
      <w:hyperlink r:id="rId24">
        <w:r>
          <w:rPr>
            <w:rStyle w:val="Hyperlink"/>
          </w:rPr>
          <w:t xml:space="preserve">[44]</w:t>
        </w:r>
      </w:hyperlink>
      <w:r>
        <w:t xml:space="preserve"> </w:t>
      </w:r>
      <w:hyperlink r:id="rId24">
        <w:r>
          <w:rPr>
            <w:rStyle w:val="Hyperlink"/>
          </w:rPr>
          <w:t xml:space="preserve">[57]</w:t>
        </w:r>
      </w:hyperlink>
      <w:r>
        <w:t xml:space="preserve"> </w:t>
      </w:r>
      <w:hyperlink r:id="rId24">
        <w:r>
          <w:rPr>
            <w:rStyle w:val="Hyperlink"/>
          </w:rPr>
          <w:t xml:space="preserve">[73]</w:t>
        </w:r>
      </w:hyperlink>
      <w:r>
        <w:t xml:space="preserve"> </w:t>
      </w:r>
      <w:r>
        <w:t xml:space="preserve">https://quran.ksu.edu.sa/tafseer/tabary/sura15-aya94.html</w:t>
      </w:r>
    </w:p>
    <w:p>
      <w:pPr>
        <w:pStyle w:val="BodyText"/>
      </w:pPr>
      <w:hyperlink r:id="rId24">
        <w:r>
          <w:rPr>
            <w:rStyle w:val="Hyperlink"/>
          </w:rPr>
          <w:t xml:space="preserve">https://quran.ksu.edu.sa/tafseer/tabary/sura15-aya94.html</w:t>
        </w:r>
      </w:hyperlink>
    </w:p>
    <w:p>
      <w:pPr>
        <w:pStyle w:val="BodyText"/>
      </w:pPr>
      <w:hyperlink r:id="rId25">
        <w:r>
          <w:rPr>
            <w:rStyle w:val="Hyperlink"/>
          </w:rPr>
          <w:t xml:space="preserve">[5]</w:t>
        </w:r>
      </w:hyperlink>
      <w:r>
        <w:t xml:space="preserve"> </w:t>
      </w:r>
      <w:hyperlink r:id="rId25">
        <w:r>
          <w:rPr>
            <w:rStyle w:val="Hyperlink"/>
          </w:rPr>
          <w:t xml:space="preserve">[11]</w:t>
        </w:r>
      </w:hyperlink>
      <w:r>
        <w:t xml:space="preserve"> </w:t>
      </w:r>
      <w:hyperlink r:id="rId25">
        <w:r>
          <w:rPr>
            <w:rStyle w:val="Hyperlink"/>
          </w:rPr>
          <w:t xml:space="preserve">[22]</w:t>
        </w:r>
      </w:hyperlink>
      <w:r>
        <w:t xml:space="preserve"> </w:t>
      </w:r>
      <w:hyperlink r:id="rId25">
        <w:r>
          <w:rPr>
            <w:rStyle w:val="Hyperlink"/>
          </w:rPr>
          <w:t xml:space="preserve">[27]</w:t>
        </w:r>
      </w:hyperlink>
      <w:r>
        <w:t xml:space="preserve"> </w:t>
      </w:r>
      <w:hyperlink r:id="rId25">
        <w:r>
          <w:rPr>
            <w:rStyle w:val="Hyperlink"/>
          </w:rPr>
          <w:t xml:space="preserve">[45]</w:t>
        </w:r>
      </w:hyperlink>
      <w:r>
        <w:t xml:space="preserve"> </w:t>
      </w:r>
      <w:hyperlink r:id="rId25">
        <w:r>
          <w:rPr>
            <w:rStyle w:val="Hyperlink"/>
          </w:rPr>
          <w:t xml:space="preserve">[55]</w:t>
        </w:r>
      </w:hyperlink>
      <w:r>
        <w:t xml:space="preserve"> </w:t>
      </w:r>
      <w:hyperlink r:id="rId25">
        <w:r>
          <w:rPr>
            <w:rStyle w:val="Hyperlink"/>
          </w:rPr>
          <w:t xml:space="preserve">[84]</w:t>
        </w:r>
      </w:hyperlink>
      <w:r>
        <w:t xml:space="preserve"> </w:t>
      </w:r>
      <w:hyperlink r:id="rId25">
        <w:r>
          <w:rPr>
            <w:rStyle w:val="Hyperlink"/>
          </w:rPr>
          <w:t xml:space="preserve">[130]</w:t>
        </w:r>
      </w:hyperlink>
      <w:r>
        <w:t xml:space="preserve"> </w:t>
      </w:r>
      <w:r>
        <w:t xml:space="preserve">https://quran.ksu.edu.sa/tafseer/qortobi/sura17-aya1.html</w:t>
      </w:r>
    </w:p>
    <w:p>
      <w:pPr>
        <w:pStyle w:val="BodyText"/>
      </w:pPr>
      <w:hyperlink r:id="rId25">
        <w:r>
          <w:rPr>
            <w:rStyle w:val="Hyperlink"/>
          </w:rPr>
          <w:t xml:space="preserve">https://quran.ksu.edu.sa/tafseer/qortobi/sura17-aya1.html</w:t>
        </w:r>
      </w:hyperlink>
    </w:p>
    <w:p>
      <w:pPr>
        <w:pStyle w:val="BodyText"/>
      </w:pPr>
      <w:hyperlink r:id="rId26">
        <w:r>
          <w:rPr>
            <w:rStyle w:val="Hyperlink"/>
          </w:rPr>
          <w:t xml:space="preserve">[6]</w:t>
        </w:r>
      </w:hyperlink>
      <w:r>
        <w:t xml:space="preserve"> </w:t>
      </w:r>
      <w:hyperlink r:id="rId26">
        <w:r>
          <w:rPr>
            <w:rStyle w:val="Hyperlink"/>
          </w:rPr>
          <w:t xml:space="preserve">[24]</w:t>
        </w:r>
      </w:hyperlink>
      <w:r>
        <w:t xml:space="preserve"> </w:t>
      </w:r>
      <w:hyperlink r:id="rId26">
        <w:r>
          <w:rPr>
            <w:rStyle w:val="Hyperlink"/>
          </w:rPr>
          <w:t xml:space="preserve">[92]</w:t>
        </w:r>
      </w:hyperlink>
      <w:r>
        <w:t xml:space="preserve"> </w:t>
      </w:r>
      <w:r>
        <w:t xml:space="preserve">https://quran.ksu.edu.sa/tafseer/qortobi/sura9-aya40.html</w:t>
      </w:r>
    </w:p>
    <w:p>
      <w:pPr>
        <w:pStyle w:val="BodyText"/>
      </w:pPr>
      <w:hyperlink r:id="rId26">
        <w:r>
          <w:rPr>
            <w:rStyle w:val="Hyperlink"/>
          </w:rPr>
          <w:t xml:space="preserve">https://quran.ksu.edu.sa/tafseer/qortobi/sura9-aya40.html</w:t>
        </w:r>
      </w:hyperlink>
    </w:p>
    <w:p>
      <w:pPr>
        <w:pStyle w:val="BodyText"/>
      </w:pPr>
      <w:hyperlink r:id="rId27">
        <w:r>
          <w:rPr>
            <w:rStyle w:val="Hyperlink"/>
          </w:rPr>
          <w:t xml:space="preserve">[7]</w:t>
        </w:r>
      </w:hyperlink>
      <w:r>
        <w:t xml:space="preserve"> </w:t>
      </w:r>
      <w:hyperlink r:id="rId27">
        <w:r>
          <w:rPr>
            <w:rStyle w:val="Hyperlink"/>
          </w:rPr>
          <w:t xml:space="preserve">[103]</w:t>
        </w:r>
      </w:hyperlink>
      <w:r>
        <w:t xml:space="preserve"> </w:t>
      </w:r>
      <w:r>
        <w:t xml:space="preserve">https://quran.ksu.edu.sa/tafseer/tabary/sura48-aya1.html</w:t>
      </w:r>
    </w:p>
    <w:p>
      <w:pPr>
        <w:pStyle w:val="BodyText"/>
      </w:pPr>
      <w:hyperlink r:id="rId27">
        <w:r>
          <w:rPr>
            <w:rStyle w:val="Hyperlink"/>
          </w:rPr>
          <w:t xml:space="preserve">https://quran.ksu.edu.sa/tafseer/tabary/sura48-aya1.html</w:t>
        </w:r>
      </w:hyperlink>
    </w:p>
    <w:p>
      <w:pPr>
        <w:pStyle w:val="BodyText"/>
      </w:pPr>
      <w:hyperlink r:id="rId28">
        <w:r>
          <w:rPr>
            <w:rStyle w:val="Hyperlink"/>
          </w:rPr>
          <w:t xml:space="preserve">[8]</w:t>
        </w:r>
      </w:hyperlink>
      <w:r>
        <w:t xml:space="preserve"> </w:t>
      </w:r>
      <w:hyperlink r:id="rId28">
        <w:r>
          <w:rPr>
            <w:rStyle w:val="Hyperlink"/>
          </w:rPr>
          <w:t xml:space="preserve">[95]</w:t>
        </w:r>
      </w:hyperlink>
      <w:r>
        <w:t xml:space="preserve"> </w:t>
      </w:r>
      <w:r>
        <w:t xml:space="preserve">https://archive.org/download/tafseer-mariful-quran-sura-105-al-fil-english-translation-pdf/tafseer-mariful-quran-sura-105-al-fil-english-translation-pdf.pdf</w:t>
      </w:r>
    </w:p>
    <w:p>
      <w:pPr>
        <w:pStyle w:val="BodyText"/>
      </w:pPr>
      <w:hyperlink r:id="rId28">
        <w:r>
          <w:rPr>
            <w:rStyle w:val="Hyperlink"/>
          </w:rPr>
          <w:t xml:space="preserve">https://archive.org/download/tafseer-mariful-quran-sura-105-al-fil-english-translation-pdf/tafseer-mariful-quran-sura-105-al-fil-english-translation-pdf.pdf</w:t>
        </w:r>
      </w:hyperlink>
    </w:p>
    <w:p>
      <w:pPr>
        <w:pStyle w:val="BodyText"/>
      </w:pPr>
      <w:hyperlink r:id="rId29">
        <w:r>
          <w:rPr>
            <w:rStyle w:val="Hyperlink"/>
          </w:rPr>
          <w:t xml:space="preserve">[9]</w:t>
        </w:r>
      </w:hyperlink>
      <w:r>
        <w:t xml:space="preserve"> </w:t>
      </w:r>
      <w:hyperlink r:id="rId29">
        <w:r>
          <w:rPr>
            <w:rStyle w:val="Hyperlink"/>
          </w:rPr>
          <w:t xml:space="preserve">[106]</w:t>
        </w:r>
      </w:hyperlink>
      <w:r>
        <w:t xml:space="preserve"> </w:t>
      </w:r>
      <w:r>
        <w:t xml:space="preserve">https://quran.ksu.edu.sa/tafseer/qortobi/sura33-aya37.html</w:t>
      </w:r>
    </w:p>
    <w:p>
      <w:pPr>
        <w:pStyle w:val="BodyText"/>
      </w:pPr>
      <w:hyperlink r:id="rId29">
        <w:r>
          <w:rPr>
            <w:rStyle w:val="Hyperlink"/>
          </w:rPr>
          <w:t xml:space="preserve">https://quran.ksu.edu.sa/tafseer/qortobi/sura33-aya37.html</w:t>
        </w:r>
      </w:hyperlink>
    </w:p>
    <w:p>
      <w:pPr>
        <w:pStyle w:val="BodyText"/>
      </w:pPr>
      <w:hyperlink r:id="rId30">
        <w:r>
          <w:rPr>
            <w:rStyle w:val="Hyperlink"/>
          </w:rPr>
          <w:t xml:space="preserve">[10]</w:t>
        </w:r>
      </w:hyperlink>
      <w:r>
        <w:t xml:space="preserve"> </w:t>
      </w:r>
      <w:hyperlink r:id="rId30">
        <w:r>
          <w:rPr>
            <w:rStyle w:val="Hyperlink"/>
          </w:rPr>
          <w:t xml:space="preserve">[17]</w:t>
        </w:r>
      </w:hyperlink>
      <w:r>
        <w:t xml:space="preserve"> </w:t>
      </w:r>
      <w:hyperlink r:id="rId30">
        <w:r>
          <w:rPr>
            <w:rStyle w:val="Hyperlink"/>
          </w:rPr>
          <w:t xml:space="preserve">[25]</w:t>
        </w:r>
      </w:hyperlink>
      <w:r>
        <w:t xml:space="preserve"> </w:t>
      </w:r>
      <w:hyperlink r:id="rId30">
        <w:r>
          <w:rPr>
            <w:rStyle w:val="Hyperlink"/>
          </w:rPr>
          <w:t xml:space="preserve">[122]</w:t>
        </w:r>
      </w:hyperlink>
      <w:r>
        <w:t xml:space="preserve"> </w:t>
      </w:r>
      <w:r>
        <w:t xml:space="preserve">https://tafsir.app/alrazi/33/40</w:t>
      </w:r>
    </w:p>
    <w:p>
      <w:pPr>
        <w:pStyle w:val="BodyText"/>
      </w:pPr>
      <w:hyperlink r:id="rId30">
        <w:r>
          <w:rPr>
            <w:rStyle w:val="Hyperlink"/>
          </w:rPr>
          <w:t xml:space="preserve">https://tafsir.app/alrazi/33/40</w:t>
        </w:r>
      </w:hyperlink>
    </w:p>
    <w:p>
      <w:pPr>
        <w:pStyle w:val="BodyText"/>
      </w:pPr>
      <w:hyperlink r:id="rId32">
        <w:r>
          <w:rPr>
            <w:rStyle w:val="Hyperlink"/>
          </w:rPr>
          <w:t xml:space="preserve">[13]</w:t>
        </w:r>
      </w:hyperlink>
      <w:r>
        <w:t xml:space="preserve"> </w:t>
      </w:r>
      <w:hyperlink r:id="rId32">
        <w:r>
          <w:rPr>
            <w:rStyle w:val="Hyperlink"/>
          </w:rPr>
          <w:t xml:space="preserve">[38]</w:t>
        </w:r>
      </w:hyperlink>
      <w:r>
        <w:t xml:space="preserve"> </w:t>
      </w:r>
      <w:hyperlink r:id="rId32">
        <w:r>
          <w:rPr>
            <w:rStyle w:val="Hyperlink"/>
          </w:rPr>
          <w:t xml:space="preserve">[47]</w:t>
        </w:r>
      </w:hyperlink>
      <w:r>
        <w:t xml:space="preserve"> </w:t>
      </w:r>
      <w:r>
        <w:t xml:space="preserve">https://tafsir.app/</w:t>
      </w:r>
    </w:p>
    <w:p>
      <w:pPr>
        <w:pStyle w:val="BodyText"/>
      </w:pPr>
      <w:hyperlink r:id="rId32">
        <w:r>
          <w:rPr>
            <w:rStyle w:val="Hyperlink"/>
          </w:rPr>
          <w:t xml:space="preserve">https://tafsir.app/</w:t>
        </w:r>
      </w:hyperlink>
    </w:p>
    <w:p>
      <w:pPr>
        <w:pStyle w:val="BodyText"/>
      </w:pPr>
      <w:hyperlink r:id="rId33">
        <w:r>
          <w:rPr>
            <w:rStyle w:val="Hyperlink"/>
          </w:rPr>
          <w:t xml:space="preserve">[14]</w:t>
        </w:r>
      </w:hyperlink>
      <w:r>
        <w:t xml:space="preserve"> </w:t>
      </w:r>
      <w:hyperlink r:id="rId33">
        <w:r>
          <w:rPr>
            <w:rStyle w:val="Hyperlink"/>
          </w:rPr>
          <w:t xml:space="preserve">[59]</w:t>
        </w:r>
      </w:hyperlink>
      <w:r>
        <w:t xml:space="preserve"> </w:t>
      </w:r>
      <w:hyperlink r:id="rId33">
        <w:r>
          <w:rPr>
            <w:rStyle w:val="Hyperlink"/>
          </w:rPr>
          <w:t xml:space="preserve">[129]</w:t>
        </w:r>
      </w:hyperlink>
      <w:r>
        <w:t xml:space="preserve"> </w:t>
      </w:r>
      <w:r>
        <w:t xml:space="preserve">https://quran.com/id/105%3A1/tafsirs/ar-tafsir-al-baghawi</w:t>
      </w:r>
    </w:p>
    <w:p>
      <w:pPr>
        <w:pStyle w:val="BodyText"/>
      </w:pPr>
      <w:hyperlink r:id="rId33">
        <w:r>
          <w:rPr>
            <w:rStyle w:val="Hyperlink"/>
          </w:rPr>
          <w:t xml:space="preserve">https://quran.com/id/105%3A1/tafsirs/ar-tafsir-al-baghawi</w:t>
        </w:r>
      </w:hyperlink>
    </w:p>
    <w:p>
      <w:pPr>
        <w:pStyle w:val="BodyText"/>
      </w:pPr>
      <w:hyperlink r:id="rId34">
        <w:r>
          <w:rPr>
            <w:rStyle w:val="Hyperlink"/>
          </w:rPr>
          <w:t xml:space="preserve">[15]</w:t>
        </w:r>
      </w:hyperlink>
      <w:r>
        <w:t xml:space="preserve"> </w:t>
      </w:r>
      <w:hyperlink r:id="rId34">
        <w:r>
          <w:rPr>
            <w:rStyle w:val="Hyperlink"/>
          </w:rPr>
          <w:t xml:space="preserve">[81]</w:t>
        </w:r>
      </w:hyperlink>
      <w:r>
        <w:t xml:space="preserve"> </w:t>
      </w:r>
      <w:r>
        <w:t xml:space="preserve">https://quran.com/en/108%3A3/tafsirs/en-tafsir-maarif-ul-quran</w:t>
      </w:r>
    </w:p>
    <w:p>
      <w:pPr>
        <w:pStyle w:val="BodyText"/>
      </w:pPr>
      <w:hyperlink r:id="rId34">
        <w:r>
          <w:rPr>
            <w:rStyle w:val="Hyperlink"/>
          </w:rPr>
          <w:t xml:space="preserve">https://quran.com/en/108%3A3/tafsirs/en-tafsir-maarif-ul-quran</w:t>
        </w:r>
      </w:hyperlink>
    </w:p>
    <w:p>
      <w:pPr>
        <w:pStyle w:val="BodyText"/>
      </w:pPr>
      <w:hyperlink r:id="rId35">
        <w:r>
          <w:rPr>
            <w:rStyle w:val="Hyperlink"/>
          </w:rPr>
          <w:t xml:space="preserve">[16]</w:t>
        </w:r>
      </w:hyperlink>
      <w:r>
        <w:t xml:space="preserve"> </w:t>
      </w:r>
      <w:hyperlink r:id="rId35">
        <w:r>
          <w:rPr>
            <w:rStyle w:val="Hyperlink"/>
          </w:rPr>
          <w:t xml:space="preserve">[85]</w:t>
        </w:r>
      </w:hyperlink>
      <w:r>
        <w:t xml:space="preserve"> </w:t>
      </w:r>
      <w:r>
        <w:t xml:space="preserve">https://quran.ksu.edu.sa/tafseer/tabary/sura17-aya1.html</w:t>
      </w:r>
    </w:p>
    <w:p>
      <w:pPr>
        <w:pStyle w:val="BodyText"/>
      </w:pPr>
      <w:hyperlink r:id="rId35">
        <w:r>
          <w:rPr>
            <w:rStyle w:val="Hyperlink"/>
          </w:rPr>
          <w:t xml:space="preserve">https://quran.ksu.edu.sa/tafseer/tabary/sura17-aya1.html</w:t>
        </w:r>
      </w:hyperlink>
    </w:p>
    <w:p>
      <w:pPr>
        <w:pStyle w:val="BodyText"/>
      </w:pPr>
      <w:hyperlink r:id="rId36">
        <w:r>
          <w:rPr>
            <w:rStyle w:val="Hyperlink"/>
          </w:rPr>
          <w:t xml:space="preserve">[18]</w:t>
        </w:r>
      </w:hyperlink>
      <w:r>
        <w:t xml:space="preserve"> </w:t>
      </w:r>
      <w:hyperlink r:id="rId36">
        <w:r>
          <w:rPr>
            <w:rStyle w:val="Hyperlink"/>
          </w:rPr>
          <w:t xml:space="preserve">[77]</w:t>
        </w:r>
      </w:hyperlink>
      <w:r>
        <w:t xml:space="preserve"> </w:t>
      </w:r>
      <w:r>
        <w:t xml:space="preserve">https://quran.com/en/74%3A1/tafsirs/en-tafsir-maarif-ul-quran</w:t>
      </w:r>
    </w:p>
    <w:p>
      <w:pPr>
        <w:pStyle w:val="BodyText"/>
      </w:pPr>
      <w:hyperlink r:id="rId36">
        <w:r>
          <w:rPr>
            <w:rStyle w:val="Hyperlink"/>
          </w:rPr>
          <w:t xml:space="preserve">https://quran.com/en/74%3A1/tafsirs/en-tafsir-maarif-ul-quran</w:t>
        </w:r>
      </w:hyperlink>
    </w:p>
    <w:p>
      <w:pPr>
        <w:pStyle w:val="BodyText"/>
      </w:pPr>
      <w:hyperlink r:id="rId37">
        <w:r>
          <w:rPr>
            <w:rStyle w:val="Hyperlink"/>
          </w:rPr>
          <w:t xml:space="preserve">[20]</w:t>
        </w:r>
      </w:hyperlink>
      <w:r>
        <w:t xml:space="preserve"> </w:t>
      </w:r>
      <w:hyperlink r:id="rId37">
        <w:r>
          <w:rPr>
            <w:rStyle w:val="Hyperlink"/>
          </w:rPr>
          <w:t xml:space="preserve">[82]</w:t>
        </w:r>
      </w:hyperlink>
      <w:r>
        <w:t xml:space="preserve"> </w:t>
      </w:r>
      <w:r>
        <w:t xml:space="preserve">https://quran.com/en/109%3A1/tafsirs/en-tafsir-maarif-ul-quran</w:t>
      </w:r>
    </w:p>
    <w:p>
      <w:pPr>
        <w:pStyle w:val="BodyText"/>
      </w:pPr>
      <w:hyperlink r:id="rId37">
        <w:r>
          <w:rPr>
            <w:rStyle w:val="Hyperlink"/>
          </w:rPr>
          <w:t xml:space="preserve">https://quran.com/en/109%3A1/tafsirs/en-tafsir-maarif-ul-quran</w:t>
        </w:r>
      </w:hyperlink>
    </w:p>
    <w:p>
      <w:pPr>
        <w:pStyle w:val="BodyText"/>
      </w:pPr>
      <w:hyperlink r:id="rId38">
        <w:r>
          <w:rPr>
            <w:rStyle w:val="Hyperlink"/>
          </w:rPr>
          <w:t xml:space="preserve">[21]</w:t>
        </w:r>
      </w:hyperlink>
      <w:r>
        <w:t xml:space="preserve"> </w:t>
      </w:r>
      <w:hyperlink r:id="rId38">
        <w:r>
          <w:rPr>
            <w:rStyle w:val="Hyperlink"/>
          </w:rPr>
          <w:t xml:space="preserve">[117]</w:t>
        </w:r>
      </w:hyperlink>
      <w:r>
        <w:t xml:space="preserve"> </w:t>
      </w:r>
      <w:r>
        <w:t xml:space="preserve">https://quran.ksu.edu.sa/tafseer/tabary/sura21-aya107.html</w:t>
      </w:r>
    </w:p>
    <w:p>
      <w:pPr>
        <w:pStyle w:val="BodyText"/>
      </w:pPr>
      <w:hyperlink r:id="rId38">
        <w:r>
          <w:rPr>
            <w:rStyle w:val="Hyperlink"/>
          </w:rPr>
          <w:t xml:space="preserve">https://quran.ksu.edu.sa/tafseer/tabary/sura21-aya107.html</w:t>
        </w:r>
      </w:hyperlink>
    </w:p>
    <w:p>
      <w:pPr>
        <w:pStyle w:val="BodyText"/>
      </w:pPr>
      <w:hyperlink r:id="rId39">
        <w:r>
          <w:rPr>
            <w:rStyle w:val="Hyperlink"/>
          </w:rPr>
          <w:t xml:space="preserve">[23]</w:t>
        </w:r>
      </w:hyperlink>
      <w:r>
        <w:t xml:space="preserve"> </w:t>
      </w:r>
      <w:hyperlink r:id="rId39">
        <w:r>
          <w:rPr>
            <w:rStyle w:val="Hyperlink"/>
          </w:rPr>
          <w:t xml:space="preserve">[125]</w:t>
        </w:r>
      </w:hyperlink>
      <w:r>
        <w:t xml:space="preserve"> </w:t>
      </w:r>
      <w:r>
        <w:t xml:space="preserve">https://quran.com/en/34%3A28/tafsirs/ar-tafsir-al-tabari</w:t>
      </w:r>
    </w:p>
    <w:p>
      <w:pPr>
        <w:pStyle w:val="BodyText"/>
      </w:pPr>
      <w:hyperlink r:id="rId39">
        <w:r>
          <w:rPr>
            <w:rStyle w:val="Hyperlink"/>
          </w:rPr>
          <w:t xml:space="preserve">https://quran.com/en/34%3A28/tafsirs/ar-tafsir-al-tabari</w:t>
        </w:r>
      </w:hyperlink>
    </w:p>
    <w:p>
      <w:pPr>
        <w:pStyle w:val="BodyText"/>
      </w:pPr>
      <w:hyperlink r:id="rId40">
        <w:r>
          <w:rPr>
            <w:rStyle w:val="Hyperlink"/>
          </w:rPr>
          <w:t xml:space="preserve">[28]</w:t>
        </w:r>
      </w:hyperlink>
      <w:r>
        <w:t xml:space="preserve"> </w:t>
      </w:r>
      <w:hyperlink r:id="rId40">
        <w:r>
          <w:rPr>
            <w:rStyle w:val="Hyperlink"/>
          </w:rPr>
          <w:t xml:space="preserve">[58]</w:t>
        </w:r>
      </w:hyperlink>
      <w:r>
        <w:t xml:space="preserve"> </w:t>
      </w:r>
      <w:r>
        <w:t xml:space="preserve">https://quran.ksu.edu.sa/tafseer/baghawy/sura48-aya1.html</w:t>
      </w:r>
    </w:p>
    <w:p>
      <w:pPr>
        <w:pStyle w:val="BodyText"/>
      </w:pPr>
      <w:hyperlink r:id="rId40">
        <w:r>
          <w:rPr>
            <w:rStyle w:val="Hyperlink"/>
          </w:rPr>
          <w:t xml:space="preserve">https://quran.ksu.edu.sa/tafseer/baghawy/sura48-aya1.html</w:t>
        </w:r>
      </w:hyperlink>
    </w:p>
    <w:p>
      <w:pPr>
        <w:pStyle w:val="BodyText"/>
      </w:pPr>
      <w:hyperlink r:id="rId41">
        <w:r>
          <w:rPr>
            <w:rStyle w:val="Hyperlink"/>
          </w:rPr>
          <w:t xml:space="preserve">[29]</w:t>
        </w:r>
      </w:hyperlink>
      <w:r>
        <w:t xml:space="preserve"> </w:t>
      </w:r>
      <w:hyperlink r:id="rId41">
        <w:r>
          <w:rPr>
            <w:rStyle w:val="Hyperlink"/>
          </w:rPr>
          <w:t xml:space="preserve">[118]</w:t>
        </w:r>
      </w:hyperlink>
      <w:r>
        <w:t xml:space="preserve"> </w:t>
      </w:r>
      <w:r>
        <w:t xml:space="preserve">https://quran.ksu.edu.sa/tafseer/katheer/sura33-aya21.html</w:t>
      </w:r>
    </w:p>
    <w:p>
      <w:pPr>
        <w:pStyle w:val="BodyText"/>
      </w:pPr>
      <w:hyperlink r:id="rId41">
        <w:r>
          <w:rPr>
            <w:rStyle w:val="Hyperlink"/>
          </w:rPr>
          <w:t xml:space="preserve">https://quran.ksu.edu.sa/tafseer/katheer/sura33-aya21.html</w:t>
        </w:r>
      </w:hyperlink>
    </w:p>
    <w:p>
      <w:pPr>
        <w:pStyle w:val="BodyText"/>
      </w:pPr>
      <w:hyperlink r:id="rId42">
        <w:r>
          <w:rPr>
            <w:rStyle w:val="Hyperlink"/>
          </w:rPr>
          <w:t xml:space="preserve">[31]</w:t>
        </w:r>
      </w:hyperlink>
      <w:r>
        <w:t xml:space="preserve"> </w:t>
      </w:r>
      <w:hyperlink r:id="rId42">
        <w:r>
          <w:rPr>
            <w:rStyle w:val="Hyperlink"/>
          </w:rPr>
          <w:t xml:space="preserve">[79]</w:t>
        </w:r>
      </w:hyperlink>
      <w:r>
        <w:t xml:space="preserve"> </w:t>
      </w:r>
      <w:r>
        <w:t xml:space="preserve">https://quran.ksu.edu.sa/tafseer/saadi/sura68-aya4.html</w:t>
      </w:r>
    </w:p>
    <w:p>
      <w:pPr>
        <w:pStyle w:val="BodyText"/>
      </w:pPr>
      <w:hyperlink r:id="rId42">
        <w:r>
          <w:rPr>
            <w:rStyle w:val="Hyperlink"/>
          </w:rPr>
          <w:t xml:space="preserve">https://quran.ksu.edu.sa/tafseer/saadi/sura68-aya4.html</w:t>
        </w:r>
      </w:hyperlink>
    </w:p>
    <w:p>
      <w:pPr>
        <w:pStyle w:val="BodyText"/>
      </w:pPr>
      <w:hyperlink r:id="rId43">
        <w:r>
          <w:rPr>
            <w:rStyle w:val="Hyperlink"/>
          </w:rPr>
          <w:t xml:space="preserve">[32]</w:t>
        </w:r>
      </w:hyperlink>
      <w:r>
        <w:t xml:space="preserve"> </w:t>
      </w:r>
      <w:hyperlink r:id="rId43">
        <w:r>
          <w:rPr>
            <w:rStyle w:val="Hyperlink"/>
          </w:rPr>
          <w:t xml:space="preserve">[98]</w:t>
        </w:r>
      </w:hyperlink>
      <w:r>
        <w:t xml:space="preserve"> </w:t>
      </w:r>
      <w:r>
        <w:t xml:space="preserve">https://quran.com/en/33%3A9/tafsirs/en-tafisr-ibn-kathir</w:t>
      </w:r>
    </w:p>
    <w:p>
      <w:pPr>
        <w:pStyle w:val="BodyText"/>
      </w:pPr>
      <w:hyperlink r:id="rId43">
        <w:r>
          <w:rPr>
            <w:rStyle w:val="Hyperlink"/>
          </w:rPr>
          <w:t xml:space="preserve">https://quran.com/en/33%3A9/tafsirs/en-tafisr-ibn-kathir</w:t>
        </w:r>
      </w:hyperlink>
    </w:p>
    <w:p>
      <w:pPr>
        <w:pStyle w:val="BodyText"/>
      </w:pPr>
      <w:hyperlink r:id="rId44">
        <w:r>
          <w:rPr>
            <w:rStyle w:val="Hyperlink"/>
          </w:rPr>
          <w:t xml:space="preserve">[34]</w:t>
        </w:r>
      </w:hyperlink>
      <w:r>
        <w:t xml:space="preserve"> </w:t>
      </w:r>
      <w:r>
        <w:t xml:space="preserve">https://tafsir.app/ibn-aashoor/17/1</w:t>
      </w:r>
    </w:p>
    <w:p>
      <w:pPr>
        <w:pStyle w:val="BodyText"/>
      </w:pPr>
      <w:hyperlink r:id="rId44">
        <w:r>
          <w:rPr>
            <w:rStyle w:val="Hyperlink"/>
          </w:rPr>
          <w:t xml:space="preserve">https://tafsir.app/ibn-aashoor/17/1</w:t>
        </w:r>
      </w:hyperlink>
    </w:p>
    <w:p>
      <w:pPr>
        <w:pStyle w:val="BodyText"/>
      </w:pPr>
      <w:hyperlink r:id="rId45">
        <w:r>
          <w:rPr>
            <w:rStyle w:val="Hyperlink"/>
          </w:rPr>
          <w:t xml:space="preserve">[35]</w:t>
        </w:r>
      </w:hyperlink>
      <w:r>
        <w:t xml:space="preserve"> </w:t>
      </w:r>
      <w:hyperlink r:id="rId45">
        <w:r>
          <w:rPr>
            <w:rStyle w:val="Hyperlink"/>
          </w:rPr>
          <w:t xml:space="preserve">[46]</w:t>
        </w:r>
      </w:hyperlink>
      <w:r>
        <w:t xml:space="preserve"> </w:t>
      </w:r>
      <w:r>
        <w:t xml:space="preserve">تفسير مجمع البيان في تفسير القرآن/ الطبرسي (ت 548 هـ) ...</w:t>
      </w:r>
    </w:p>
    <w:p>
      <w:pPr>
        <w:pStyle w:val="BodyText"/>
      </w:pPr>
      <w:hyperlink r:id="rId45">
        <w:r>
          <w:rPr>
            <w:rStyle w:val="Hyperlink"/>
          </w:rPr>
          <w:t xml:space="preserve">https://www.altafsir.com/Tafasir.asp?LanguageId=1&amp;UserProfile=0&amp;tAyahNo=40&amp;tDisplay=yes&amp;tMadhNo=4&amp;tSoraNo=9&amp;tTafsirNo=3&amp;utm_source=chatgpt.com</w:t>
        </w:r>
      </w:hyperlink>
    </w:p>
    <w:p>
      <w:pPr>
        <w:pStyle w:val="BodyText"/>
      </w:pPr>
      <w:hyperlink r:id="rId46">
        <w:r>
          <w:rPr>
            <w:rStyle w:val="Hyperlink"/>
          </w:rPr>
          <w:t xml:space="preserve">[36]</w:t>
        </w:r>
      </w:hyperlink>
      <w:r>
        <w:t xml:space="preserve"> </w:t>
      </w:r>
      <w:hyperlink r:id="rId46">
        <w:r>
          <w:rPr>
            <w:rStyle w:val="Hyperlink"/>
          </w:rPr>
          <w:t xml:space="preserve">[42]</w:t>
        </w:r>
      </w:hyperlink>
      <w:r>
        <w:t xml:space="preserve"> </w:t>
      </w:r>
      <w:hyperlink r:id="rId46">
        <w:r>
          <w:rPr>
            <w:rStyle w:val="Hyperlink"/>
          </w:rPr>
          <w:t xml:space="preserve">[54]</w:t>
        </w:r>
      </w:hyperlink>
      <w:r>
        <w:t xml:space="preserve"> </w:t>
      </w:r>
      <w:hyperlink r:id="rId46">
        <w:r>
          <w:rPr>
            <w:rStyle w:val="Hyperlink"/>
          </w:rPr>
          <w:t xml:space="preserve">[101]</w:t>
        </w:r>
      </w:hyperlink>
      <w:r>
        <w:t xml:space="preserve"> </w:t>
      </w:r>
      <w:hyperlink r:id="rId46">
        <w:r>
          <w:rPr>
            <w:rStyle w:val="Hyperlink"/>
          </w:rPr>
          <w:t xml:space="preserve">[127]</w:t>
        </w:r>
      </w:hyperlink>
      <w:r>
        <w:t xml:space="preserve"> </w:t>
      </w:r>
      <w:r>
        <w:t xml:space="preserve">https://quran.ksu.edu.sa/tafseer/katheer/sura48-aya1.html</w:t>
      </w:r>
    </w:p>
    <w:p>
      <w:pPr>
        <w:pStyle w:val="BodyText"/>
      </w:pPr>
      <w:hyperlink r:id="rId46">
        <w:r>
          <w:rPr>
            <w:rStyle w:val="Hyperlink"/>
          </w:rPr>
          <w:t xml:space="preserve">https://quran.ksu.edu.sa/tafseer/katheer/sura48-aya1.html</w:t>
        </w:r>
      </w:hyperlink>
    </w:p>
    <w:p>
      <w:pPr>
        <w:pStyle w:val="BodyText"/>
      </w:pPr>
      <w:hyperlink r:id="rId47">
        <w:r>
          <w:rPr>
            <w:rStyle w:val="Hyperlink"/>
          </w:rPr>
          <w:t xml:space="preserve">[37]</w:t>
        </w:r>
      </w:hyperlink>
      <w:r>
        <w:t xml:space="preserve"> </w:t>
      </w:r>
      <w:r>
        <w:t xml:space="preserve">https://myislam.org/surah-ahzab/ayat-9/</w:t>
      </w:r>
    </w:p>
    <w:p>
      <w:pPr>
        <w:pStyle w:val="BodyText"/>
      </w:pPr>
      <w:hyperlink r:id="rId47">
        <w:r>
          <w:rPr>
            <w:rStyle w:val="Hyperlink"/>
          </w:rPr>
          <w:t xml:space="preserve">https://myislam.org/surah-ahzab/ayat-9/</w:t>
        </w:r>
      </w:hyperlink>
    </w:p>
    <w:p>
      <w:pPr>
        <w:pStyle w:val="BodyText"/>
      </w:pPr>
      <w:hyperlink r:id="rId48">
        <w:r>
          <w:rPr>
            <w:rStyle w:val="Hyperlink"/>
          </w:rPr>
          <w:t xml:space="preserve">[40]</w:t>
        </w:r>
      </w:hyperlink>
      <w:r>
        <w:t xml:space="preserve"> </w:t>
      </w:r>
      <w:hyperlink r:id="rId48">
        <w:r>
          <w:rPr>
            <w:rStyle w:val="Hyperlink"/>
          </w:rPr>
          <w:t xml:space="preserve">[75]</w:t>
        </w:r>
      </w:hyperlink>
      <w:r>
        <w:t xml:space="preserve"> </w:t>
      </w:r>
      <w:r>
        <w:t xml:space="preserve">https://quran.com/en/15%3A94/tafsirs/en-tafsir-maarif-ul-quran</w:t>
      </w:r>
    </w:p>
    <w:p>
      <w:pPr>
        <w:pStyle w:val="BodyText"/>
      </w:pPr>
      <w:hyperlink r:id="rId48">
        <w:r>
          <w:rPr>
            <w:rStyle w:val="Hyperlink"/>
          </w:rPr>
          <w:t xml:space="preserve">https://quran.com/en/15%3A94/tafsirs/en-tafsir-maarif-ul-quran</w:t>
        </w:r>
      </w:hyperlink>
    </w:p>
    <w:p>
      <w:pPr>
        <w:pStyle w:val="BodyText"/>
      </w:pPr>
      <w:hyperlink r:id="rId49">
        <w:r>
          <w:rPr>
            <w:rStyle w:val="Hyperlink"/>
          </w:rPr>
          <w:t xml:space="preserve">[41]</w:t>
        </w:r>
      </w:hyperlink>
      <w:r>
        <w:t xml:space="preserve"> </w:t>
      </w:r>
      <w:hyperlink r:id="rId49">
        <w:r>
          <w:rPr>
            <w:rStyle w:val="Hyperlink"/>
          </w:rPr>
          <w:t xml:space="preserve">[72]</w:t>
        </w:r>
      </w:hyperlink>
      <w:r>
        <w:t xml:space="preserve"> </w:t>
      </w:r>
      <w:r>
        <w:t xml:space="preserve">https://quran.ksu.edu.sa/tafseer/katheer/sura74-aya1.html</w:t>
      </w:r>
    </w:p>
    <w:p>
      <w:pPr>
        <w:pStyle w:val="BodyText"/>
      </w:pPr>
      <w:hyperlink r:id="rId49">
        <w:r>
          <w:rPr>
            <w:rStyle w:val="Hyperlink"/>
          </w:rPr>
          <w:t xml:space="preserve">https://quran.ksu.edu.sa/tafseer/katheer/sura74-aya1.html</w:t>
        </w:r>
      </w:hyperlink>
    </w:p>
    <w:p>
      <w:pPr>
        <w:pStyle w:val="BodyText"/>
      </w:pPr>
      <w:hyperlink r:id="rId50">
        <w:r>
          <w:rPr>
            <w:rStyle w:val="Hyperlink"/>
          </w:rPr>
          <w:t xml:space="preserve">[43]</w:t>
        </w:r>
      </w:hyperlink>
      <w:r>
        <w:t xml:space="preserve"> </w:t>
      </w:r>
      <w:r>
        <w:t xml:space="preserve">https://al-islam.org/quran/surah/5/al-maaida/ayat/3/reference/19118</w:t>
      </w:r>
    </w:p>
    <w:p>
      <w:pPr>
        <w:pStyle w:val="BodyText"/>
      </w:pPr>
      <w:hyperlink r:id="rId50">
        <w:r>
          <w:rPr>
            <w:rStyle w:val="Hyperlink"/>
          </w:rPr>
          <w:t xml:space="preserve">https://al-islam.org/quran/surah/5/al-maaida/ayat/3/reference/19118</w:t>
        </w:r>
      </w:hyperlink>
    </w:p>
    <w:p>
      <w:pPr>
        <w:pStyle w:val="BodyText"/>
      </w:pPr>
      <w:hyperlink r:id="rId51">
        <w:r>
          <w:rPr>
            <w:rStyle w:val="Hyperlink"/>
          </w:rPr>
          <w:t xml:space="preserve">[48]</w:t>
        </w:r>
      </w:hyperlink>
      <w:r>
        <w:t xml:space="preserve"> </w:t>
      </w:r>
      <w:hyperlink r:id="rId51">
        <w:r>
          <w:rPr>
            <w:rStyle w:val="Hyperlink"/>
          </w:rPr>
          <w:t xml:space="preserve">[49]</w:t>
        </w:r>
      </w:hyperlink>
      <w:r>
        <w:t xml:space="preserve"> </w:t>
      </w:r>
      <w:r>
        <w:t xml:space="preserve">تفسير Asbab Al-Nuzul by Al-Wahidi</w:t>
      </w:r>
    </w:p>
    <w:p>
      <w:pPr>
        <w:pStyle w:val="BodyText"/>
      </w:pPr>
      <w:hyperlink r:id="rId51">
        <w:r>
          <w:rPr>
            <w:rStyle w:val="Hyperlink"/>
          </w:rPr>
          <w:t xml:space="preserve">https://www.altafsir.com/Tafasir.asp?LanguageId=2&amp;tAyahNo=1&amp;tDisplay=yes&amp;tMadhNo=0&amp;tSoraNo=80&amp;tTafsirNo=86&amp;utm_source=chatgpt.com</w:t>
        </w:r>
      </w:hyperlink>
    </w:p>
    <w:p>
      <w:pPr>
        <w:pStyle w:val="BodyText"/>
      </w:pPr>
      <w:hyperlink r:id="rId52">
        <w:r>
          <w:rPr>
            <w:rStyle w:val="Hyperlink"/>
          </w:rPr>
          <w:t xml:space="preserve">[50]</w:t>
        </w:r>
      </w:hyperlink>
      <w:r>
        <w:t xml:space="preserve"> </w:t>
      </w:r>
      <w:hyperlink r:id="rId52">
        <w:r>
          <w:rPr>
            <w:rStyle w:val="Hyperlink"/>
          </w:rPr>
          <w:t xml:space="preserve">[61]</w:t>
        </w:r>
      </w:hyperlink>
      <w:r>
        <w:t xml:space="preserve"> </w:t>
      </w:r>
      <w:hyperlink r:id="rId52">
        <w:r>
          <w:rPr>
            <w:rStyle w:val="Hyperlink"/>
          </w:rPr>
          <w:t xml:space="preserve">[86]</w:t>
        </w:r>
      </w:hyperlink>
      <w:r>
        <w:t xml:space="preserve"> </w:t>
      </w:r>
      <w:r>
        <w:t xml:space="preserve">https://quran.ksu.edu.sa/tafseer/tabary/sura26-aya214.html</w:t>
      </w:r>
    </w:p>
    <w:p>
      <w:pPr>
        <w:pStyle w:val="BodyText"/>
      </w:pPr>
      <w:hyperlink r:id="rId52">
        <w:r>
          <w:rPr>
            <w:rStyle w:val="Hyperlink"/>
          </w:rPr>
          <w:t xml:space="preserve">https://quran.ksu.edu.sa/tafseer/tabary/sura26-aya214.html</w:t>
        </w:r>
      </w:hyperlink>
    </w:p>
    <w:p>
      <w:pPr>
        <w:pStyle w:val="BodyText"/>
      </w:pPr>
      <w:hyperlink r:id="rId53">
        <w:r>
          <w:rPr>
            <w:rStyle w:val="Hyperlink"/>
          </w:rPr>
          <w:t xml:space="preserve">[51]</w:t>
        </w:r>
      </w:hyperlink>
      <w:r>
        <w:t xml:space="preserve"> </w:t>
      </w:r>
      <w:hyperlink r:id="rId53">
        <w:r>
          <w:rPr>
            <w:rStyle w:val="Hyperlink"/>
          </w:rPr>
          <w:t xml:space="preserve">[112]</w:t>
        </w:r>
      </w:hyperlink>
      <w:r>
        <w:t xml:space="preserve"> </w:t>
      </w:r>
      <w:r>
        <w:t xml:space="preserve">https://tafsir.app/ibn-katheer/24/11</w:t>
      </w:r>
    </w:p>
    <w:p>
      <w:pPr>
        <w:pStyle w:val="BodyText"/>
      </w:pPr>
      <w:hyperlink r:id="rId53">
        <w:r>
          <w:rPr>
            <w:rStyle w:val="Hyperlink"/>
          </w:rPr>
          <w:t xml:space="preserve">https://tafsir.app/ibn-katheer/24/11</w:t>
        </w:r>
      </w:hyperlink>
    </w:p>
    <w:p>
      <w:pPr>
        <w:pStyle w:val="BodyText"/>
      </w:pPr>
      <w:hyperlink r:id="rId54">
        <w:r>
          <w:rPr>
            <w:rStyle w:val="Hyperlink"/>
          </w:rPr>
          <w:t xml:space="preserve">[52]</w:t>
        </w:r>
      </w:hyperlink>
      <w:r>
        <w:t xml:space="preserve"> </w:t>
      </w:r>
      <w:r>
        <w:t xml:space="preserve">The Study Quran</w:t>
      </w:r>
    </w:p>
    <w:p>
      <w:pPr>
        <w:pStyle w:val="BodyText"/>
      </w:pPr>
      <w:hyperlink r:id="rId54">
        <w:r>
          <w:rPr>
            <w:rStyle w:val="Hyperlink"/>
          </w:rPr>
          <w:t xml:space="preserve">https://ia601806.us.archive.org/16/items/TheStudyQuranANewTranslationAndCommentaryBySeyyedHosseinNasr/TheStudyQuranANewTranslationAndCommentaryBySeyyedHosseinNasr.pdf?utm_source=chatgpt.com</w:t>
        </w:r>
      </w:hyperlink>
    </w:p>
    <w:p>
      <w:pPr>
        <w:pStyle w:val="BodyText"/>
      </w:pPr>
      <w:hyperlink r:id="rId57">
        <w:r>
          <w:rPr>
            <w:rStyle w:val="Hyperlink"/>
          </w:rPr>
          <w:t xml:space="preserve">[56]</w:t>
        </w:r>
      </w:hyperlink>
      <w:r>
        <w:t xml:space="preserve"> </w:t>
      </w:r>
      <w:hyperlink r:id="rId57">
        <w:r>
          <w:rPr>
            <w:rStyle w:val="Hyperlink"/>
          </w:rPr>
          <w:t xml:space="preserve">[102]</w:t>
        </w:r>
      </w:hyperlink>
      <w:r>
        <w:t xml:space="preserve"> </w:t>
      </w:r>
      <w:r>
        <w:t xml:space="preserve">https://quran.ksu.edu.sa/tafseer/qortobi/sura48-aya1.html</w:t>
      </w:r>
    </w:p>
    <w:p>
      <w:pPr>
        <w:pStyle w:val="BodyText"/>
      </w:pPr>
      <w:hyperlink r:id="rId57">
        <w:r>
          <w:rPr>
            <w:rStyle w:val="Hyperlink"/>
          </w:rPr>
          <w:t xml:space="preserve">https://quran.ksu.edu.sa/tafseer/qortobi/sura48-aya1.html</w:t>
        </w:r>
      </w:hyperlink>
    </w:p>
    <w:p>
      <w:pPr>
        <w:pStyle w:val="BodyText"/>
      </w:pPr>
      <w:hyperlink r:id="rId59">
        <w:r>
          <w:rPr>
            <w:rStyle w:val="Hyperlink"/>
          </w:rPr>
          <w:t xml:space="preserve">[60]</w:t>
        </w:r>
      </w:hyperlink>
      <w:r>
        <w:t xml:space="preserve"> </w:t>
      </w:r>
      <w:hyperlink r:id="rId59">
        <w:r>
          <w:rPr>
            <w:rStyle w:val="Hyperlink"/>
          </w:rPr>
          <w:t xml:space="preserve">[93]</w:t>
        </w:r>
      </w:hyperlink>
      <w:r>
        <w:t xml:space="preserve"> </w:t>
      </w:r>
      <w:r>
        <w:t xml:space="preserve">https://quran.com/id/105%3A1/tafsirs/ar-tafseer-al-qurtubi</w:t>
      </w:r>
    </w:p>
    <w:p>
      <w:pPr>
        <w:pStyle w:val="BodyText"/>
      </w:pPr>
      <w:hyperlink r:id="rId59">
        <w:r>
          <w:rPr>
            <w:rStyle w:val="Hyperlink"/>
          </w:rPr>
          <w:t xml:space="preserve">https://quran.com/id/105%3A1/tafsirs/ar-tafseer-al-qurtubi</w:t>
        </w:r>
      </w:hyperlink>
    </w:p>
    <w:p>
      <w:pPr>
        <w:pStyle w:val="BodyText"/>
      </w:pPr>
      <w:hyperlink r:id="rId60">
        <w:r>
          <w:rPr>
            <w:rStyle w:val="Hyperlink"/>
          </w:rPr>
          <w:t xml:space="preserve">[63]</w:t>
        </w:r>
      </w:hyperlink>
      <w:r>
        <w:t xml:space="preserve"> </w:t>
      </w:r>
      <w:r>
        <w:t xml:space="preserve">القرآن الكريم - تفسير السعدي - تفسير سورة الضحى - الآية 6</w:t>
      </w:r>
    </w:p>
    <w:p>
      <w:pPr>
        <w:pStyle w:val="BodyText"/>
      </w:pPr>
      <w:hyperlink r:id="rId60">
        <w:r>
          <w:rPr>
            <w:rStyle w:val="Hyperlink"/>
          </w:rPr>
          <w:t xml:space="preserve">https://quran.ksu.edu.sa/tafseer/saadi/sura93-aya6.html?utm_source=chatgpt.com</w:t>
        </w:r>
      </w:hyperlink>
    </w:p>
    <w:p>
      <w:pPr>
        <w:pStyle w:val="BodyText"/>
      </w:pPr>
      <w:hyperlink r:id="rId61">
        <w:r>
          <w:rPr>
            <w:rStyle w:val="Hyperlink"/>
          </w:rPr>
          <w:t xml:space="preserve">[64]</w:t>
        </w:r>
      </w:hyperlink>
      <w:r>
        <w:t xml:space="preserve"> </w:t>
      </w:r>
      <w:r>
        <w:t xml:space="preserve">القرآن الكريم - تفسير الطبري - تفسير سورة الضحى - الآية 6</w:t>
      </w:r>
    </w:p>
    <w:p>
      <w:pPr>
        <w:pStyle w:val="BodyText"/>
      </w:pPr>
      <w:hyperlink r:id="rId61">
        <w:r>
          <w:rPr>
            <w:rStyle w:val="Hyperlink"/>
          </w:rPr>
          <w:t xml:space="preserve">https://quran.ksu.edu.sa/tafseer/tabary/sura93-aya6.html?utm_source=chatgpt.com</w:t>
        </w:r>
      </w:hyperlink>
    </w:p>
    <w:p>
      <w:pPr>
        <w:pStyle w:val="BodyText"/>
      </w:pPr>
      <w:hyperlink r:id="rId62">
        <w:r>
          <w:rPr>
            <w:rStyle w:val="Hyperlink"/>
          </w:rPr>
          <w:t xml:space="preserve">[65]</w:t>
        </w:r>
      </w:hyperlink>
      <w:r>
        <w:t xml:space="preserve"> </w:t>
      </w:r>
      <w:hyperlink r:id="rId62">
        <w:r>
          <w:rPr>
            <w:rStyle w:val="Hyperlink"/>
          </w:rPr>
          <w:t xml:space="preserve">[76]</w:t>
        </w:r>
      </w:hyperlink>
      <w:r>
        <w:t xml:space="preserve"> </w:t>
      </w:r>
      <w:r>
        <w:t xml:space="preserve">https://tafsir.app/qurtubi/9/128</w:t>
      </w:r>
    </w:p>
    <w:p>
      <w:pPr>
        <w:pStyle w:val="BodyText"/>
      </w:pPr>
      <w:hyperlink r:id="rId62">
        <w:r>
          <w:rPr>
            <w:rStyle w:val="Hyperlink"/>
          </w:rPr>
          <w:t xml:space="preserve">https://tafsir.app/qurtubi/9/128</w:t>
        </w:r>
      </w:hyperlink>
    </w:p>
    <w:p>
      <w:pPr>
        <w:pStyle w:val="BodyText"/>
      </w:pPr>
      <w:hyperlink r:id="rId63">
        <w:r>
          <w:rPr>
            <w:rStyle w:val="Hyperlink"/>
          </w:rPr>
          <w:t xml:space="preserve">[67]</w:t>
        </w:r>
      </w:hyperlink>
      <w:r>
        <w:t xml:space="preserve"> </w:t>
      </w:r>
      <w:hyperlink r:id="rId63">
        <w:r>
          <w:rPr>
            <w:rStyle w:val="Hyperlink"/>
          </w:rPr>
          <w:t xml:space="preserve">[105]</w:t>
        </w:r>
      </w:hyperlink>
      <w:r>
        <w:t xml:space="preserve"> </w:t>
      </w:r>
      <w:r>
        <w:t xml:space="preserve">https://quran.ksu.edu.sa/tafseer/baghawy/sura93-aya8.html</w:t>
      </w:r>
    </w:p>
    <w:p>
      <w:pPr>
        <w:pStyle w:val="BodyText"/>
      </w:pPr>
      <w:hyperlink r:id="rId63">
        <w:r>
          <w:rPr>
            <w:rStyle w:val="Hyperlink"/>
          </w:rPr>
          <w:t xml:space="preserve">https://quran.ksu.edu.sa/tafseer/baghawy/sura93-aya8.html</w:t>
        </w:r>
      </w:hyperlink>
    </w:p>
    <w:p>
      <w:pPr>
        <w:pStyle w:val="BodyText"/>
      </w:pPr>
      <w:hyperlink r:id="rId64">
        <w:r>
          <w:rPr>
            <w:rStyle w:val="Hyperlink"/>
          </w:rPr>
          <w:t xml:space="preserve">[68]</w:t>
        </w:r>
      </w:hyperlink>
      <w:r>
        <w:t xml:space="preserve"> </w:t>
      </w:r>
      <w:r>
        <w:t xml:space="preserve">https://quran.com/en/93%3A8/tafsirs/en-tafsir-maarif-ul-quran</w:t>
      </w:r>
    </w:p>
    <w:p>
      <w:pPr>
        <w:pStyle w:val="BodyText"/>
      </w:pPr>
      <w:hyperlink r:id="rId64">
        <w:r>
          <w:rPr>
            <w:rStyle w:val="Hyperlink"/>
          </w:rPr>
          <w:t xml:space="preserve">https://quran.com/en/93%3A8/tafsirs/en-tafsir-maarif-ul-quran</w:t>
        </w:r>
      </w:hyperlink>
    </w:p>
    <w:p>
      <w:pPr>
        <w:pStyle w:val="BodyText"/>
      </w:pPr>
      <w:hyperlink r:id="rId65">
        <w:r>
          <w:rPr>
            <w:rStyle w:val="Hyperlink"/>
          </w:rPr>
          <w:t xml:space="preserve">[69]</w:t>
        </w:r>
      </w:hyperlink>
      <w:r>
        <w:t xml:space="preserve"> </w:t>
      </w:r>
      <w:hyperlink r:id="rId65">
        <w:r>
          <w:rPr>
            <w:rStyle w:val="Hyperlink"/>
          </w:rPr>
          <w:t xml:space="preserve">[126]</w:t>
        </w:r>
      </w:hyperlink>
      <w:r>
        <w:t xml:space="preserve"> </w:t>
      </w:r>
      <w:r>
        <w:t xml:space="preserve">https://quran.ksu.edu.sa/tafseer/katheer/sura96-aya1.html</w:t>
      </w:r>
    </w:p>
    <w:p>
      <w:pPr>
        <w:pStyle w:val="BodyText"/>
      </w:pPr>
      <w:hyperlink r:id="rId65">
        <w:r>
          <w:rPr>
            <w:rStyle w:val="Hyperlink"/>
          </w:rPr>
          <w:t xml:space="preserve">https://quran.ksu.edu.sa/tafseer/katheer/sura96-aya1.html</w:t>
        </w:r>
      </w:hyperlink>
    </w:p>
    <w:p>
      <w:pPr>
        <w:pStyle w:val="BodyText"/>
      </w:pPr>
      <w:hyperlink r:id="rId66">
        <w:r>
          <w:rPr>
            <w:rStyle w:val="Hyperlink"/>
          </w:rPr>
          <w:t xml:space="preserve">[70]</w:t>
        </w:r>
      </w:hyperlink>
      <w:r>
        <w:t xml:space="preserve"> </w:t>
      </w:r>
      <w:r>
        <w:t xml:space="preserve">https://quran.com/en/96%3A1/tafsirs/en-tafsir-maarif-ul-quran</w:t>
      </w:r>
    </w:p>
    <w:p>
      <w:pPr>
        <w:pStyle w:val="BodyText"/>
      </w:pPr>
      <w:hyperlink r:id="rId66">
        <w:r>
          <w:rPr>
            <w:rStyle w:val="Hyperlink"/>
          </w:rPr>
          <w:t xml:space="preserve">https://quran.com/en/96%3A1/tafsirs/en-tafsir-maarif-ul-quran</w:t>
        </w:r>
      </w:hyperlink>
    </w:p>
    <w:p>
      <w:pPr>
        <w:pStyle w:val="BodyText"/>
      </w:pPr>
      <w:hyperlink r:id="rId67">
        <w:r>
          <w:rPr>
            <w:rStyle w:val="Hyperlink"/>
          </w:rPr>
          <w:t xml:space="preserve">[71]</w:t>
        </w:r>
      </w:hyperlink>
      <w:r>
        <w:t xml:space="preserve"> </w:t>
      </w:r>
      <w:hyperlink r:id="rId67">
        <w:r>
          <w:rPr>
            <w:rStyle w:val="Hyperlink"/>
          </w:rPr>
          <w:t xml:space="preserve">[133]</w:t>
        </w:r>
      </w:hyperlink>
      <w:r>
        <w:t xml:space="preserve"> </w:t>
      </w:r>
      <w:r>
        <w:t xml:space="preserve">https://quran.ksu.edu.sa/tafseer/tabary/sura74-aya1.html</w:t>
      </w:r>
    </w:p>
    <w:p>
      <w:pPr>
        <w:pStyle w:val="BodyText"/>
      </w:pPr>
      <w:hyperlink r:id="rId67">
        <w:r>
          <w:rPr>
            <w:rStyle w:val="Hyperlink"/>
          </w:rPr>
          <w:t xml:space="preserve">https://quran.ksu.edu.sa/tafseer/tabary/sura74-aya1.html</w:t>
        </w:r>
      </w:hyperlink>
    </w:p>
    <w:p>
      <w:pPr>
        <w:pStyle w:val="BodyText"/>
      </w:pPr>
      <w:hyperlink r:id="rId68">
        <w:r>
          <w:rPr>
            <w:rStyle w:val="Hyperlink"/>
          </w:rPr>
          <w:t xml:space="preserve">[74]</w:t>
        </w:r>
      </w:hyperlink>
      <w:r>
        <w:t xml:space="preserve"> </w:t>
      </w:r>
      <w:r>
        <w:t xml:space="preserve">https://quran.ksu.edu.sa/tafseer/qortobi/sura15-aya94.html</w:t>
      </w:r>
    </w:p>
    <w:p>
      <w:pPr>
        <w:pStyle w:val="BodyText"/>
      </w:pPr>
      <w:hyperlink r:id="rId68">
        <w:r>
          <w:rPr>
            <w:rStyle w:val="Hyperlink"/>
          </w:rPr>
          <w:t xml:space="preserve">https://quran.ksu.edu.sa/tafseer/qortobi/sura15-aya94.html</w:t>
        </w:r>
      </w:hyperlink>
    </w:p>
    <w:p>
      <w:pPr>
        <w:pStyle w:val="BodyText"/>
      </w:pPr>
      <w:hyperlink r:id="rId69">
        <w:r>
          <w:rPr>
            <w:rStyle w:val="Hyperlink"/>
          </w:rPr>
          <w:t xml:space="preserve">[78]</w:t>
        </w:r>
      </w:hyperlink>
      <w:r>
        <w:t xml:space="preserve"> </w:t>
      </w:r>
      <w:r>
        <w:t xml:space="preserve">https://corpus.quran.com/translation.jsp?chapter=26&amp;verse=214</w:t>
      </w:r>
    </w:p>
    <w:p>
      <w:pPr>
        <w:pStyle w:val="BodyText"/>
      </w:pPr>
      <w:hyperlink r:id="rId69">
        <w:r>
          <w:rPr>
            <w:rStyle w:val="Hyperlink"/>
          </w:rPr>
          <w:t xml:space="preserve">https://corpus.quran.com/translation.jsp?chapter=26&amp;verse=214</w:t>
        </w:r>
      </w:hyperlink>
    </w:p>
    <w:p>
      <w:pPr>
        <w:pStyle w:val="BodyText"/>
      </w:pPr>
      <w:hyperlink r:id="rId70">
        <w:r>
          <w:rPr>
            <w:rStyle w:val="Hyperlink"/>
          </w:rPr>
          <w:t xml:space="preserve">[80]</w:t>
        </w:r>
      </w:hyperlink>
      <w:r>
        <w:t xml:space="preserve"> </w:t>
      </w:r>
      <w:r>
        <w:t xml:space="preserve">https://quran.ksu.edu.sa/tafseer/katheer/sura111-aya1.html</w:t>
      </w:r>
    </w:p>
    <w:p>
      <w:pPr>
        <w:pStyle w:val="BodyText"/>
      </w:pPr>
      <w:hyperlink r:id="rId70">
        <w:r>
          <w:rPr>
            <w:rStyle w:val="Hyperlink"/>
          </w:rPr>
          <w:t xml:space="preserve">https://quran.ksu.edu.sa/tafseer/katheer/sura111-aya1.html</w:t>
        </w:r>
      </w:hyperlink>
    </w:p>
    <w:p>
      <w:pPr>
        <w:pStyle w:val="BodyText"/>
      </w:pPr>
      <w:hyperlink r:id="rId71">
        <w:r>
          <w:rPr>
            <w:rStyle w:val="Hyperlink"/>
          </w:rPr>
          <w:t xml:space="preserve">[83]</w:t>
        </w:r>
      </w:hyperlink>
      <w:r>
        <w:t xml:space="preserve"> </w:t>
      </w:r>
      <w:r>
        <w:t xml:space="preserve">https://tafsir.app/tabari/17/1</w:t>
      </w:r>
    </w:p>
    <w:p>
      <w:pPr>
        <w:pStyle w:val="BodyText"/>
      </w:pPr>
      <w:hyperlink r:id="rId71">
        <w:r>
          <w:rPr>
            <w:rStyle w:val="Hyperlink"/>
          </w:rPr>
          <w:t xml:space="preserve">https://tafsir.app/tabari/17/1</w:t>
        </w:r>
      </w:hyperlink>
    </w:p>
    <w:p>
      <w:pPr>
        <w:pStyle w:val="BodyText"/>
      </w:pPr>
      <w:hyperlink r:id="rId72">
        <w:r>
          <w:rPr>
            <w:rStyle w:val="Hyperlink"/>
          </w:rPr>
          <w:t xml:space="preserve">[87]</w:t>
        </w:r>
      </w:hyperlink>
      <w:r>
        <w:t xml:space="preserve"> </w:t>
      </w:r>
      <w:hyperlink r:id="rId72">
        <w:r>
          <w:rPr>
            <w:rStyle w:val="Hyperlink"/>
          </w:rPr>
          <w:t xml:space="preserve">[131]</w:t>
        </w:r>
      </w:hyperlink>
      <w:r>
        <w:t xml:space="preserve"> </w:t>
      </w:r>
      <w:r>
        <w:t xml:space="preserve">https://tafsir.app/tabari/53/11</w:t>
      </w:r>
    </w:p>
    <w:p>
      <w:pPr>
        <w:pStyle w:val="BodyText"/>
      </w:pPr>
      <w:hyperlink r:id="rId72">
        <w:r>
          <w:rPr>
            <w:rStyle w:val="Hyperlink"/>
          </w:rPr>
          <w:t xml:space="preserve">https://tafsir.app/tabari/53/11</w:t>
        </w:r>
      </w:hyperlink>
    </w:p>
    <w:p>
      <w:pPr>
        <w:pStyle w:val="BodyText"/>
      </w:pPr>
      <w:hyperlink r:id="rId73">
        <w:r>
          <w:rPr>
            <w:rStyle w:val="Hyperlink"/>
          </w:rPr>
          <w:t xml:space="preserve">[88]</w:t>
        </w:r>
      </w:hyperlink>
      <w:r>
        <w:t xml:space="preserve"> </w:t>
      </w:r>
      <w:hyperlink r:id="rId73">
        <w:r>
          <w:rPr>
            <w:rStyle w:val="Hyperlink"/>
          </w:rPr>
          <w:t xml:space="preserve">[111]</w:t>
        </w:r>
      </w:hyperlink>
      <w:r>
        <w:t xml:space="preserve"> </w:t>
      </w:r>
      <w:r>
        <w:t xml:space="preserve">https://quran.ksu.edu.sa/tafseer/katheer/sura53-aya13.html</w:t>
      </w:r>
    </w:p>
    <w:p>
      <w:pPr>
        <w:pStyle w:val="BodyText"/>
      </w:pPr>
      <w:hyperlink r:id="rId73">
        <w:r>
          <w:rPr>
            <w:rStyle w:val="Hyperlink"/>
          </w:rPr>
          <w:t xml:space="preserve">https://quran.ksu.edu.sa/tafseer/katheer/sura53-aya13.html</w:t>
        </w:r>
      </w:hyperlink>
    </w:p>
    <w:p>
      <w:pPr>
        <w:pStyle w:val="BodyText"/>
      </w:pPr>
      <w:hyperlink r:id="rId74">
        <w:r>
          <w:rPr>
            <w:rStyle w:val="Hyperlink"/>
          </w:rPr>
          <w:t xml:space="preserve">[89]</w:t>
        </w:r>
      </w:hyperlink>
      <w:r>
        <w:t xml:space="preserve"> </w:t>
      </w:r>
      <w:r>
        <w:t xml:space="preserve">https://quran.ksu.edu.sa/tafseer/qortobi/sura53-aya13.html</w:t>
      </w:r>
    </w:p>
    <w:p>
      <w:pPr>
        <w:pStyle w:val="BodyText"/>
      </w:pPr>
      <w:hyperlink r:id="rId74">
        <w:r>
          <w:rPr>
            <w:rStyle w:val="Hyperlink"/>
          </w:rPr>
          <w:t xml:space="preserve">https://quran.ksu.edu.sa/tafseer/qortobi/sura53-aya13.html</w:t>
        </w:r>
      </w:hyperlink>
    </w:p>
    <w:p>
      <w:pPr>
        <w:pStyle w:val="BodyText"/>
      </w:pPr>
      <w:hyperlink r:id="rId75">
        <w:r>
          <w:rPr>
            <w:rStyle w:val="Hyperlink"/>
          </w:rPr>
          <w:t xml:space="preserve">[91]</w:t>
        </w:r>
      </w:hyperlink>
      <w:r>
        <w:t xml:space="preserve"> </w:t>
      </w:r>
      <w:r>
        <w:t xml:space="preserve">https://surahquran.com/tafsir-english-aya-40-sora-9.html</w:t>
      </w:r>
    </w:p>
    <w:p>
      <w:pPr>
        <w:pStyle w:val="BodyText"/>
      </w:pPr>
      <w:hyperlink r:id="rId75">
        <w:r>
          <w:rPr>
            <w:rStyle w:val="Hyperlink"/>
          </w:rPr>
          <w:t xml:space="preserve">https://surahquran.com/tafsir-english-aya-40-sora-9.html</w:t>
        </w:r>
      </w:hyperlink>
    </w:p>
    <w:p>
      <w:pPr>
        <w:pStyle w:val="BodyText"/>
      </w:pPr>
      <w:hyperlink r:id="rId76">
        <w:r>
          <w:rPr>
            <w:rStyle w:val="Hyperlink"/>
          </w:rPr>
          <w:t xml:space="preserve">[94]</w:t>
        </w:r>
      </w:hyperlink>
      <w:r>
        <w:t xml:space="preserve"> </w:t>
      </w:r>
      <w:r>
        <w:t xml:space="preserve">https://quran.ksu.edu.sa/tafseer/tabary/sura16-aya41.html</w:t>
      </w:r>
    </w:p>
    <w:p>
      <w:pPr>
        <w:pStyle w:val="BodyText"/>
      </w:pPr>
      <w:hyperlink r:id="rId76">
        <w:r>
          <w:rPr>
            <w:rStyle w:val="Hyperlink"/>
          </w:rPr>
          <w:t xml:space="preserve">https://quran.ksu.edu.sa/tafseer/tabary/sura16-aya41.html</w:t>
        </w:r>
      </w:hyperlink>
    </w:p>
    <w:p>
      <w:pPr>
        <w:pStyle w:val="BodyText"/>
      </w:pPr>
      <w:hyperlink r:id="rId77">
        <w:r>
          <w:rPr>
            <w:rStyle w:val="Hyperlink"/>
          </w:rPr>
          <w:t xml:space="preserve">[96]</w:t>
        </w:r>
      </w:hyperlink>
      <w:r>
        <w:t xml:space="preserve"> </w:t>
      </w:r>
      <w:r>
        <w:t xml:space="preserve">https://quran.ksu.edu.sa/tafseer/tabary/sura8-aya41.html</w:t>
      </w:r>
    </w:p>
    <w:p>
      <w:pPr>
        <w:pStyle w:val="BodyText"/>
      </w:pPr>
      <w:hyperlink r:id="rId77">
        <w:r>
          <w:rPr>
            <w:rStyle w:val="Hyperlink"/>
          </w:rPr>
          <w:t xml:space="preserve">https://quran.ksu.edu.sa/tafseer/tabary/sura8-aya41.html</w:t>
        </w:r>
      </w:hyperlink>
    </w:p>
    <w:p>
      <w:pPr>
        <w:pStyle w:val="BodyText"/>
      </w:pPr>
      <w:hyperlink r:id="rId78">
        <w:r>
          <w:rPr>
            <w:rStyle w:val="Hyperlink"/>
          </w:rPr>
          <w:t xml:space="preserve">[97]</w:t>
        </w:r>
      </w:hyperlink>
      <w:r>
        <w:t xml:space="preserve"> </w:t>
      </w:r>
      <w:r>
        <w:t xml:space="preserve">https://surahquran.com/tafsir-english-aya-144-sora-3.html</w:t>
      </w:r>
    </w:p>
    <w:p>
      <w:pPr>
        <w:pStyle w:val="BodyText"/>
      </w:pPr>
      <w:hyperlink r:id="rId78">
        <w:r>
          <w:rPr>
            <w:rStyle w:val="Hyperlink"/>
          </w:rPr>
          <w:t xml:space="preserve">https://surahquran.com/tafsir-english-aya-144-sora-3.html</w:t>
        </w:r>
      </w:hyperlink>
    </w:p>
    <w:p>
      <w:pPr>
        <w:pStyle w:val="BodyText"/>
      </w:pPr>
      <w:hyperlink r:id="rId79">
        <w:r>
          <w:rPr>
            <w:rStyle w:val="Hyperlink"/>
          </w:rPr>
          <w:t xml:space="preserve">[99]</w:t>
        </w:r>
      </w:hyperlink>
      <w:r>
        <w:t xml:space="preserve"> </w:t>
      </w:r>
      <w:r>
        <w:t xml:space="preserve">https://quran.ksu.edu.sa/tafseer/tabary/sura9-aya25.html</w:t>
      </w:r>
    </w:p>
    <w:p>
      <w:pPr>
        <w:pStyle w:val="BodyText"/>
      </w:pPr>
      <w:hyperlink r:id="rId79">
        <w:r>
          <w:rPr>
            <w:rStyle w:val="Hyperlink"/>
          </w:rPr>
          <w:t xml:space="preserve">https://quran.ksu.edu.sa/tafseer/tabary/sura9-aya25.html</w:t>
        </w:r>
      </w:hyperlink>
    </w:p>
    <w:p>
      <w:pPr>
        <w:pStyle w:val="BodyText"/>
      </w:pPr>
      <w:hyperlink r:id="rId80">
        <w:r>
          <w:rPr>
            <w:rStyle w:val="Hyperlink"/>
          </w:rPr>
          <w:t xml:space="preserve">[100]</w:t>
        </w:r>
      </w:hyperlink>
      <w:r>
        <w:t xml:space="preserve"> </w:t>
      </w:r>
      <w:r>
        <w:t xml:space="preserve">https://quran.ksu.edu.sa/tafseer/tabary/sura9-aya38.html</w:t>
      </w:r>
    </w:p>
    <w:p>
      <w:pPr>
        <w:pStyle w:val="BodyText"/>
      </w:pPr>
      <w:hyperlink r:id="rId80">
        <w:r>
          <w:rPr>
            <w:rStyle w:val="Hyperlink"/>
          </w:rPr>
          <w:t xml:space="preserve">https://quran.ksu.edu.sa/tafseer/tabary/sura9-aya38.html</w:t>
        </w:r>
      </w:hyperlink>
    </w:p>
    <w:p>
      <w:pPr>
        <w:pStyle w:val="BodyText"/>
      </w:pPr>
      <w:hyperlink r:id="rId81">
        <w:r>
          <w:rPr>
            <w:rStyle w:val="Hyperlink"/>
          </w:rPr>
          <w:t xml:space="preserve">[104]</w:t>
        </w:r>
      </w:hyperlink>
      <w:r>
        <w:t xml:space="preserve"> </w:t>
      </w:r>
      <w:hyperlink r:id="rId81">
        <w:r>
          <w:rPr>
            <w:rStyle w:val="Hyperlink"/>
          </w:rPr>
          <w:t xml:space="preserve">[120]</w:t>
        </w:r>
      </w:hyperlink>
      <w:r>
        <w:t xml:space="preserve"> </w:t>
      </w:r>
      <w:r>
        <w:t xml:space="preserve">https://quran.ksu.edu.sa/tafseer/tabary/sura39-aya30.html</w:t>
      </w:r>
    </w:p>
    <w:p>
      <w:pPr>
        <w:pStyle w:val="BodyText"/>
      </w:pPr>
      <w:hyperlink r:id="rId81">
        <w:r>
          <w:rPr>
            <w:rStyle w:val="Hyperlink"/>
          </w:rPr>
          <w:t xml:space="preserve">https://quran.ksu.edu.sa/tafseer/tabary/sura39-aya30.html</w:t>
        </w:r>
      </w:hyperlink>
    </w:p>
    <w:p>
      <w:pPr>
        <w:pStyle w:val="BodyText"/>
      </w:pPr>
      <w:hyperlink r:id="rId82">
        <w:r>
          <w:rPr>
            <w:rStyle w:val="Hyperlink"/>
          </w:rPr>
          <w:t xml:space="preserve">[107]</w:t>
        </w:r>
      </w:hyperlink>
      <w:r>
        <w:t xml:space="preserve"> </w:t>
      </w:r>
      <w:r>
        <w:t xml:space="preserve">https://quran.com/en/33%3A37/tafsirs/en-tafisr-ibn-kathir</w:t>
      </w:r>
    </w:p>
    <w:p>
      <w:pPr>
        <w:pStyle w:val="BodyText"/>
      </w:pPr>
      <w:hyperlink r:id="rId82">
        <w:r>
          <w:rPr>
            <w:rStyle w:val="Hyperlink"/>
          </w:rPr>
          <w:t xml:space="preserve">https://quran.com/en/33%3A37/tafsirs/en-tafisr-ibn-kathir</w:t>
        </w:r>
      </w:hyperlink>
    </w:p>
    <w:p>
      <w:pPr>
        <w:pStyle w:val="BodyText"/>
      </w:pPr>
      <w:hyperlink r:id="rId83">
        <w:r>
          <w:rPr>
            <w:rStyle w:val="Hyperlink"/>
          </w:rPr>
          <w:t xml:space="preserve">[108]</w:t>
        </w:r>
      </w:hyperlink>
      <w:r>
        <w:t xml:space="preserve"> </w:t>
      </w:r>
      <w:r>
        <w:t xml:space="preserve">https://quran.com/33%3A37/tafsirs/en-tafsir-maarif-ul-quran</w:t>
      </w:r>
    </w:p>
    <w:p>
      <w:pPr>
        <w:pStyle w:val="BodyText"/>
      </w:pPr>
      <w:hyperlink r:id="rId83">
        <w:r>
          <w:rPr>
            <w:rStyle w:val="Hyperlink"/>
          </w:rPr>
          <w:t xml:space="preserve">https://quran.com/33%3A37/tafsirs/en-tafsir-maarif-ul-quran</w:t>
        </w:r>
      </w:hyperlink>
    </w:p>
    <w:p>
      <w:pPr>
        <w:pStyle w:val="BodyText"/>
      </w:pPr>
      <w:hyperlink r:id="rId84">
        <w:r>
          <w:rPr>
            <w:rStyle w:val="Hyperlink"/>
          </w:rPr>
          <w:t xml:space="preserve">[109]</w:t>
        </w:r>
      </w:hyperlink>
      <w:r>
        <w:t xml:space="preserve"> </w:t>
      </w:r>
      <w:r>
        <w:t xml:space="preserve">https://quran.com/en/66%3A1/tafsirs/en-tafisr-ibn-kathir</w:t>
      </w:r>
    </w:p>
    <w:p>
      <w:pPr>
        <w:pStyle w:val="BodyText"/>
      </w:pPr>
      <w:hyperlink r:id="rId84">
        <w:r>
          <w:rPr>
            <w:rStyle w:val="Hyperlink"/>
          </w:rPr>
          <w:t xml:space="preserve">https://quran.com/en/66%3A1/tafsirs/en-tafisr-ibn-kathir</w:t>
        </w:r>
      </w:hyperlink>
    </w:p>
    <w:p>
      <w:pPr>
        <w:pStyle w:val="BodyText"/>
      </w:pPr>
      <w:hyperlink r:id="rId85">
        <w:r>
          <w:rPr>
            <w:rStyle w:val="Hyperlink"/>
          </w:rPr>
          <w:t xml:space="preserve">[110]</w:t>
        </w:r>
      </w:hyperlink>
      <w:r>
        <w:t xml:space="preserve"> </w:t>
      </w:r>
      <w:r>
        <w:t xml:space="preserve">https://tafsir.app/tabari/24/11</w:t>
      </w:r>
    </w:p>
    <w:p>
      <w:pPr>
        <w:pStyle w:val="BodyText"/>
      </w:pPr>
      <w:hyperlink r:id="rId85">
        <w:r>
          <w:rPr>
            <w:rStyle w:val="Hyperlink"/>
          </w:rPr>
          <w:t xml:space="preserve">https://tafsir.app/tabari/24/11</w:t>
        </w:r>
      </w:hyperlink>
    </w:p>
    <w:p>
      <w:pPr>
        <w:pStyle w:val="BodyText"/>
      </w:pPr>
      <w:hyperlink r:id="rId86">
        <w:r>
          <w:rPr>
            <w:rStyle w:val="Hyperlink"/>
          </w:rPr>
          <w:t xml:space="preserve">[113]</w:t>
        </w:r>
      </w:hyperlink>
      <w:r>
        <w:t xml:space="preserve"> </w:t>
      </w:r>
      <w:r>
        <w:t xml:space="preserve">https://www.islamicstudies.info/tafheem.php?sura=24&amp;to=20&amp;verse=11</w:t>
      </w:r>
    </w:p>
    <w:p>
      <w:pPr>
        <w:pStyle w:val="BodyText"/>
      </w:pPr>
      <w:hyperlink r:id="rId86">
        <w:r>
          <w:rPr>
            <w:rStyle w:val="Hyperlink"/>
          </w:rPr>
          <w:t xml:space="preserve">https://www.islamicstudies.info/tafheem.php?sura=24&amp;to=20&amp;verse=11</w:t>
        </w:r>
      </w:hyperlink>
    </w:p>
    <w:p>
      <w:pPr>
        <w:pStyle w:val="BodyText"/>
      </w:pPr>
      <w:hyperlink r:id="rId87">
        <w:r>
          <w:rPr>
            <w:rStyle w:val="Hyperlink"/>
          </w:rPr>
          <w:t xml:space="preserve">[114]</w:t>
        </w:r>
      </w:hyperlink>
      <w:r>
        <w:t xml:space="preserve"> </w:t>
      </w:r>
      <w:r>
        <w:t xml:space="preserve">https://quran.ksu.edu.sa/tafseer/tabary/sura68-aya4.html</w:t>
      </w:r>
    </w:p>
    <w:p>
      <w:pPr>
        <w:pStyle w:val="BodyText"/>
      </w:pPr>
      <w:hyperlink r:id="rId87">
        <w:r>
          <w:rPr>
            <w:rStyle w:val="Hyperlink"/>
          </w:rPr>
          <w:t xml:space="preserve">https://quran.ksu.edu.sa/tafseer/tabary/sura68-aya4.html</w:t>
        </w:r>
      </w:hyperlink>
    </w:p>
    <w:p>
      <w:pPr>
        <w:pStyle w:val="BodyText"/>
      </w:pPr>
      <w:hyperlink r:id="rId88">
        <w:r>
          <w:rPr>
            <w:rStyle w:val="Hyperlink"/>
          </w:rPr>
          <w:t xml:space="preserve">[115]</w:t>
        </w:r>
      </w:hyperlink>
      <w:r>
        <w:t xml:space="preserve"> </w:t>
      </w:r>
      <w:r>
        <w:t xml:space="preserve">https://quran.ksu.edu.sa/tafseer/katheer/sura68-aya4.html</w:t>
      </w:r>
    </w:p>
    <w:p>
      <w:pPr>
        <w:pStyle w:val="BodyText"/>
      </w:pPr>
      <w:hyperlink r:id="rId88">
        <w:r>
          <w:rPr>
            <w:rStyle w:val="Hyperlink"/>
          </w:rPr>
          <w:t xml:space="preserve">https://quran.ksu.edu.sa/tafseer/katheer/sura68-aya4.html</w:t>
        </w:r>
      </w:hyperlink>
    </w:p>
    <w:p>
      <w:pPr>
        <w:pStyle w:val="BodyText"/>
      </w:pPr>
      <w:hyperlink r:id="rId89">
        <w:r>
          <w:rPr>
            <w:rStyle w:val="Hyperlink"/>
          </w:rPr>
          <w:t xml:space="preserve">[116]</w:t>
        </w:r>
      </w:hyperlink>
      <w:r>
        <w:t xml:space="preserve"> </w:t>
      </w:r>
      <w:r>
        <w:t xml:space="preserve">https://quran.ksu.edu.sa/tafseer/qortobi/sura68-aya4.html</w:t>
      </w:r>
    </w:p>
    <w:p>
      <w:pPr>
        <w:pStyle w:val="BodyText"/>
      </w:pPr>
      <w:hyperlink r:id="rId89">
        <w:r>
          <w:rPr>
            <w:rStyle w:val="Hyperlink"/>
          </w:rPr>
          <w:t xml:space="preserve">https://quran.ksu.edu.sa/tafseer/qortobi/sura68-aya4.html</w:t>
        </w:r>
      </w:hyperlink>
    </w:p>
    <w:p>
      <w:pPr>
        <w:pStyle w:val="BodyText"/>
      </w:pPr>
      <w:hyperlink r:id="rId90">
        <w:r>
          <w:rPr>
            <w:rStyle w:val="Hyperlink"/>
          </w:rPr>
          <w:t xml:space="preserve">[119]</w:t>
        </w:r>
      </w:hyperlink>
      <w:r>
        <w:t xml:space="preserve"> </w:t>
      </w:r>
      <w:r>
        <w:t xml:space="preserve">https://quran.com/en/3%3A159/tafsirs/en-tafsir-maarif-ul-quran</w:t>
      </w:r>
    </w:p>
    <w:p>
      <w:pPr>
        <w:pStyle w:val="BodyText"/>
      </w:pPr>
      <w:hyperlink r:id="rId90">
        <w:r>
          <w:rPr>
            <w:rStyle w:val="Hyperlink"/>
          </w:rPr>
          <w:t xml:space="preserve">https://quran.com/en/3%3A159/tafsirs/en-tafsir-maarif-ul-quran</w:t>
        </w:r>
      </w:hyperlink>
    </w:p>
    <w:p>
      <w:pPr>
        <w:pStyle w:val="BodyText"/>
      </w:pPr>
      <w:hyperlink r:id="rId91">
        <w:r>
          <w:rPr>
            <w:rStyle w:val="Hyperlink"/>
          </w:rPr>
          <w:t xml:space="preserve">[121]</w:t>
        </w:r>
      </w:hyperlink>
      <w:r>
        <w:t xml:space="preserve"> </w:t>
      </w:r>
      <w:r>
        <w:t xml:space="preserve">https://quran.com/en/an-nasr/1/tafsirs</w:t>
      </w:r>
    </w:p>
    <w:p>
      <w:pPr>
        <w:pStyle w:val="BodyText"/>
      </w:pPr>
      <w:hyperlink r:id="rId91">
        <w:r>
          <w:rPr>
            <w:rStyle w:val="Hyperlink"/>
          </w:rPr>
          <w:t xml:space="preserve">https://quran.com/en/an-nasr/1/tafsirs</w:t>
        </w:r>
      </w:hyperlink>
    </w:p>
    <w:p>
      <w:pPr>
        <w:pStyle w:val="BodyText"/>
      </w:pPr>
      <w:hyperlink r:id="rId92">
        <w:r>
          <w:rPr>
            <w:rStyle w:val="Hyperlink"/>
          </w:rPr>
          <w:t xml:space="preserve">[123]</w:t>
        </w:r>
      </w:hyperlink>
      <w:r>
        <w:t xml:space="preserve"> </w:t>
      </w:r>
      <w:r>
        <w:t xml:space="preserve">https://islamicstudies.info/quran/maarif.php?sura=33&amp;to=40&amp;verse=35</w:t>
      </w:r>
    </w:p>
    <w:p>
      <w:pPr>
        <w:pStyle w:val="BodyText"/>
      </w:pPr>
      <w:hyperlink r:id="rId92">
        <w:r>
          <w:rPr>
            <w:rStyle w:val="Hyperlink"/>
          </w:rPr>
          <w:t xml:space="preserve">https://islamicstudies.info/quran/maarif.php?sura=33&amp;to=40&amp;verse=35</w:t>
        </w:r>
      </w:hyperlink>
    </w:p>
    <w:p>
      <w:pPr>
        <w:pStyle w:val="BodyText"/>
      </w:pPr>
      <w:hyperlink r:id="rId93">
        <w:r>
          <w:rPr>
            <w:rStyle w:val="Hyperlink"/>
          </w:rPr>
          <w:t xml:space="preserve">[124]</w:t>
        </w:r>
      </w:hyperlink>
      <w:r>
        <w:t xml:space="preserve"> </w:t>
      </w:r>
      <w:r>
        <w:t xml:space="preserve">https://quran.ksu.edu.sa/tafseer/tabary/sura7-aya158.html</w:t>
      </w:r>
    </w:p>
    <w:p>
      <w:pPr>
        <w:pStyle w:val="BodyText"/>
      </w:pPr>
      <w:hyperlink r:id="rId93">
        <w:r>
          <w:rPr>
            <w:rStyle w:val="Hyperlink"/>
          </w:rPr>
          <w:t xml:space="preserve">https://quran.ksu.edu.sa/tafseer/tabary/sura7-aya158.html</w:t>
        </w:r>
      </w:hyperlink>
    </w:p>
    <w:p>
      <w:pPr>
        <w:pStyle w:val="BodyText"/>
      </w:pPr>
      <w:hyperlink r:id="rId95">
        <w:r>
          <w:rPr>
            <w:rStyle w:val="Hyperlink"/>
          </w:rPr>
          <w:t xml:space="preserve">[128]</w:t>
        </w:r>
      </w:hyperlink>
      <w:r>
        <w:t xml:space="preserve"> </w:t>
      </w:r>
      <w:r>
        <w:t xml:space="preserve">https://www.altafsir.com/Tafasir.asp?LanguageId=1&amp;Page=5&amp;Size=1&amp;tAyahNo=3&amp;tDisplay=yes&amp;tMadhNo=2&amp;tSoraNo=5&amp;tTafsirNo=26</w:t>
      </w:r>
    </w:p>
    <w:p>
      <w:pPr>
        <w:pStyle w:val="BodyText"/>
      </w:pPr>
      <w:hyperlink r:id="rId95">
        <w:r>
          <w:rPr>
            <w:rStyle w:val="Hyperlink"/>
          </w:rPr>
          <w:t xml:space="preserve">https://www.altafsir.com/Tafasir.asp?LanguageId=1&amp;Page=5&amp;Size=1&amp;tAyahNo=3&amp;tDisplay=yes&amp;tMadhNo=2&amp;tSoraNo=5&amp;tTafsirNo=26</w:t>
        </w:r>
      </w:hyperlink>
    </w:p>
    <w:p>
      <w:pPr>
        <w:pStyle w:val="BodyText"/>
      </w:pPr>
      <w:hyperlink r:id="rId97">
        <w:r>
          <w:rPr>
            <w:rStyle w:val="Hyperlink"/>
          </w:rPr>
          <w:t xml:space="preserve">[132]</w:t>
        </w:r>
      </w:hyperlink>
      <w:r>
        <w:t xml:space="preserve"> </w:t>
      </w:r>
      <w:r>
        <w:t xml:space="preserve">https://tafsir.app/alrazi/54/2</w:t>
      </w:r>
    </w:p>
    <w:p>
      <w:pPr>
        <w:pStyle w:val="BodyText"/>
      </w:pPr>
      <w:hyperlink r:id="rId97">
        <w:r>
          <w:rPr>
            <w:rStyle w:val="Hyperlink"/>
          </w:rPr>
          <w:t xml:space="preserve">https://tafsir.app/alrazi/54/2</w:t>
        </w:r>
      </w:hyperlink>
    </w:p>
    <w:bookmarkEnd w:id="103"/>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000">
    <w:abstractNumId w:val="990"/>
  </w:num>
  <w:num w:numId="1001">
    <w:abstractNumId w:val="991"/>
  </w:num>
  <w:num w:numId="1002">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0" Target="https://al-islam.org/quran/surah/5/al-maaida/ayat/3/reference/19118" TargetMode="External" /><Relationship Type="http://schemas.openxmlformats.org/officeDocument/2006/relationships/hyperlink" Id="rId28" Target="https://archive.org/download/tafseer-mariful-quran-sura-105-al-fil-english-translation-pdf/tafseer-mariful-quran-sura-105-al-fil-english-translation-pdf.pdf" TargetMode="External" /><Relationship Type="http://schemas.openxmlformats.org/officeDocument/2006/relationships/hyperlink" Id="rId69" Target="https://corpus.quran.com/translation.jsp?chapter=26&amp;verse=214" TargetMode="External" /><Relationship Type="http://schemas.openxmlformats.org/officeDocument/2006/relationships/hyperlink" Id="rId54" Target="https://ia601806.us.archive.org/16/items/TheStudyQuranANewTranslationAndCommentaryBySeyyedHosseinNasr/TheStudyQuranANewTranslationAndCommentaryBySeyyedHosseinNasr.pdf?utm_source=chatgpt.com" TargetMode="External" /><Relationship Type="http://schemas.openxmlformats.org/officeDocument/2006/relationships/hyperlink" Id="rId92" Target="https://islamicstudies.info/quran/maarif.php?sura=33&amp;to=40&amp;verse=35" TargetMode="External" /><Relationship Type="http://schemas.openxmlformats.org/officeDocument/2006/relationships/hyperlink" Id="rId47" Target="https://myislam.org/surah-ahzab/ayat-9/" TargetMode="External" /><Relationship Type="http://schemas.openxmlformats.org/officeDocument/2006/relationships/hyperlink" Id="rId83" Target="https://quran.com/33%3A37/tafsirs/en-tafsir-maarif-ul-quran" TargetMode="External" /><Relationship Type="http://schemas.openxmlformats.org/officeDocument/2006/relationships/hyperlink" Id="rId34" Target="https://quran.com/en/108%3A3/tafsirs/en-tafsir-maarif-ul-quran" TargetMode="External" /><Relationship Type="http://schemas.openxmlformats.org/officeDocument/2006/relationships/hyperlink" Id="rId37" Target="https://quran.com/en/109%3A1/tafsirs/en-tafsir-maarif-ul-quran" TargetMode="External" /><Relationship Type="http://schemas.openxmlformats.org/officeDocument/2006/relationships/hyperlink" Id="rId48" Target="https://quran.com/en/15%3A94/tafsirs/en-tafsir-maarif-ul-quran" TargetMode="External" /><Relationship Type="http://schemas.openxmlformats.org/officeDocument/2006/relationships/hyperlink" Id="rId90" Target="https://quran.com/en/3%3A159/tafsirs/en-tafsir-maarif-ul-quran" TargetMode="External" /><Relationship Type="http://schemas.openxmlformats.org/officeDocument/2006/relationships/hyperlink" Id="rId82" Target="https://quran.com/en/33%3A37/tafsirs/en-tafisr-ibn-kathir" TargetMode="External" /><Relationship Type="http://schemas.openxmlformats.org/officeDocument/2006/relationships/hyperlink" Id="rId43" Target="https://quran.com/en/33%3A9/tafsirs/en-tafisr-ibn-kathir" TargetMode="External" /><Relationship Type="http://schemas.openxmlformats.org/officeDocument/2006/relationships/hyperlink" Id="rId39" Target="https://quran.com/en/34%3A28/tafsirs/ar-tafsir-al-tabari" TargetMode="External" /><Relationship Type="http://schemas.openxmlformats.org/officeDocument/2006/relationships/hyperlink" Id="rId84" Target="https://quran.com/en/66%3A1/tafsirs/en-tafisr-ibn-kathir" TargetMode="External" /><Relationship Type="http://schemas.openxmlformats.org/officeDocument/2006/relationships/hyperlink" Id="rId36" Target="https://quran.com/en/74%3A1/tafsirs/en-tafsir-maarif-ul-quran" TargetMode="External" /><Relationship Type="http://schemas.openxmlformats.org/officeDocument/2006/relationships/hyperlink" Id="rId64" Target="https://quran.com/en/93%3A8/tafsirs/en-tafsir-maarif-ul-quran" TargetMode="External" /><Relationship Type="http://schemas.openxmlformats.org/officeDocument/2006/relationships/hyperlink" Id="rId66" Target="https://quran.com/en/96%3A1/tafsirs/en-tafsir-maarif-ul-quran" TargetMode="External" /><Relationship Type="http://schemas.openxmlformats.org/officeDocument/2006/relationships/hyperlink" Id="rId91" Target="https://quran.com/en/an-nasr/1/tafsirs" TargetMode="External" /><Relationship Type="http://schemas.openxmlformats.org/officeDocument/2006/relationships/hyperlink" Id="rId59" Target="https://quran.com/id/105%3A1/tafsirs/ar-tafseer-al-qurtubi" TargetMode="External" /><Relationship Type="http://schemas.openxmlformats.org/officeDocument/2006/relationships/hyperlink" Id="rId33" Target="https://quran.com/id/105%3A1/tafsirs/ar-tafsir-al-baghawi" TargetMode="External" /><Relationship Type="http://schemas.openxmlformats.org/officeDocument/2006/relationships/hyperlink" Id="rId21" Target="https://quran.ksu.edu.sa/tafseer/" TargetMode="External" /><Relationship Type="http://schemas.openxmlformats.org/officeDocument/2006/relationships/hyperlink" Id="rId40" Target="https://quran.ksu.edu.sa/tafseer/baghawy/sura48-aya1.html" TargetMode="External" /><Relationship Type="http://schemas.openxmlformats.org/officeDocument/2006/relationships/hyperlink" Id="rId63" Target="https://quran.ksu.edu.sa/tafseer/baghawy/sura93-aya8.html" TargetMode="External" /><Relationship Type="http://schemas.openxmlformats.org/officeDocument/2006/relationships/hyperlink" Id="rId70" Target="https://quran.ksu.edu.sa/tafseer/katheer/sura111-aya1.html" TargetMode="External" /><Relationship Type="http://schemas.openxmlformats.org/officeDocument/2006/relationships/hyperlink" Id="rId41" Target="https://quran.ksu.edu.sa/tafseer/katheer/sura33-aya21.html" TargetMode="External" /><Relationship Type="http://schemas.openxmlformats.org/officeDocument/2006/relationships/hyperlink" Id="rId46" Target="https://quran.ksu.edu.sa/tafseer/katheer/sura48-aya1.html" TargetMode="External" /><Relationship Type="http://schemas.openxmlformats.org/officeDocument/2006/relationships/hyperlink" Id="rId73" Target="https://quran.ksu.edu.sa/tafseer/katheer/sura53-aya13.html" TargetMode="External" /><Relationship Type="http://schemas.openxmlformats.org/officeDocument/2006/relationships/hyperlink" Id="rId88" Target="https://quran.ksu.edu.sa/tafseer/katheer/sura68-aya4.html" TargetMode="External" /><Relationship Type="http://schemas.openxmlformats.org/officeDocument/2006/relationships/hyperlink" Id="rId49" Target="https://quran.ksu.edu.sa/tafseer/katheer/sura74-aya1.html" TargetMode="External" /><Relationship Type="http://schemas.openxmlformats.org/officeDocument/2006/relationships/hyperlink" Id="rId22" Target="https://quran.ksu.edu.sa/tafseer/katheer/sura93-aya6.html?utm_source=chatgpt.com" TargetMode="External" /><Relationship Type="http://schemas.openxmlformats.org/officeDocument/2006/relationships/hyperlink" Id="rId65" Target="https://quran.ksu.edu.sa/tafseer/katheer/sura96-aya1.html" TargetMode="External" /><Relationship Type="http://schemas.openxmlformats.org/officeDocument/2006/relationships/hyperlink" Id="rId68" Target="https://quran.ksu.edu.sa/tafseer/qortobi/sura15-aya94.html" TargetMode="External" /><Relationship Type="http://schemas.openxmlformats.org/officeDocument/2006/relationships/hyperlink" Id="rId25" Target="https://quran.ksu.edu.sa/tafseer/qortobi/sura17-aya1.html" TargetMode="External" /><Relationship Type="http://schemas.openxmlformats.org/officeDocument/2006/relationships/hyperlink" Id="rId29" Target="https://quran.ksu.edu.sa/tafseer/qortobi/sura33-aya37.html" TargetMode="External" /><Relationship Type="http://schemas.openxmlformats.org/officeDocument/2006/relationships/hyperlink" Id="rId57" Target="https://quran.ksu.edu.sa/tafseer/qortobi/sura48-aya1.html" TargetMode="External" /><Relationship Type="http://schemas.openxmlformats.org/officeDocument/2006/relationships/hyperlink" Id="rId74" Target="https://quran.ksu.edu.sa/tafseer/qortobi/sura53-aya13.html" TargetMode="External" /><Relationship Type="http://schemas.openxmlformats.org/officeDocument/2006/relationships/hyperlink" Id="rId89" Target="https://quran.ksu.edu.sa/tafseer/qortobi/sura68-aya4.html" TargetMode="External" /><Relationship Type="http://schemas.openxmlformats.org/officeDocument/2006/relationships/hyperlink" Id="rId26" Target="https://quran.ksu.edu.sa/tafseer/qortobi/sura9-aya40.html" TargetMode="External" /><Relationship Type="http://schemas.openxmlformats.org/officeDocument/2006/relationships/hyperlink" Id="rId23" Target="https://quran.ksu.edu.sa/tafseer/qortobi/sura93-aya8.html" TargetMode="External" /><Relationship Type="http://schemas.openxmlformats.org/officeDocument/2006/relationships/hyperlink" Id="rId42" Target="https://quran.ksu.edu.sa/tafseer/saadi/sura68-aya4.html" TargetMode="External" /><Relationship Type="http://schemas.openxmlformats.org/officeDocument/2006/relationships/hyperlink" Id="rId60" Target="https://quran.ksu.edu.sa/tafseer/saadi/sura93-aya6.html?utm_source=chatgpt.com" TargetMode="External" /><Relationship Type="http://schemas.openxmlformats.org/officeDocument/2006/relationships/hyperlink" Id="rId24" Target="https://quran.ksu.edu.sa/tafseer/tabary/sura15-aya94.html" TargetMode="External" /><Relationship Type="http://schemas.openxmlformats.org/officeDocument/2006/relationships/hyperlink" Id="rId76" Target="https://quran.ksu.edu.sa/tafseer/tabary/sura16-aya41.html" TargetMode="External" /><Relationship Type="http://schemas.openxmlformats.org/officeDocument/2006/relationships/hyperlink" Id="rId35" Target="https://quran.ksu.edu.sa/tafseer/tabary/sura17-aya1.html" TargetMode="External" /><Relationship Type="http://schemas.openxmlformats.org/officeDocument/2006/relationships/hyperlink" Id="rId38" Target="https://quran.ksu.edu.sa/tafseer/tabary/sura21-aya107.html" TargetMode="External" /><Relationship Type="http://schemas.openxmlformats.org/officeDocument/2006/relationships/hyperlink" Id="rId52" Target="https://quran.ksu.edu.sa/tafseer/tabary/sura26-aya214.html" TargetMode="External" /><Relationship Type="http://schemas.openxmlformats.org/officeDocument/2006/relationships/hyperlink" Id="rId81" Target="https://quran.ksu.edu.sa/tafseer/tabary/sura39-aya30.html" TargetMode="External" /><Relationship Type="http://schemas.openxmlformats.org/officeDocument/2006/relationships/hyperlink" Id="rId27" Target="https://quran.ksu.edu.sa/tafseer/tabary/sura48-aya1.html" TargetMode="External" /><Relationship Type="http://schemas.openxmlformats.org/officeDocument/2006/relationships/hyperlink" Id="rId87" Target="https://quran.ksu.edu.sa/tafseer/tabary/sura68-aya4.html" TargetMode="External" /><Relationship Type="http://schemas.openxmlformats.org/officeDocument/2006/relationships/hyperlink" Id="rId93" Target="https://quran.ksu.edu.sa/tafseer/tabary/sura7-aya158.html" TargetMode="External" /><Relationship Type="http://schemas.openxmlformats.org/officeDocument/2006/relationships/hyperlink" Id="rId67" Target="https://quran.ksu.edu.sa/tafseer/tabary/sura74-aya1.html" TargetMode="External" /><Relationship Type="http://schemas.openxmlformats.org/officeDocument/2006/relationships/hyperlink" Id="rId77" Target="https://quran.ksu.edu.sa/tafseer/tabary/sura8-aya41.html" TargetMode="External" /><Relationship Type="http://schemas.openxmlformats.org/officeDocument/2006/relationships/hyperlink" Id="rId79" Target="https://quran.ksu.edu.sa/tafseer/tabary/sura9-aya25.html" TargetMode="External" /><Relationship Type="http://schemas.openxmlformats.org/officeDocument/2006/relationships/hyperlink" Id="rId80" Target="https://quran.ksu.edu.sa/tafseer/tabary/sura9-aya38.html" TargetMode="External" /><Relationship Type="http://schemas.openxmlformats.org/officeDocument/2006/relationships/hyperlink" Id="rId61" Target="https://quran.ksu.edu.sa/tafseer/tabary/sura93-aya6.html?utm_source=chatgpt.com" TargetMode="External" /><Relationship Type="http://schemas.openxmlformats.org/officeDocument/2006/relationships/hyperlink" Id="rId78" Target="https://surahquran.com/tafsir-english-aya-144-sora-3.html" TargetMode="External" /><Relationship Type="http://schemas.openxmlformats.org/officeDocument/2006/relationships/hyperlink" Id="rId75" Target="https://surahquran.com/tafsir-english-aya-40-sora-9.html" TargetMode="External" /><Relationship Type="http://schemas.openxmlformats.org/officeDocument/2006/relationships/hyperlink" Id="rId32" Target="https://tafsir.app/" TargetMode="External" /><Relationship Type="http://schemas.openxmlformats.org/officeDocument/2006/relationships/hyperlink" Id="rId30" Target="https://tafsir.app/alrazi/33/40" TargetMode="External" /><Relationship Type="http://schemas.openxmlformats.org/officeDocument/2006/relationships/hyperlink" Id="rId97" Target="https://tafsir.app/alrazi/54/2" TargetMode="External" /><Relationship Type="http://schemas.openxmlformats.org/officeDocument/2006/relationships/hyperlink" Id="rId44" Target="https://tafsir.app/ibn-aashoor/17/1" TargetMode="External" /><Relationship Type="http://schemas.openxmlformats.org/officeDocument/2006/relationships/hyperlink" Id="rId53" Target="https://tafsir.app/ibn-katheer/24/11" TargetMode="External" /><Relationship Type="http://schemas.openxmlformats.org/officeDocument/2006/relationships/hyperlink" Id="rId62" Target="https://tafsir.app/qurtubi/9/128" TargetMode="External" /><Relationship Type="http://schemas.openxmlformats.org/officeDocument/2006/relationships/hyperlink" Id="rId71" Target="https://tafsir.app/tabari/17/1" TargetMode="External" /><Relationship Type="http://schemas.openxmlformats.org/officeDocument/2006/relationships/hyperlink" Id="rId85" Target="https://tafsir.app/tabari/24/11" TargetMode="External" /><Relationship Type="http://schemas.openxmlformats.org/officeDocument/2006/relationships/hyperlink" Id="rId72" Target="https://tafsir.app/tabari/53/11" TargetMode="External" /><Relationship Type="http://schemas.openxmlformats.org/officeDocument/2006/relationships/hyperlink" Id="rId95" Target="https://www.altafsir.com/Tafasir.asp?LanguageId=1&amp;Page=5&amp;Size=1&amp;tAyahNo=3&amp;tDisplay=yes&amp;tMadhNo=2&amp;tSoraNo=5&amp;tTafsirNo=26" TargetMode="External" /><Relationship Type="http://schemas.openxmlformats.org/officeDocument/2006/relationships/hyperlink" Id="rId45" Target="https://www.altafsir.com/Tafasir.asp?LanguageId=1&amp;UserProfile=0&amp;tAyahNo=40&amp;tDisplay=yes&amp;tMadhNo=4&amp;tSoraNo=9&amp;tTafsirNo=3&amp;utm_source=chatgpt.com" TargetMode="External" /><Relationship Type="http://schemas.openxmlformats.org/officeDocument/2006/relationships/hyperlink" Id="rId51" Target="https://www.altafsir.com/Tafasir.asp?LanguageId=2&amp;tAyahNo=1&amp;tDisplay=yes&amp;tMadhNo=0&amp;tSoraNo=80&amp;tTafsirNo=86&amp;utm_source=chatgpt.com" TargetMode="External" /><Relationship Type="http://schemas.openxmlformats.org/officeDocument/2006/relationships/hyperlink" Id="rId86" Target="https://www.islamicstudies.info/tafheem.php?sura=24&amp;to=20&amp;verse=11" TargetMode="External" /></Relationships>
</file>

<file path=word/_rels/footnotes.xml.rels><?xml version="1.0" encoding="UTF-8"?><Relationships xmlns="http://schemas.openxmlformats.org/package/2006/relationships"><Relationship Type="http://schemas.openxmlformats.org/officeDocument/2006/relationships/hyperlink" Id="rId50" Target="https://al-islam.org/quran/surah/5/al-maaida/ayat/3/reference/19118" TargetMode="External" /><Relationship Type="http://schemas.openxmlformats.org/officeDocument/2006/relationships/hyperlink" Id="rId28" Target="https://archive.org/download/tafseer-mariful-quran-sura-105-al-fil-english-translation-pdf/tafseer-mariful-quran-sura-105-al-fil-english-translation-pdf.pdf" TargetMode="External" /><Relationship Type="http://schemas.openxmlformats.org/officeDocument/2006/relationships/hyperlink" Id="rId69" Target="https://corpus.quran.com/translation.jsp?chapter=26&amp;verse=214" TargetMode="External" /><Relationship Type="http://schemas.openxmlformats.org/officeDocument/2006/relationships/hyperlink" Id="rId54" Target="https://ia601806.us.archive.org/16/items/TheStudyQuranANewTranslationAndCommentaryBySeyyedHosseinNasr/TheStudyQuranANewTranslationAndCommentaryBySeyyedHosseinNasr.pdf?utm_source=chatgpt.com" TargetMode="External" /><Relationship Type="http://schemas.openxmlformats.org/officeDocument/2006/relationships/hyperlink" Id="rId92" Target="https://islamicstudies.info/quran/maarif.php?sura=33&amp;to=40&amp;verse=35" TargetMode="External" /><Relationship Type="http://schemas.openxmlformats.org/officeDocument/2006/relationships/hyperlink" Id="rId47" Target="https://myislam.org/surah-ahzab/ayat-9/" TargetMode="External" /><Relationship Type="http://schemas.openxmlformats.org/officeDocument/2006/relationships/hyperlink" Id="rId83" Target="https://quran.com/33%3A37/tafsirs/en-tafsir-maarif-ul-quran" TargetMode="External" /><Relationship Type="http://schemas.openxmlformats.org/officeDocument/2006/relationships/hyperlink" Id="rId34" Target="https://quran.com/en/108%3A3/tafsirs/en-tafsir-maarif-ul-quran" TargetMode="External" /><Relationship Type="http://schemas.openxmlformats.org/officeDocument/2006/relationships/hyperlink" Id="rId37" Target="https://quran.com/en/109%3A1/tafsirs/en-tafsir-maarif-ul-quran" TargetMode="External" /><Relationship Type="http://schemas.openxmlformats.org/officeDocument/2006/relationships/hyperlink" Id="rId48" Target="https://quran.com/en/15%3A94/tafsirs/en-tafsir-maarif-ul-quran" TargetMode="External" /><Relationship Type="http://schemas.openxmlformats.org/officeDocument/2006/relationships/hyperlink" Id="rId90" Target="https://quran.com/en/3%3A159/tafsirs/en-tafsir-maarif-ul-quran" TargetMode="External" /><Relationship Type="http://schemas.openxmlformats.org/officeDocument/2006/relationships/hyperlink" Id="rId82" Target="https://quran.com/en/33%3A37/tafsirs/en-tafisr-ibn-kathir" TargetMode="External" /><Relationship Type="http://schemas.openxmlformats.org/officeDocument/2006/relationships/hyperlink" Id="rId43" Target="https://quran.com/en/33%3A9/tafsirs/en-tafisr-ibn-kathir" TargetMode="External" /><Relationship Type="http://schemas.openxmlformats.org/officeDocument/2006/relationships/hyperlink" Id="rId39" Target="https://quran.com/en/34%3A28/tafsirs/ar-tafsir-al-tabari" TargetMode="External" /><Relationship Type="http://schemas.openxmlformats.org/officeDocument/2006/relationships/hyperlink" Id="rId84" Target="https://quran.com/en/66%3A1/tafsirs/en-tafisr-ibn-kathir" TargetMode="External" /><Relationship Type="http://schemas.openxmlformats.org/officeDocument/2006/relationships/hyperlink" Id="rId36" Target="https://quran.com/en/74%3A1/tafsirs/en-tafsir-maarif-ul-quran" TargetMode="External" /><Relationship Type="http://schemas.openxmlformats.org/officeDocument/2006/relationships/hyperlink" Id="rId64" Target="https://quran.com/en/93%3A8/tafsirs/en-tafsir-maarif-ul-quran" TargetMode="External" /><Relationship Type="http://schemas.openxmlformats.org/officeDocument/2006/relationships/hyperlink" Id="rId66" Target="https://quran.com/en/96%3A1/tafsirs/en-tafsir-maarif-ul-quran" TargetMode="External" /><Relationship Type="http://schemas.openxmlformats.org/officeDocument/2006/relationships/hyperlink" Id="rId91" Target="https://quran.com/en/an-nasr/1/tafsirs" TargetMode="External" /><Relationship Type="http://schemas.openxmlformats.org/officeDocument/2006/relationships/hyperlink" Id="rId59" Target="https://quran.com/id/105%3A1/tafsirs/ar-tafseer-al-qurtubi" TargetMode="External" /><Relationship Type="http://schemas.openxmlformats.org/officeDocument/2006/relationships/hyperlink" Id="rId33" Target="https://quran.com/id/105%3A1/tafsirs/ar-tafsir-al-baghawi" TargetMode="External" /><Relationship Type="http://schemas.openxmlformats.org/officeDocument/2006/relationships/hyperlink" Id="rId21" Target="https://quran.ksu.edu.sa/tafseer/" TargetMode="External" /><Relationship Type="http://schemas.openxmlformats.org/officeDocument/2006/relationships/hyperlink" Id="rId40" Target="https://quran.ksu.edu.sa/tafseer/baghawy/sura48-aya1.html" TargetMode="External" /><Relationship Type="http://schemas.openxmlformats.org/officeDocument/2006/relationships/hyperlink" Id="rId63" Target="https://quran.ksu.edu.sa/tafseer/baghawy/sura93-aya8.html" TargetMode="External" /><Relationship Type="http://schemas.openxmlformats.org/officeDocument/2006/relationships/hyperlink" Id="rId70" Target="https://quran.ksu.edu.sa/tafseer/katheer/sura111-aya1.html" TargetMode="External" /><Relationship Type="http://schemas.openxmlformats.org/officeDocument/2006/relationships/hyperlink" Id="rId41" Target="https://quran.ksu.edu.sa/tafseer/katheer/sura33-aya21.html" TargetMode="External" /><Relationship Type="http://schemas.openxmlformats.org/officeDocument/2006/relationships/hyperlink" Id="rId46" Target="https://quran.ksu.edu.sa/tafseer/katheer/sura48-aya1.html" TargetMode="External" /><Relationship Type="http://schemas.openxmlformats.org/officeDocument/2006/relationships/hyperlink" Id="rId73" Target="https://quran.ksu.edu.sa/tafseer/katheer/sura53-aya13.html" TargetMode="External" /><Relationship Type="http://schemas.openxmlformats.org/officeDocument/2006/relationships/hyperlink" Id="rId88" Target="https://quran.ksu.edu.sa/tafseer/katheer/sura68-aya4.html" TargetMode="External" /><Relationship Type="http://schemas.openxmlformats.org/officeDocument/2006/relationships/hyperlink" Id="rId49" Target="https://quran.ksu.edu.sa/tafseer/katheer/sura74-aya1.html" TargetMode="External" /><Relationship Type="http://schemas.openxmlformats.org/officeDocument/2006/relationships/hyperlink" Id="rId22" Target="https://quran.ksu.edu.sa/tafseer/katheer/sura93-aya6.html?utm_source=chatgpt.com" TargetMode="External" /><Relationship Type="http://schemas.openxmlformats.org/officeDocument/2006/relationships/hyperlink" Id="rId65" Target="https://quran.ksu.edu.sa/tafseer/katheer/sura96-aya1.html" TargetMode="External" /><Relationship Type="http://schemas.openxmlformats.org/officeDocument/2006/relationships/hyperlink" Id="rId68" Target="https://quran.ksu.edu.sa/tafseer/qortobi/sura15-aya94.html" TargetMode="External" /><Relationship Type="http://schemas.openxmlformats.org/officeDocument/2006/relationships/hyperlink" Id="rId25" Target="https://quran.ksu.edu.sa/tafseer/qortobi/sura17-aya1.html" TargetMode="External" /><Relationship Type="http://schemas.openxmlformats.org/officeDocument/2006/relationships/hyperlink" Id="rId29" Target="https://quran.ksu.edu.sa/tafseer/qortobi/sura33-aya37.html" TargetMode="External" /><Relationship Type="http://schemas.openxmlformats.org/officeDocument/2006/relationships/hyperlink" Id="rId57" Target="https://quran.ksu.edu.sa/tafseer/qortobi/sura48-aya1.html" TargetMode="External" /><Relationship Type="http://schemas.openxmlformats.org/officeDocument/2006/relationships/hyperlink" Id="rId74" Target="https://quran.ksu.edu.sa/tafseer/qortobi/sura53-aya13.html" TargetMode="External" /><Relationship Type="http://schemas.openxmlformats.org/officeDocument/2006/relationships/hyperlink" Id="rId89" Target="https://quran.ksu.edu.sa/tafseer/qortobi/sura68-aya4.html" TargetMode="External" /><Relationship Type="http://schemas.openxmlformats.org/officeDocument/2006/relationships/hyperlink" Id="rId26" Target="https://quran.ksu.edu.sa/tafseer/qortobi/sura9-aya40.html" TargetMode="External" /><Relationship Type="http://schemas.openxmlformats.org/officeDocument/2006/relationships/hyperlink" Id="rId23" Target="https://quran.ksu.edu.sa/tafseer/qortobi/sura93-aya8.html" TargetMode="External" /><Relationship Type="http://schemas.openxmlformats.org/officeDocument/2006/relationships/hyperlink" Id="rId42" Target="https://quran.ksu.edu.sa/tafseer/saadi/sura68-aya4.html" TargetMode="External" /><Relationship Type="http://schemas.openxmlformats.org/officeDocument/2006/relationships/hyperlink" Id="rId60" Target="https://quran.ksu.edu.sa/tafseer/saadi/sura93-aya6.html?utm_source=chatgpt.com" TargetMode="External" /><Relationship Type="http://schemas.openxmlformats.org/officeDocument/2006/relationships/hyperlink" Id="rId24" Target="https://quran.ksu.edu.sa/tafseer/tabary/sura15-aya94.html" TargetMode="External" /><Relationship Type="http://schemas.openxmlformats.org/officeDocument/2006/relationships/hyperlink" Id="rId76" Target="https://quran.ksu.edu.sa/tafseer/tabary/sura16-aya41.html" TargetMode="External" /><Relationship Type="http://schemas.openxmlformats.org/officeDocument/2006/relationships/hyperlink" Id="rId35" Target="https://quran.ksu.edu.sa/tafseer/tabary/sura17-aya1.html" TargetMode="External" /><Relationship Type="http://schemas.openxmlformats.org/officeDocument/2006/relationships/hyperlink" Id="rId38" Target="https://quran.ksu.edu.sa/tafseer/tabary/sura21-aya107.html" TargetMode="External" /><Relationship Type="http://schemas.openxmlformats.org/officeDocument/2006/relationships/hyperlink" Id="rId52" Target="https://quran.ksu.edu.sa/tafseer/tabary/sura26-aya214.html" TargetMode="External" /><Relationship Type="http://schemas.openxmlformats.org/officeDocument/2006/relationships/hyperlink" Id="rId81" Target="https://quran.ksu.edu.sa/tafseer/tabary/sura39-aya30.html" TargetMode="External" /><Relationship Type="http://schemas.openxmlformats.org/officeDocument/2006/relationships/hyperlink" Id="rId27" Target="https://quran.ksu.edu.sa/tafseer/tabary/sura48-aya1.html" TargetMode="External" /><Relationship Type="http://schemas.openxmlformats.org/officeDocument/2006/relationships/hyperlink" Id="rId87" Target="https://quran.ksu.edu.sa/tafseer/tabary/sura68-aya4.html" TargetMode="External" /><Relationship Type="http://schemas.openxmlformats.org/officeDocument/2006/relationships/hyperlink" Id="rId93" Target="https://quran.ksu.edu.sa/tafseer/tabary/sura7-aya158.html" TargetMode="External" /><Relationship Type="http://schemas.openxmlformats.org/officeDocument/2006/relationships/hyperlink" Id="rId67" Target="https://quran.ksu.edu.sa/tafseer/tabary/sura74-aya1.html" TargetMode="External" /><Relationship Type="http://schemas.openxmlformats.org/officeDocument/2006/relationships/hyperlink" Id="rId77" Target="https://quran.ksu.edu.sa/tafseer/tabary/sura8-aya41.html" TargetMode="External" /><Relationship Type="http://schemas.openxmlformats.org/officeDocument/2006/relationships/hyperlink" Id="rId79" Target="https://quran.ksu.edu.sa/tafseer/tabary/sura9-aya25.html" TargetMode="External" /><Relationship Type="http://schemas.openxmlformats.org/officeDocument/2006/relationships/hyperlink" Id="rId80" Target="https://quran.ksu.edu.sa/tafseer/tabary/sura9-aya38.html" TargetMode="External" /><Relationship Type="http://schemas.openxmlformats.org/officeDocument/2006/relationships/hyperlink" Id="rId61" Target="https://quran.ksu.edu.sa/tafseer/tabary/sura93-aya6.html?utm_source=chatgpt.com" TargetMode="External" /><Relationship Type="http://schemas.openxmlformats.org/officeDocument/2006/relationships/hyperlink" Id="rId78" Target="https://surahquran.com/tafsir-english-aya-144-sora-3.html" TargetMode="External" /><Relationship Type="http://schemas.openxmlformats.org/officeDocument/2006/relationships/hyperlink" Id="rId75" Target="https://surahquran.com/tafsir-english-aya-40-sora-9.html" TargetMode="External" /><Relationship Type="http://schemas.openxmlformats.org/officeDocument/2006/relationships/hyperlink" Id="rId32" Target="https://tafsir.app/" TargetMode="External" /><Relationship Type="http://schemas.openxmlformats.org/officeDocument/2006/relationships/hyperlink" Id="rId30" Target="https://tafsir.app/alrazi/33/40" TargetMode="External" /><Relationship Type="http://schemas.openxmlformats.org/officeDocument/2006/relationships/hyperlink" Id="rId97" Target="https://tafsir.app/alrazi/54/2" TargetMode="External" /><Relationship Type="http://schemas.openxmlformats.org/officeDocument/2006/relationships/hyperlink" Id="rId44" Target="https://tafsir.app/ibn-aashoor/17/1" TargetMode="External" /><Relationship Type="http://schemas.openxmlformats.org/officeDocument/2006/relationships/hyperlink" Id="rId53" Target="https://tafsir.app/ibn-katheer/24/11" TargetMode="External" /><Relationship Type="http://schemas.openxmlformats.org/officeDocument/2006/relationships/hyperlink" Id="rId62" Target="https://tafsir.app/qurtubi/9/128" TargetMode="External" /><Relationship Type="http://schemas.openxmlformats.org/officeDocument/2006/relationships/hyperlink" Id="rId71" Target="https://tafsir.app/tabari/17/1" TargetMode="External" /><Relationship Type="http://schemas.openxmlformats.org/officeDocument/2006/relationships/hyperlink" Id="rId85" Target="https://tafsir.app/tabari/24/11" TargetMode="External" /><Relationship Type="http://schemas.openxmlformats.org/officeDocument/2006/relationships/hyperlink" Id="rId72" Target="https://tafsir.app/tabari/53/11" TargetMode="External" /><Relationship Type="http://schemas.openxmlformats.org/officeDocument/2006/relationships/hyperlink" Id="rId95" Target="https://www.altafsir.com/Tafasir.asp?LanguageId=1&amp;Page=5&amp;Size=1&amp;tAyahNo=3&amp;tDisplay=yes&amp;tMadhNo=2&amp;tSoraNo=5&amp;tTafsirNo=26" TargetMode="External" /><Relationship Type="http://schemas.openxmlformats.org/officeDocument/2006/relationships/hyperlink" Id="rId45" Target="https://www.altafsir.com/Tafasir.asp?LanguageId=1&amp;UserProfile=0&amp;tAyahNo=40&amp;tDisplay=yes&amp;tMadhNo=4&amp;tSoraNo=9&amp;tTafsirNo=3&amp;utm_source=chatgpt.com" TargetMode="External" /><Relationship Type="http://schemas.openxmlformats.org/officeDocument/2006/relationships/hyperlink" Id="rId51" Target="https://www.altafsir.com/Tafasir.asp?LanguageId=2&amp;tAyahNo=1&amp;tDisplay=yes&amp;tMadhNo=0&amp;tSoraNo=80&amp;tTafsirNo=86&amp;utm_source=chatgpt.com" TargetMode="External" /><Relationship Type="http://schemas.openxmlformats.org/officeDocument/2006/relationships/hyperlink" Id="rId86" Target="https://www.islamicstudies.info/tafheem.php?sura=24&amp;to=20&amp;verse=1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2026-03-01T14:01:43Z</dcterms:created>
  <dcterms:modified xsi:type="dcterms:W3CDTF">2026-03-01T14:01:43Z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