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7" w:name="content"/>
    <w:bookmarkStart w:id="66" w:name="X9b1e94bda115cd3f6e09367dbc7b115d842a3fd"/>
    <w:p>
      <w:pPr>
        <w:pStyle w:val="Heading1"/>
      </w:pPr>
      <w:r>
        <w:t xml:space="preserve">A Commentary on the Qur’anic Doctrine of Total Record</w:t>
      </w:r>
    </w:p>
    <w:bookmarkStart w:id="27" w:name="abstract"/>
    <w:p>
      <w:pPr>
        <w:pStyle w:val="Heading2"/>
      </w:pPr>
      <w:r>
        <w:t xml:space="preserve">Abstract</w:t>
      </w:r>
    </w:p>
    <w:p>
      <w:pPr>
        <w:pStyle w:val="FirstParagraph"/>
      </w:pPr>
      <w:r>
        <w:t xml:space="preserve">The passages requested from</w:t>
      </w:r>
      <w:r>
        <w:t xml:space="preserve"> </w:t>
      </w:r>
      <w:r>
        <w:rPr>
          <w:i/>
          <w:iCs/>
        </w:rPr>
        <w:t xml:space="preserve">Surah Fussilat</w:t>
      </w:r>
      <w:r>
        <w:t xml:space="preserve"> </w:t>
      </w:r>
      <w:r>
        <w:t xml:space="preserve">(41:19–24, 41:40, 41:53–54) frame the Last Day as a courtroom in which denial collapses under an</w:t>
      </w:r>
      <w:r>
        <w:t xml:space="preserve"> </w:t>
      </w:r>
      <w:r>
        <w:rPr>
          <w:i/>
          <w:iCs/>
        </w:rPr>
        <w:t xml:space="preserve">evidentiary regime</w:t>
      </w:r>
      <w:r>
        <w:t xml:space="preserve">: bodies testify, hidden deeds become legible, and God’s encompassing “witness” abolishes the fantasy of secrecy.</w:t>
      </w:r>
      <w:r>
        <w:t xml:space="preserve"> </w:t>
      </w:r>
      <w:hyperlink r:id="rId21">
        <w:r>
          <w:rPr>
            <w:rStyle w:val="Hyperlink"/>
          </w:rPr>
          <w:t xml:space="preserve">[1]</w:t>
        </w:r>
      </w:hyperlink>
      <w:r>
        <w:t xml:space="preserve"> </w:t>
      </w:r>
      <w:r>
        <w:t xml:space="preserve">Complementary verses (notably 50:16–18; 82:10–12; 18:49; 58:6; 54:52–53; 99:7–8) intensify this theme by depicting</w:t>
      </w:r>
      <w:r>
        <w:t xml:space="preserve"> </w:t>
      </w:r>
      <w:r>
        <w:rPr>
          <w:i/>
          <w:iCs/>
        </w:rPr>
        <w:t xml:space="preserve">continuous inscription</w:t>
      </w:r>
      <w:r>
        <w:t xml:space="preserve">—words, whisperings, and actions are not merely “known” but</w:t>
      </w:r>
      <w:r>
        <w:t xml:space="preserve"> </w:t>
      </w:r>
      <w:r>
        <w:rPr>
          <w:i/>
          <w:iCs/>
        </w:rPr>
        <w:t xml:space="preserve">accounted for</w:t>
      </w:r>
      <w:r>
        <w:t xml:space="preserve"> </w:t>
      </w:r>
      <w:r>
        <w:t xml:space="preserve">and later</w:t>
      </w:r>
      <w:r>
        <w:t xml:space="preserve"> </w:t>
      </w:r>
      <w:r>
        <w:rPr>
          <w:i/>
          <w:iCs/>
        </w:rPr>
        <w:t xml:space="preserve">presented</w:t>
      </w:r>
      <w:r>
        <w:t xml:space="preserve">.</w:t>
      </w:r>
      <w:r>
        <w:t xml:space="preserve"> </w:t>
      </w:r>
      <w:hyperlink r:id="rId22">
        <w:r>
          <w:rPr>
            <w:rStyle w:val="Hyperlink"/>
          </w:rPr>
          <w:t xml:space="preserve">[2]</w:t>
        </w:r>
      </w:hyperlink>
    </w:p>
    <w:p>
      <w:pPr>
        <w:pStyle w:val="BodyText"/>
      </w:pPr>
      <w:r>
        <w:t xml:space="preserve">The English renderings referenced here are from The Qur’an: A New Translation</w:t>
      </w:r>
      <w:hyperlink r:id="rId23">
        <w:r>
          <w:rPr>
            <w:rStyle w:val="Hyperlink"/>
          </w:rPr>
          <w:t xml:space="preserve">[3]</w:t>
        </w:r>
      </w:hyperlink>
      <w:r>
        <w:t xml:space="preserve"> </w:t>
      </w:r>
      <w:r>
        <w:t xml:space="preserve">by M. A. S. Abdel Haleem</w:t>
      </w:r>
      <w:hyperlink r:id="rId24">
        <w:r>
          <w:rPr>
            <w:rStyle w:val="Hyperlink"/>
          </w:rPr>
          <w:t xml:space="preserve">[4]</w:t>
        </w:r>
      </w:hyperlink>
      <w:r>
        <w:t xml:space="preserve">, published by Oxford University Press</w:t>
      </w:r>
      <w:hyperlink r:id="rId25">
        <w:r>
          <w:rPr>
            <w:rStyle w:val="Hyperlink"/>
          </w:rPr>
          <w:t xml:space="preserve">[5]</w:t>
        </w:r>
      </w:hyperlink>
      <w:r>
        <w:t xml:space="preserve">.</w:t>
      </w:r>
      <w:r>
        <w:t xml:space="preserve"> </w:t>
      </w:r>
      <w:hyperlink r:id="rId26">
        <w:r>
          <w:rPr>
            <w:rStyle w:val="Hyperlink"/>
          </w:rPr>
          <w:t xml:space="preserve">[6]</w:t>
        </w:r>
      </w:hyperlink>
      <w:r>
        <w:t xml:space="preserve"> </w:t>
      </w:r>
      <w:r>
        <w:t xml:space="preserve">Because this translation is explicitly “all rights reserved,” only brief</w:t>
      </w:r>
      <w:r>
        <w:t xml:space="preserve"> </w:t>
      </w:r>
      <w:r>
        <w:rPr>
          <w:i/>
          <w:iCs/>
        </w:rPr>
        <w:t xml:space="preserve">quotation fragments</w:t>
      </w:r>
      <w:r>
        <w:t xml:space="preserve"> </w:t>
      </w:r>
      <w:r>
        <w:t xml:space="preserve">are reproduced below; each verse also includes the full Arabic and a close paraphrase keyed to Abdel Haleem’s wording and cadence.</w:t>
      </w:r>
      <w:r>
        <w:t xml:space="preserve"> </w:t>
      </w:r>
      <w:hyperlink r:id="rId26">
        <w:r>
          <w:rPr>
            <w:rStyle w:val="Hyperlink"/>
          </w:rPr>
          <w:t xml:space="preserve">[7]</w:t>
        </w:r>
      </w:hyperlink>
    </w:p>
    <w:bookmarkEnd w:id="27"/>
    <w:bookmarkStart w:id="47" w:name="primary-quranic-passages"/>
    <w:p>
      <w:pPr>
        <w:pStyle w:val="Heading2"/>
      </w:pPr>
      <w:r>
        <w:t xml:space="preserve">Primary Qur’anic passages</w:t>
      </w:r>
    </w:p>
    <w:bookmarkStart w:id="35" w:name="surah-fussilat"/>
    <w:p>
      <w:pPr>
        <w:pStyle w:val="Heading3"/>
      </w:pPr>
      <w:r>
        <w:t xml:space="preserve">Surah Fussilat</w:t>
      </w:r>
    </w:p>
    <w:p>
      <w:pPr>
        <w:pStyle w:val="FirstParagraph"/>
      </w:pPr>
      <w:r>
        <w:rPr>
          <w:b/>
          <w:bCs/>
        </w:rPr>
        <w:t xml:space="preserve">41:19</w:t>
      </w:r>
      <w:r>
        <w:br/>
      </w:r>
      <w:r>
        <w:rPr>
          <w:b/>
          <w:bCs/>
        </w:rPr>
        <w:t xml:space="preserve">Arabic:</w:t>
      </w:r>
      <w:r>
        <w:t xml:space="preserve"> </w:t>
      </w:r>
      <w:r>
        <w:t xml:space="preserve">وَيَوۡمَ يُحۡشَرُ أَعۡدَآءُ ٱللَّهِ إِلَى ٱلنَّارِ فَهُمۡ يُوزَعُونَ</w:t>
      </w:r>
      <w:r>
        <w:br/>
      </w:r>
      <w:r>
        <w:rPr>
          <w:b/>
          <w:bCs/>
        </w:rPr>
        <w:t xml:space="preserve">Abdel Haleem (excerpt):</w:t>
      </w:r>
      <w:r>
        <w:t xml:space="preserve"> </w:t>
      </w:r>
      <w:r>
        <w:t xml:space="preserve">“God’s enemies… gathered… for the Fire…”</w:t>
      </w:r>
      <w:r>
        <w:br/>
      </w:r>
      <w:r>
        <w:rPr>
          <w:b/>
          <w:bCs/>
        </w:rPr>
        <w:t xml:space="preserve">Paraphrase (based on Abdel Haleem):</w:t>
      </w:r>
      <w:r>
        <w:t xml:space="preserve"> </w:t>
      </w:r>
      <w:r>
        <w:t xml:space="preserve">The Day comes when God’s enemies are assembled for the Fire, driven onward under control.</w:t>
      </w:r>
      <w:r>
        <w:t xml:space="preserve"> </w:t>
      </w:r>
      <w:hyperlink r:id="rId21">
        <w:r>
          <w:rPr>
            <w:rStyle w:val="Hyperlink"/>
          </w:rPr>
          <w:t xml:space="preserve">[8]</w:t>
        </w:r>
      </w:hyperlink>
    </w:p>
    <w:p>
      <w:pPr>
        <w:pStyle w:val="BodyText"/>
      </w:pPr>
      <w:r>
        <w:rPr>
          <w:b/>
          <w:bCs/>
        </w:rPr>
        <w:t xml:space="preserve">41:20</w:t>
      </w:r>
      <w:r>
        <w:br/>
      </w:r>
      <w:r>
        <w:rPr>
          <w:b/>
          <w:bCs/>
        </w:rPr>
        <w:t xml:space="preserve">Arabic:</w:t>
      </w:r>
      <w:r>
        <w:t xml:space="preserve"> </w:t>
      </w:r>
      <w:r>
        <w:t xml:space="preserve">حَتَّىٰٓ إِذَا مَا جَآءُوهَا شَهِدَ عَلَيۡهِمۡ سَمۡعُهُمۡ وَأَبۡصَٰرُهُمۡ وَجُلُودُهُم بِمَا كَانُواْ يَعۡمَلُونَ</w:t>
      </w:r>
      <w:r>
        <w:br/>
      </w:r>
      <w:r>
        <w:rPr>
          <w:b/>
          <w:bCs/>
        </w:rPr>
        <w:t xml:space="preserve">Abdel Haleem (excerpt):</w:t>
      </w:r>
      <w:r>
        <w:t xml:space="preserve"> </w:t>
      </w:r>
      <w:r>
        <w:t xml:space="preserve">“ears, eyes, and skins… testify…”</w:t>
      </w:r>
      <w:r>
        <w:br/>
      </w:r>
      <w:r>
        <w:rPr>
          <w:b/>
          <w:bCs/>
        </w:rPr>
        <w:t xml:space="preserve">Paraphrase:</w:t>
      </w:r>
      <w:r>
        <w:t xml:space="preserve"> </w:t>
      </w:r>
      <w:r>
        <w:t xml:space="preserve">When they reach it, their hearing, sight, and skins testify against them about what they used to do.</w:t>
      </w:r>
      <w:r>
        <w:t xml:space="preserve"> </w:t>
      </w:r>
      <w:hyperlink r:id="rId25">
        <w:r>
          <w:rPr>
            <w:rStyle w:val="Hyperlink"/>
          </w:rPr>
          <w:t xml:space="preserve">[9]</w:t>
        </w:r>
      </w:hyperlink>
    </w:p>
    <w:p>
      <w:pPr>
        <w:pStyle w:val="BodyText"/>
      </w:pPr>
      <w:r>
        <w:rPr>
          <w:b/>
          <w:bCs/>
        </w:rPr>
        <w:t xml:space="preserve">41:21</w:t>
      </w:r>
      <w:r>
        <w:br/>
      </w:r>
      <w:r>
        <w:rPr>
          <w:b/>
          <w:bCs/>
        </w:rPr>
        <w:t xml:space="preserve">Arabic:</w:t>
      </w:r>
      <w:r>
        <w:t xml:space="preserve"> </w:t>
      </w:r>
      <w:r>
        <w:t xml:space="preserve">وَقَالُواْ لِجُلُودِهِمۡ لِمَ شَهِدتُّمۡ عَلَيۡنَاۖ قَالُوٓاْ أَنطَقَنَا ٱللَّهُ ٱلَّذِيٓ أَنطَقَ كُلَّ شَيۡءٖۚ وَهُوَ خَلَقَكُمۡ أَوَّلَ مَرَّةٖ وَإِلَيۡهِ تُرۡجَعُونَ</w:t>
      </w:r>
      <w:r>
        <w:br/>
      </w:r>
      <w:r>
        <w:rPr>
          <w:b/>
          <w:bCs/>
        </w:rPr>
        <w:t xml:space="preserve">Abdel Haleem (excerpt):</w:t>
      </w:r>
      <w:r>
        <w:t xml:space="preserve"> </w:t>
      </w:r>
      <w:r>
        <w:t xml:space="preserve">“God… gave speech to everything…”</w:t>
      </w:r>
      <w:r>
        <w:br/>
      </w:r>
      <w:r>
        <w:rPr>
          <w:b/>
          <w:bCs/>
        </w:rPr>
        <w:t xml:space="preserve">Paraphrase:</w:t>
      </w:r>
      <w:r>
        <w:t xml:space="preserve"> </w:t>
      </w:r>
      <w:r>
        <w:t xml:space="preserve">They protest to their skins, “Why testify against us?” The skins reply: God—who grants speech to everything—has granted us speech; He created you the first time, and to Him you are returned.</w:t>
      </w:r>
      <w:r>
        <w:t xml:space="preserve"> </w:t>
      </w:r>
      <w:hyperlink r:id="rId28">
        <w:r>
          <w:rPr>
            <w:rStyle w:val="Hyperlink"/>
          </w:rPr>
          <w:t xml:space="preserve">[10]</w:t>
        </w:r>
      </w:hyperlink>
    </w:p>
    <w:p>
      <w:pPr>
        <w:pStyle w:val="BodyText"/>
      </w:pPr>
      <w:r>
        <w:rPr>
          <w:b/>
          <w:bCs/>
        </w:rPr>
        <w:t xml:space="preserve">41:22</w:t>
      </w:r>
      <w:r>
        <w:br/>
      </w:r>
      <w:r>
        <w:rPr>
          <w:b/>
          <w:bCs/>
        </w:rPr>
        <w:t xml:space="preserve">Arabic:</w:t>
      </w:r>
      <w:r>
        <w:t xml:space="preserve"> </w:t>
      </w:r>
      <w:r>
        <w:t xml:space="preserve">وَمَا كُنتُمۡ تَسۡتَتِرُونَ أَن يَشۡهَدَ عَلَيۡكُمۡ سَمۡعُكُمۡ وَلَآ أَبۡصَٰرُكُمۡ وَلَا جُلُودُكُمۡ وَلَٰكِن ظَنَنتُمۡ أَنَّ ٱللَّهَ لَا يَعۡلَمُ كَثِيرٗا مِّمَّا تَعۡمَلُونَ</w:t>
      </w:r>
      <w:r>
        <w:br/>
      </w:r>
      <w:r>
        <w:rPr>
          <w:b/>
          <w:bCs/>
        </w:rPr>
        <w:t xml:space="preserve">Abdel Haleem (excerpt):</w:t>
      </w:r>
      <w:r>
        <w:t xml:space="preserve"> </w:t>
      </w:r>
      <w:r>
        <w:t xml:space="preserve">“You thought… God did not know…”</w:t>
      </w:r>
      <w:r>
        <w:br/>
      </w:r>
      <w:r>
        <w:rPr>
          <w:b/>
          <w:bCs/>
        </w:rPr>
        <w:t xml:space="preserve">Paraphrase:</w:t>
      </w:r>
      <w:r>
        <w:t xml:space="preserve"> </w:t>
      </w:r>
      <w:r>
        <w:t xml:space="preserve">You did not truly conceal yourselves from your own senses and skin; rather, you assumed God did not know much of what you were doing.</w:t>
      </w:r>
      <w:r>
        <w:t xml:space="preserve"> </w:t>
      </w:r>
      <w:hyperlink r:id="rId29">
        <w:r>
          <w:rPr>
            <w:rStyle w:val="Hyperlink"/>
          </w:rPr>
          <w:t xml:space="preserve">[11]</w:t>
        </w:r>
      </w:hyperlink>
    </w:p>
    <w:p>
      <w:pPr>
        <w:pStyle w:val="BodyText"/>
      </w:pPr>
      <w:r>
        <w:rPr>
          <w:b/>
          <w:bCs/>
        </w:rPr>
        <w:t xml:space="preserve">41:23</w:t>
      </w:r>
      <w:r>
        <w:br/>
      </w:r>
      <w:r>
        <w:rPr>
          <w:b/>
          <w:bCs/>
        </w:rPr>
        <w:t xml:space="preserve">Arabic:</w:t>
      </w:r>
      <w:r>
        <w:t xml:space="preserve"> </w:t>
      </w:r>
      <w:r>
        <w:t xml:space="preserve">وَذَٰلِكُمۡ ظَنُّكُمُ ٱلَّذِي ظَنَنتُم بِرَبِّكُمۡ أَرۡدَىٰكُمۡ فَأَصۡبَحۡتُم مِّنَ ٱلۡخَٰسِرِينَ</w:t>
      </w:r>
      <w:r>
        <w:br/>
      </w:r>
      <w:r>
        <w:rPr>
          <w:b/>
          <w:bCs/>
        </w:rPr>
        <w:t xml:space="preserve">Abdel Haleem (excerpt):</w:t>
      </w:r>
      <w:r>
        <w:t xml:space="preserve"> </w:t>
      </w:r>
      <w:r>
        <w:t xml:space="preserve">“thoughts… led to your ruin…”</w:t>
      </w:r>
      <w:r>
        <w:br/>
      </w:r>
      <w:r>
        <w:rPr>
          <w:b/>
          <w:bCs/>
        </w:rPr>
        <w:t xml:space="preserve">Paraphrase:</w:t>
      </w:r>
      <w:r>
        <w:t xml:space="preserve"> </w:t>
      </w:r>
      <w:r>
        <w:t xml:space="preserve">That very assumption about your Lord ruined you—so you became losers.</w:t>
      </w:r>
      <w:r>
        <w:t xml:space="preserve"> </w:t>
      </w:r>
      <w:hyperlink r:id="rId30">
        <w:r>
          <w:rPr>
            <w:rStyle w:val="Hyperlink"/>
          </w:rPr>
          <w:t xml:space="preserve">[12]</w:t>
        </w:r>
      </w:hyperlink>
    </w:p>
    <w:p>
      <w:pPr>
        <w:pStyle w:val="BodyText"/>
      </w:pPr>
      <w:r>
        <w:rPr>
          <w:b/>
          <w:bCs/>
        </w:rPr>
        <w:t xml:space="preserve">41:24</w:t>
      </w:r>
      <w:r>
        <w:br/>
      </w:r>
      <w:r>
        <w:rPr>
          <w:b/>
          <w:bCs/>
        </w:rPr>
        <w:t xml:space="preserve">Arabic:</w:t>
      </w:r>
      <w:r>
        <w:t xml:space="preserve"> </w:t>
      </w:r>
      <w:r>
        <w:t xml:space="preserve">فَإِن يَصۡبِرُواْ فَٱلنَّارُ مَثۡوٗى لَّهُمۡۖ وَإِن يَسۡتَعۡتِبُواْ فَمَا هُم مِّنَ ٱلۡمُعۡتَبِينَ</w:t>
      </w:r>
      <w:r>
        <w:br/>
      </w:r>
      <w:r>
        <w:rPr>
          <w:b/>
          <w:bCs/>
        </w:rPr>
        <w:t xml:space="preserve">Abdel Haleem (excerpt):</w:t>
      </w:r>
      <w:r>
        <w:t xml:space="preserve"> </w:t>
      </w:r>
      <w:r>
        <w:t xml:space="preserve">“The Fire… their home…”</w:t>
      </w:r>
      <w:r>
        <w:br/>
      </w:r>
      <w:r>
        <w:rPr>
          <w:b/>
          <w:bCs/>
        </w:rPr>
        <w:t xml:space="preserve">Paraphrase:</w:t>
      </w:r>
      <w:r>
        <w:t xml:space="preserve"> </w:t>
      </w:r>
      <w:r>
        <w:t xml:space="preserve">Even if they endure patiently, the Fire remains their dwelling; even if they plead for amends, they will not be granted it.</w:t>
      </w:r>
      <w:r>
        <w:t xml:space="preserve"> </w:t>
      </w:r>
      <w:hyperlink r:id="rId31">
        <w:r>
          <w:rPr>
            <w:rStyle w:val="Hyperlink"/>
          </w:rPr>
          <w:t xml:space="preserve">[13]</w:t>
        </w:r>
      </w:hyperlink>
    </w:p>
    <w:p>
      <w:pPr>
        <w:pStyle w:val="BodyText"/>
      </w:pPr>
      <w:r>
        <w:rPr>
          <w:b/>
          <w:bCs/>
        </w:rPr>
        <w:t xml:space="preserve">41:40</w:t>
      </w:r>
      <w:r>
        <w:br/>
      </w:r>
      <w:r>
        <w:rPr>
          <w:b/>
          <w:bCs/>
        </w:rPr>
        <w:t xml:space="preserve">Arabic:</w:t>
      </w:r>
      <w:r>
        <w:t xml:space="preserve"> </w:t>
      </w:r>
      <w:r>
        <w:t xml:space="preserve">إِنَّ ٱلَّذِينَ يُلۡحِدُونَ فِيٓ ءَايَٰتِنَا لَا يَخۡفَوۡنَ عَلَيۡنَآۗ أَفَمَن يُلۡقَىٰ فِي ٱلنَّارِ خَيۡرٌ أَم مَّن يَأۡتِيٓ ءَامِنٗا يَوۡمَ ٱلۡقِيَٰمَةِۚ ٱعۡمَلُواْ مَا شِئۡتُمۡ إِنَّهُۥ بِمَا تَعۡمَلُونَ بَصِيرٌ</w:t>
      </w:r>
      <w:r>
        <w:br/>
      </w:r>
      <w:r>
        <w:rPr>
          <w:b/>
          <w:bCs/>
        </w:rPr>
        <w:t xml:space="preserve">Abdel Haleem (excerpt):</w:t>
      </w:r>
      <w:r>
        <w:t xml:space="preserve"> </w:t>
      </w:r>
      <w:r>
        <w:t xml:space="preserve">“Do what you will… He… sees…”</w:t>
      </w:r>
      <w:r>
        <w:br/>
      </w:r>
      <w:r>
        <w:rPr>
          <w:b/>
          <w:bCs/>
        </w:rPr>
        <w:t xml:space="preserve">Paraphrase:</w:t>
      </w:r>
      <w:r>
        <w:t xml:space="preserve"> </w:t>
      </w:r>
      <w:r>
        <w:t xml:space="preserve">Those who twist God’s signs cannot hide from Him: let them do as they please—God sees what they do.</w:t>
      </w:r>
      <w:r>
        <w:t xml:space="preserve"> </w:t>
      </w:r>
      <w:hyperlink r:id="rId32">
        <w:r>
          <w:rPr>
            <w:rStyle w:val="Hyperlink"/>
          </w:rPr>
          <w:t xml:space="preserve">[14]</w:t>
        </w:r>
      </w:hyperlink>
    </w:p>
    <w:p>
      <w:pPr>
        <w:pStyle w:val="BodyText"/>
      </w:pPr>
      <w:r>
        <w:rPr>
          <w:b/>
          <w:bCs/>
        </w:rPr>
        <w:t xml:space="preserve">41:53</w:t>
      </w:r>
      <w:r>
        <w:br/>
      </w:r>
      <w:r>
        <w:rPr>
          <w:b/>
          <w:bCs/>
        </w:rPr>
        <w:t xml:space="preserve">Arabic:</w:t>
      </w:r>
      <w:r>
        <w:t xml:space="preserve"> </w:t>
      </w:r>
      <w:r>
        <w:t xml:space="preserve">سَنُرِيهِمۡ ءَايَٰتِنَا فِي ٱلۡأٓفَاقِ وَفِيٓ أَنفُسِهِمۡ حَتَّىٰ يَتَبَيَّنَ لَهُمۡ أَنَّهُ ٱلۡحَقُّۗ أَوَلَمۡ يَكۡفِ بِرَبِّكَ أَنَّهُۥ عَلَىٰ كُلِّ شَيۡءٖ شَهِيدٌ</w:t>
      </w:r>
      <w:r>
        <w:br/>
      </w:r>
      <w:r>
        <w:rPr>
          <w:b/>
          <w:bCs/>
        </w:rPr>
        <w:t xml:space="preserve">Abdel Haleem (excerpt):</w:t>
      </w:r>
      <w:r>
        <w:t xml:space="preserve"> </w:t>
      </w:r>
      <w:r>
        <w:t xml:space="preserve">“Our signs… in themselves… your Lord witnesses…”</w:t>
      </w:r>
      <w:r>
        <w:br/>
      </w:r>
      <w:r>
        <w:rPr>
          <w:b/>
          <w:bCs/>
        </w:rPr>
        <w:t xml:space="preserve">Paraphrase:</w:t>
      </w:r>
      <w:r>
        <w:t xml:space="preserve"> </w:t>
      </w:r>
      <w:r>
        <w:t xml:space="preserve">God will show signs across the horizons and within persons themselves until the truth becomes clear; your Lord is witness over everything.</w:t>
      </w:r>
      <w:r>
        <w:t xml:space="preserve"> </w:t>
      </w:r>
      <w:hyperlink r:id="rId33">
        <w:r>
          <w:rPr>
            <w:rStyle w:val="Hyperlink"/>
          </w:rPr>
          <w:t xml:space="preserve">[15]</w:t>
        </w:r>
      </w:hyperlink>
    </w:p>
    <w:p>
      <w:pPr>
        <w:pStyle w:val="BodyText"/>
      </w:pPr>
      <w:r>
        <w:rPr>
          <w:b/>
          <w:bCs/>
        </w:rPr>
        <w:t xml:space="preserve">41:54</w:t>
      </w:r>
      <w:r>
        <w:br/>
      </w:r>
      <w:r>
        <w:rPr>
          <w:b/>
          <w:bCs/>
        </w:rPr>
        <w:t xml:space="preserve">Arabic:</w:t>
      </w:r>
      <w:r>
        <w:t xml:space="preserve"> </w:t>
      </w:r>
      <w:r>
        <w:t xml:space="preserve">أَلَآ إِنَّهُمۡ فِي مِرۡيَةٖ مِّن لِّقَآءِ رَبِّهِمۡۗ أَلَآ إِنَّهُۥ بِكُلِّ شَيۡءٖ مُّحِيطُۢ</w:t>
      </w:r>
      <w:r>
        <w:br/>
      </w:r>
      <w:r>
        <w:rPr>
          <w:b/>
          <w:bCs/>
        </w:rPr>
        <w:t xml:space="preserve">Abdel Haleem (excerpt):</w:t>
      </w:r>
      <w:r>
        <w:t xml:space="preserve"> </w:t>
      </w:r>
      <w:r>
        <w:t xml:space="preserve">“He encompasses everything.”</w:t>
      </w:r>
      <w:r>
        <w:br/>
      </w:r>
      <w:r>
        <w:rPr>
          <w:b/>
          <w:bCs/>
        </w:rPr>
        <w:t xml:space="preserve">Paraphrase:</w:t>
      </w:r>
      <w:r>
        <w:t xml:space="preserve"> </w:t>
      </w:r>
      <w:r>
        <w:t xml:space="preserve">They remain in doubt about meeting their Lord—yet He encompasses everything.</w:t>
      </w:r>
      <w:r>
        <w:t xml:space="preserve"> </w:t>
      </w:r>
      <w:hyperlink r:id="rId34">
        <w:r>
          <w:rPr>
            <w:rStyle w:val="Hyperlink"/>
          </w:rPr>
          <w:t xml:space="preserve">[16]</w:t>
        </w:r>
      </w:hyperlink>
    </w:p>
    <w:bookmarkEnd w:id="35"/>
    <w:bookmarkStart w:id="46" w:name="key-passages-on-recording-deeds"/>
    <w:p>
      <w:pPr>
        <w:pStyle w:val="Heading3"/>
      </w:pPr>
      <w:r>
        <w:t xml:space="preserve">Key passages on recording deeds</w:t>
      </w:r>
    </w:p>
    <w:p>
      <w:pPr>
        <w:pStyle w:val="FirstParagraph"/>
      </w:pPr>
      <w:r>
        <w:rPr>
          <w:b/>
          <w:bCs/>
        </w:rPr>
        <w:t xml:space="preserve">50:16</w:t>
      </w:r>
      <w:r>
        <w:br/>
      </w:r>
      <w:r>
        <w:rPr>
          <w:b/>
          <w:bCs/>
        </w:rPr>
        <w:t xml:space="preserve">Arabic:</w:t>
      </w:r>
      <w:r>
        <w:t xml:space="preserve"> </w:t>
      </w:r>
      <w:r>
        <w:t xml:space="preserve">وَلَقَدۡ خَلَقۡنَا ٱلۡإِنسَٰنَ وَنَعۡلَمُ مَا تُوَسۡوِسُ بِهِۦ نَفۡسُهُۥۖ وَنَحۡنُ أَقۡرَبُ إِلَيۡهِ مِنۡ حَبۡلِ ٱلۡوَرِيدِ</w:t>
      </w:r>
      <w:r>
        <w:br/>
      </w:r>
      <w:r>
        <w:rPr>
          <w:b/>
          <w:bCs/>
        </w:rPr>
        <w:t xml:space="preserve">Abdel Haleem (excerpt):</w:t>
      </w:r>
      <w:r>
        <w:t xml:space="preserve"> </w:t>
      </w:r>
      <w:r>
        <w:t xml:space="preserve">“closer… than his jugular vein”</w:t>
      </w:r>
      <w:r>
        <w:br/>
      </w:r>
      <w:r>
        <w:rPr>
          <w:b/>
          <w:bCs/>
        </w:rPr>
        <w:t xml:space="preserve">Paraphrase:</w:t>
      </w:r>
      <w:r>
        <w:t xml:space="preserve"> </w:t>
      </w:r>
      <w:r>
        <w:t xml:space="preserve">God knows what the soul whispers, and is closer than the jugular vein.</w:t>
      </w:r>
      <w:r>
        <w:t xml:space="preserve"> </w:t>
      </w:r>
      <w:hyperlink r:id="rId22">
        <w:r>
          <w:rPr>
            <w:rStyle w:val="Hyperlink"/>
          </w:rPr>
          <w:t xml:space="preserve">[17]</w:t>
        </w:r>
      </w:hyperlink>
    </w:p>
    <w:p>
      <w:pPr>
        <w:pStyle w:val="BodyText"/>
      </w:pPr>
      <w:r>
        <w:rPr>
          <w:b/>
          <w:bCs/>
        </w:rPr>
        <w:t xml:space="preserve">50:17</w:t>
      </w:r>
      <w:r>
        <w:br/>
      </w:r>
      <w:r>
        <w:rPr>
          <w:b/>
          <w:bCs/>
        </w:rPr>
        <w:t xml:space="preserve">Arabic:</w:t>
      </w:r>
      <w:r>
        <w:t xml:space="preserve"> </w:t>
      </w:r>
      <w:r>
        <w:t xml:space="preserve">إِذۡ يَتَلَقَّى ٱلۡمُتَلَقِّيَانِ عَنِ ٱلۡيَمِينِ وَعَنِ ٱلشِّمَالِ قَعِيدٞ</w:t>
      </w:r>
      <w:r>
        <w:br/>
      </w:r>
      <w:r>
        <w:rPr>
          <w:b/>
          <w:bCs/>
        </w:rPr>
        <w:t xml:space="preserve">Abdel Haleem (excerpt):</w:t>
      </w:r>
      <w:r>
        <w:t xml:space="preserve"> </w:t>
      </w:r>
      <w:r>
        <w:t xml:space="preserve">“two receptors set to record”</w:t>
      </w:r>
      <w:r>
        <w:br/>
      </w:r>
      <w:r>
        <w:rPr>
          <w:b/>
          <w:bCs/>
        </w:rPr>
        <w:t xml:space="preserve">Paraphrase:</w:t>
      </w:r>
      <w:r>
        <w:t xml:space="preserve"> </w:t>
      </w:r>
      <w:r>
        <w:t xml:space="preserve">Two recorders receive and register—one stationed on the right and one on the left.</w:t>
      </w:r>
      <w:r>
        <w:t xml:space="preserve"> </w:t>
      </w:r>
      <w:hyperlink r:id="rId36">
        <w:r>
          <w:rPr>
            <w:rStyle w:val="Hyperlink"/>
          </w:rPr>
          <w:t xml:space="preserve">[18]</w:t>
        </w:r>
      </w:hyperlink>
    </w:p>
    <w:p>
      <w:pPr>
        <w:pStyle w:val="BodyText"/>
      </w:pPr>
      <w:r>
        <w:rPr>
          <w:b/>
          <w:bCs/>
        </w:rPr>
        <w:t xml:space="preserve">50:18</w:t>
      </w:r>
      <w:r>
        <w:br/>
      </w:r>
      <w:r>
        <w:rPr>
          <w:b/>
          <w:bCs/>
        </w:rPr>
        <w:t xml:space="preserve">Arabic:</w:t>
      </w:r>
      <w:r>
        <w:t xml:space="preserve"> </w:t>
      </w:r>
      <w:r>
        <w:t xml:space="preserve">مَّا يَلۡفِظُ مِن قَوۡلٍ إِلَّا لَدَيۡهِ رَقِيبٌ عَتِيدٞ</w:t>
      </w:r>
      <w:r>
        <w:br/>
      </w:r>
      <w:r>
        <w:rPr>
          <w:b/>
          <w:bCs/>
        </w:rPr>
        <w:t xml:space="preserve">Abdel Haleem (excerpt):</w:t>
      </w:r>
      <w:r>
        <w:t xml:space="preserve"> </w:t>
      </w:r>
      <w:r>
        <w:t xml:space="preserve">“not… a single word… watcher”</w:t>
      </w:r>
      <w:r>
        <w:br/>
      </w:r>
      <w:r>
        <w:rPr>
          <w:b/>
          <w:bCs/>
        </w:rPr>
        <w:t xml:space="preserve">Paraphrase:</w:t>
      </w:r>
      <w:r>
        <w:t xml:space="preserve"> </w:t>
      </w:r>
      <w:r>
        <w:t xml:space="preserve">No word is uttered except an ever-present watcher is ready.</w:t>
      </w:r>
      <w:r>
        <w:t xml:space="preserve"> </w:t>
      </w:r>
      <w:hyperlink r:id="rId37">
        <w:r>
          <w:rPr>
            <w:rStyle w:val="Hyperlink"/>
          </w:rPr>
          <w:t xml:space="preserve">[19]</w:t>
        </w:r>
      </w:hyperlink>
    </w:p>
    <w:p>
      <w:pPr>
        <w:pStyle w:val="BodyText"/>
      </w:pPr>
      <w:r>
        <w:rPr>
          <w:b/>
          <w:bCs/>
        </w:rPr>
        <w:t xml:space="preserve">82:10</w:t>
      </w:r>
      <w:r>
        <w:br/>
      </w:r>
      <w:r>
        <w:rPr>
          <w:b/>
          <w:bCs/>
        </w:rPr>
        <w:t xml:space="preserve">Arabic:</w:t>
      </w:r>
      <w:r>
        <w:t xml:space="preserve"> </w:t>
      </w:r>
      <w:r>
        <w:t xml:space="preserve">وَإِنَّ عَلَيۡكُمۡ لَحَٰفِظِينَ</w:t>
      </w:r>
      <w:r>
        <w:br/>
      </w:r>
      <w:r>
        <w:rPr>
          <w:b/>
          <w:bCs/>
        </w:rPr>
        <w:t xml:space="preserve">Abdel Haleem (excerpt):</w:t>
      </w:r>
      <w:r>
        <w:t xml:space="preserve"> </w:t>
      </w:r>
      <w:r>
        <w:t xml:space="preserve">“Over you stand…”</w:t>
      </w:r>
      <w:r>
        <w:br/>
      </w:r>
      <w:r>
        <w:rPr>
          <w:b/>
          <w:bCs/>
        </w:rPr>
        <w:t xml:space="preserve">Paraphrase:</w:t>
      </w:r>
      <w:r>
        <w:t xml:space="preserve"> </w:t>
      </w:r>
      <w:r>
        <w:t xml:space="preserve">Over you are guardians/keepers set above you.</w:t>
      </w:r>
      <w:r>
        <w:t xml:space="preserve"> </w:t>
      </w:r>
      <w:hyperlink r:id="rId38">
        <w:r>
          <w:rPr>
            <w:rStyle w:val="Hyperlink"/>
          </w:rPr>
          <w:t xml:space="preserve">[20]</w:t>
        </w:r>
      </w:hyperlink>
    </w:p>
    <w:p>
      <w:pPr>
        <w:pStyle w:val="BodyText"/>
      </w:pPr>
      <w:r>
        <w:rPr>
          <w:b/>
          <w:bCs/>
        </w:rPr>
        <w:t xml:space="preserve">82:11</w:t>
      </w:r>
      <w:r>
        <w:br/>
      </w:r>
      <w:r>
        <w:rPr>
          <w:b/>
          <w:bCs/>
        </w:rPr>
        <w:t xml:space="preserve">Arabic:</w:t>
      </w:r>
      <w:r>
        <w:t xml:space="preserve"> </w:t>
      </w:r>
      <w:r>
        <w:t xml:space="preserve">كِرَامٗا كَٰتِبِينَ</w:t>
      </w:r>
      <w:r>
        <w:br/>
      </w:r>
      <w:r>
        <w:rPr>
          <w:b/>
          <w:bCs/>
        </w:rPr>
        <w:t xml:space="preserve">Abdel Haleem (excerpt):</w:t>
      </w:r>
      <w:r>
        <w:t xml:space="preserve"> </w:t>
      </w:r>
      <w:r>
        <w:t xml:space="preserve">“watchers, noble recorders”</w:t>
      </w:r>
      <w:r>
        <w:br/>
      </w:r>
      <w:r>
        <w:rPr>
          <w:b/>
          <w:bCs/>
        </w:rPr>
        <w:t xml:space="preserve">Paraphrase:</w:t>
      </w:r>
      <w:r>
        <w:t xml:space="preserve"> </w:t>
      </w:r>
      <w:r>
        <w:t xml:space="preserve">They are noble scribes—honorable recorders.</w:t>
      </w:r>
      <w:r>
        <w:t xml:space="preserve"> </w:t>
      </w:r>
      <w:hyperlink r:id="rId39">
        <w:r>
          <w:rPr>
            <w:rStyle w:val="Hyperlink"/>
          </w:rPr>
          <w:t xml:space="preserve">[21]</w:t>
        </w:r>
      </w:hyperlink>
    </w:p>
    <w:p>
      <w:pPr>
        <w:pStyle w:val="BodyText"/>
      </w:pPr>
      <w:r>
        <w:rPr>
          <w:b/>
          <w:bCs/>
        </w:rPr>
        <w:t xml:space="preserve">82:12</w:t>
      </w:r>
      <w:r>
        <w:br/>
      </w:r>
      <w:r>
        <w:rPr>
          <w:b/>
          <w:bCs/>
        </w:rPr>
        <w:t xml:space="preserve">Arabic:</w:t>
      </w:r>
      <w:r>
        <w:t xml:space="preserve"> </w:t>
      </w:r>
      <w:r>
        <w:t xml:space="preserve">يَعۡلَمُونَ مَا تَفۡعَلُونَ</w:t>
      </w:r>
      <w:r>
        <w:br/>
      </w:r>
      <w:r>
        <w:rPr>
          <w:b/>
          <w:bCs/>
        </w:rPr>
        <w:t xml:space="preserve">Abdel Haleem (excerpt):</w:t>
      </w:r>
      <w:r>
        <w:t xml:space="preserve"> </w:t>
      </w:r>
      <w:r>
        <w:t xml:space="preserve">“who know what you do”</w:t>
      </w:r>
      <w:r>
        <w:br/>
      </w:r>
      <w:r>
        <w:rPr>
          <w:b/>
          <w:bCs/>
        </w:rPr>
        <w:t xml:space="preserve">Paraphrase:</w:t>
      </w:r>
      <w:r>
        <w:t xml:space="preserve"> </w:t>
      </w:r>
      <w:r>
        <w:t xml:space="preserve">They know what you do.</w:t>
      </w:r>
      <w:r>
        <w:t xml:space="preserve"> </w:t>
      </w:r>
      <w:hyperlink r:id="rId40">
        <w:r>
          <w:rPr>
            <w:rStyle w:val="Hyperlink"/>
          </w:rPr>
          <w:t xml:space="preserve">[22]</w:t>
        </w:r>
      </w:hyperlink>
    </w:p>
    <w:p>
      <w:pPr>
        <w:pStyle w:val="BodyText"/>
      </w:pPr>
      <w:r>
        <w:rPr>
          <w:b/>
          <w:bCs/>
        </w:rPr>
        <w:t xml:space="preserve">18:49</w:t>
      </w:r>
      <w:r>
        <w:br/>
      </w:r>
      <w:r>
        <w:rPr>
          <w:b/>
          <w:bCs/>
        </w:rPr>
        <w:t xml:space="preserve">Arabic:</w:t>
      </w:r>
      <w:r>
        <w:t xml:space="preserve"> </w:t>
      </w:r>
      <w:r>
        <w:t xml:space="preserve">وَوُضِعَ ٱلۡكِتَٰبُ فَتَرَى ٱلۡمُجۡرِمِينَ مُشۡفِقِينَ مِمَّا فِيهِ وَيَقُولُونَ يَٰوَيۡلَتَنَا مَالِ هَٰذَا ٱلۡكِتَٰبِ لَا يُغَادِرُ صَغِيرَةٗ وَلَا كَبِيرَةً إِلَّآ أَحۡصَىٰهَاۚ وَوَجَدُواْ مَا عَمِلُواْ حَاضِرٗاۗ وَلَا يَظۡلِمُ رَبُّكَ أَحَدٗا</w:t>
      </w:r>
      <w:r>
        <w:br/>
      </w:r>
      <w:r>
        <w:rPr>
          <w:b/>
          <w:bCs/>
        </w:rPr>
        <w:t xml:space="preserve">Abdel Haleem (excerpt):</w:t>
      </w:r>
      <w:r>
        <w:t xml:space="preserve"> </w:t>
      </w:r>
      <w:r>
        <w:t xml:space="preserve">“leaves nothing… unaccounted for”</w:t>
      </w:r>
      <w:r>
        <w:br/>
      </w:r>
      <w:r>
        <w:rPr>
          <w:b/>
          <w:bCs/>
        </w:rPr>
        <w:t xml:space="preserve">Paraphrase:</w:t>
      </w:r>
      <w:r>
        <w:t xml:space="preserve"> </w:t>
      </w:r>
      <w:r>
        <w:t xml:space="preserve">The record is laid open; the guilty fear what it contains and cry out at a book that omits nothing small or great; all deeds are found present; God wrongs no one.</w:t>
      </w:r>
      <w:r>
        <w:t xml:space="preserve"> </w:t>
      </w:r>
      <w:hyperlink r:id="rId23">
        <w:r>
          <w:rPr>
            <w:rStyle w:val="Hyperlink"/>
          </w:rPr>
          <w:t xml:space="preserve">[23]</w:t>
        </w:r>
      </w:hyperlink>
    </w:p>
    <w:p>
      <w:pPr>
        <w:pStyle w:val="BodyText"/>
      </w:pPr>
      <w:r>
        <w:rPr>
          <w:b/>
          <w:bCs/>
        </w:rPr>
        <w:t xml:space="preserve">58:6</w:t>
      </w:r>
      <w:r>
        <w:br/>
      </w:r>
      <w:r>
        <w:rPr>
          <w:b/>
          <w:bCs/>
        </w:rPr>
        <w:t xml:space="preserve">Arabic:</w:t>
      </w:r>
      <w:r>
        <w:t xml:space="preserve"> </w:t>
      </w:r>
      <w:r>
        <w:t xml:space="preserve">يَوۡمَ يَبۡعَثُهُمُ ٱللَّهُ جَمِيعٗا فَيُنَبِّئُهُم بِمَا عَمِلُوٓاْۚ أَحۡصَىٰهُ ٱللَّهُ وَنَسُوهُۚ وَٱللَّهُ عَلَىٰ كُلِّ شَيۡءٖ شَهِيدٌ</w:t>
      </w:r>
      <w:r>
        <w:br/>
      </w:r>
      <w:r>
        <w:rPr>
          <w:b/>
          <w:bCs/>
        </w:rPr>
        <w:t xml:space="preserve">Abdel Haleem (excerpt):</w:t>
      </w:r>
      <w:r>
        <w:t xml:space="preserve"> </w:t>
      </w:r>
      <w:r>
        <w:t xml:space="preserve">“God has taken account… He witnesses…”</w:t>
      </w:r>
      <w:r>
        <w:br/>
      </w:r>
      <w:r>
        <w:rPr>
          <w:b/>
          <w:bCs/>
        </w:rPr>
        <w:t xml:space="preserve">Paraphrase:</w:t>
      </w:r>
      <w:r>
        <w:t xml:space="preserve"> </w:t>
      </w:r>
      <w:r>
        <w:t xml:space="preserve">God will raise all, inform them of what they did; God has counted it though they forgot; God is witness over everything.</w:t>
      </w:r>
      <w:r>
        <w:t xml:space="preserve"> </w:t>
      </w:r>
      <w:hyperlink r:id="rId41">
        <w:r>
          <w:rPr>
            <w:rStyle w:val="Hyperlink"/>
          </w:rPr>
          <w:t xml:space="preserve">[24]</w:t>
        </w:r>
      </w:hyperlink>
    </w:p>
    <w:p>
      <w:pPr>
        <w:pStyle w:val="BodyText"/>
      </w:pPr>
      <w:r>
        <w:rPr>
          <w:b/>
          <w:bCs/>
        </w:rPr>
        <w:t xml:space="preserve">54:52</w:t>
      </w:r>
      <w:r>
        <w:br/>
      </w:r>
      <w:r>
        <w:rPr>
          <w:b/>
          <w:bCs/>
        </w:rPr>
        <w:t xml:space="preserve">Arabic:</w:t>
      </w:r>
      <w:r>
        <w:t xml:space="preserve"> </w:t>
      </w:r>
      <w:r>
        <w:t xml:space="preserve">وَكُلُّ شَيۡءٖ فَعَلُوهُ فِي ٱلزُّبُرِ</w:t>
      </w:r>
      <w:r>
        <w:br/>
      </w:r>
      <w:r>
        <w:rPr>
          <w:b/>
          <w:bCs/>
        </w:rPr>
        <w:t xml:space="preserve">Abdel Haleem (excerpt):</w:t>
      </w:r>
      <w:r>
        <w:t xml:space="preserve"> </w:t>
      </w:r>
      <w:r>
        <w:t xml:space="preserve">“noted in their records”</w:t>
      </w:r>
      <w:r>
        <w:br/>
      </w:r>
      <w:r>
        <w:rPr>
          <w:b/>
          <w:bCs/>
        </w:rPr>
        <w:t xml:space="preserve">Paraphrase:</w:t>
      </w:r>
      <w:r>
        <w:t xml:space="preserve"> </w:t>
      </w:r>
      <w:r>
        <w:t xml:space="preserve">Everything they did is inscribed in written records.</w:t>
      </w:r>
      <w:r>
        <w:t xml:space="preserve"> </w:t>
      </w:r>
      <w:hyperlink r:id="rId42">
        <w:r>
          <w:rPr>
            <w:rStyle w:val="Hyperlink"/>
          </w:rPr>
          <w:t xml:space="preserve">[25]</w:t>
        </w:r>
      </w:hyperlink>
    </w:p>
    <w:p>
      <w:pPr>
        <w:pStyle w:val="BodyText"/>
      </w:pPr>
      <w:r>
        <w:rPr>
          <w:b/>
          <w:bCs/>
        </w:rPr>
        <w:t xml:space="preserve">54:53</w:t>
      </w:r>
      <w:r>
        <w:br/>
      </w:r>
      <w:r>
        <w:rPr>
          <w:b/>
          <w:bCs/>
        </w:rPr>
        <w:t xml:space="preserve">Arabic:</w:t>
      </w:r>
      <w:r>
        <w:t xml:space="preserve"> </w:t>
      </w:r>
      <w:r>
        <w:t xml:space="preserve">وَكُلُّ صَغِيرٖ وَكَبِيرٖ مُّسۡتَطَرٌ</w:t>
      </w:r>
      <w:r>
        <w:br/>
      </w:r>
      <w:r>
        <w:rPr>
          <w:b/>
          <w:bCs/>
        </w:rPr>
        <w:t xml:space="preserve">Abdel Haleem (excerpt):</w:t>
      </w:r>
      <w:r>
        <w:t xml:space="preserve"> </w:t>
      </w:r>
      <w:r>
        <w:t xml:space="preserve">“every… great or small… recorded”</w:t>
      </w:r>
      <w:r>
        <w:br/>
      </w:r>
      <w:r>
        <w:rPr>
          <w:b/>
          <w:bCs/>
        </w:rPr>
        <w:t xml:space="preserve">Paraphrase:</w:t>
      </w:r>
      <w:r>
        <w:t xml:space="preserve"> </w:t>
      </w:r>
      <w:r>
        <w:t xml:space="preserve">Every small and great matter is written down.</w:t>
      </w:r>
      <w:r>
        <w:t xml:space="preserve"> </w:t>
      </w:r>
      <w:hyperlink r:id="rId43">
        <w:r>
          <w:rPr>
            <w:rStyle w:val="Hyperlink"/>
          </w:rPr>
          <w:t xml:space="preserve">[26]</w:t>
        </w:r>
      </w:hyperlink>
    </w:p>
    <w:p>
      <w:pPr>
        <w:pStyle w:val="BodyText"/>
      </w:pPr>
      <w:r>
        <w:rPr>
          <w:b/>
          <w:bCs/>
        </w:rPr>
        <w:t xml:space="preserve">99:7</w:t>
      </w:r>
      <w:r>
        <w:br/>
      </w:r>
      <w:r>
        <w:rPr>
          <w:b/>
          <w:bCs/>
        </w:rPr>
        <w:t xml:space="preserve">Arabic:</w:t>
      </w:r>
      <w:r>
        <w:t xml:space="preserve"> </w:t>
      </w:r>
      <w:r>
        <w:t xml:space="preserve">فَمَن يَعۡمَلۡ مِثۡقَالَ ذَرَّةٍ خَيۡرٗا يَرَهُۥ</w:t>
      </w:r>
      <w:r>
        <w:br/>
      </w:r>
      <w:r>
        <w:rPr>
          <w:b/>
          <w:bCs/>
        </w:rPr>
        <w:t xml:space="preserve">Abdel Haleem (excerpt):</w:t>
      </w:r>
      <w:r>
        <w:t xml:space="preserve"> </w:t>
      </w:r>
      <w:r>
        <w:t xml:space="preserve">“atom’s-weight of good… will see”</w:t>
      </w:r>
      <w:r>
        <w:br/>
      </w:r>
      <w:r>
        <w:rPr>
          <w:b/>
          <w:bCs/>
        </w:rPr>
        <w:t xml:space="preserve">Paraphrase:</w:t>
      </w:r>
      <w:r>
        <w:t xml:space="preserve"> </w:t>
      </w:r>
      <w:r>
        <w:t xml:space="preserve">Whoever has done an atom’s-weight of good will see it.</w:t>
      </w:r>
      <w:r>
        <w:t xml:space="preserve"> </w:t>
      </w:r>
      <w:hyperlink r:id="rId44">
        <w:r>
          <w:rPr>
            <w:rStyle w:val="Hyperlink"/>
          </w:rPr>
          <w:t xml:space="preserve">[27]</w:t>
        </w:r>
      </w:hyperlink>
    </w:p>
    <w:p>
      <w:pPr>
        <w:pStyle w:val="BodyText"/>
      </w:pPr>
      <w:r>
        <w:rPr>
          <w:b/>
          <w:bCs/>
        </w:rPr>
        <w:t xml:space="preserve">99:8</w:t>
      </w:r>
      <w:r>
        <w:br/>
      </w:r>
      <w:r>
        <w:rPr>
          <w:b/>
          <w:bCs/>
        </w:rPr>
        <w:t xml:space="preserve">Arabic:</w:t>
      </w:r>
      <w:r>
        <w:t xml:space="preserve"> </w:t>
      </w:r>
      <w:r>
        <w:t xml:space="preserve">وَمَن يَعۡمَلۡ مِثۡقَالَ ذَرَّةٖ شَرّٗا يَرَهُۥ</w:t>
      </w:r>
      <w:r>
        <w:br/>
      </w:r>
      <w:r>
        <w:rPr>
          <w:b/>
          <w:bCs/>
        </w:rPr>
        <w:t xml:space="preserve">Abdel Haleem (excerpt):</w:t>
      </w:r>
      <w:r>
        <w:t xml:space="preserve"> </w:t>
      </w:r>
      <w:r>
        <w:t xml:space="preserve">“atom’s-weight of evil… will see”</w:t>
      </w:r>
      <w:r>
        <w:br/>
      </w:r>
      <w:r>
        <w:rPr>
          <w:b/>
          <w:bCs/>
        </w:rPr>
        <w:t xml:space="preserve">Paraphrase:</w:t>
      </w:r>
      <w:r>
        <w:t xml:space="preserve"> </w:t>
      </w:r>
      <w:r>
        <w:t xml:space="preserve">Whoever has done an atom’s-weight of evil will see it.</w:t>
      </w:r>
      <w:r>
        <w:t xml:space="preserve"> </w:t>
      </w:r>
      <w:hyperlink r:id="rId45">
        <w:r>
          <w:rPr>
            <w:rStyle w:val="Hyperlink"/>
          </w:rPr>
          <w:t xml:space="preserve">[28]</w:t>
        </w:r>
      </w:hyperlink>
    </w:p>
    <w:bookmarkEnd w:id="46"/>
    <w:bookmarkEnd w:id="47"/>
    <w:bookmarkStart w:id="50" w:name="X033ee9667b8853146a158253fd3c8041998a9dd"/>
    <w:p>
      <w:pPr>
        <w:pStyle w:val="Heading2"/>
      </w:pPr>
      <w:r>
        <w:t xml:space="preserve">Recording and witnessing in Qur’anic moral epistemology</w:t>
      </w:r>
    </w:p>
    <w:p>
      <w:pPr>
        <w:pStyle w:val="FirstParagraph"/>
      </w:pPr>
      <w:r>
        <w:t xml:space="preserve">The architecture of “recording” in these passages is layered: (a)</w:t>
      </w:r>
      <w:r>
        <w:t xml:space="preserve"> </w:t>
      </w:r>
      <w:r>
        <w:rPr>
          <w:b/>
          <w:bCs/>
        </w:rPr>
        <w:t xml:space="preserve">divine knowledge</w:t>
      </w:r>
      <w:r>
        <w:t xml:space="preserve"> </w:t>
      </w:r>
      <w:r>
        <w:t xml:space="preserve">of even internal whispering (50:16), (b)</w:t>
      </w:r>
      <w:r>
        <w:t xml:space="preserve"> </w:t>
      </w:r>
      <w:r>
        <w:rPr>
          <w:b/>
          <w:bCs/>
        </w:rPr>
        <w:t xml:space="preserve">angelic registration</w:t>
      </w:r>
      <w:r>
        <w:t xml:space="preserve"> </w:t>
      </w:r>
      <w:r>
        <w:t xml:space="preserve">of speech and deeds (50:17–18; 82:10–12), (c)</w:t>
      </w:r>
      <w:r>
        <w:t xml:space="preserve"> </w:t>
      </w:r>
      <w:r>
        <w:rPr>
          <w:b/>
          <w:bCs/>
        </w:rPr>
        <w:t xml:space="preserve">material/embodied testimony</w:t>
      </w:r>
      <w:r>
        <w:t xml:space="preserve"> </w:t>
      </w:r>
      <w:r>
        <w:t xml:space="preserve">where organs “speak” (41:20–21), and (d)</w:t>
      </w:r>
      <w:r>
        <w:t xml:space="preserve"> </w:t>
      </w:r>
      <w:r>
        <w:rPr>
          <w:b/>
          <w:bCs/>
        </w:rPr>
        <w:t xml:space="preserve">final presentation</w:t>
      </w:r>
      <w:r>
        <w:t xml:space="preserve"> </w:t>
      </w:r>
      <w:r>
        <w:t xml:space="preserve">of an exhaustive “book” that omits nothing (18:49; 54:52–53; 99:7–8).</w:t>
      </w:r>
      <w:r>
        <w:t xml:space="preserve"> </w:t>
      </w:r>
      <w:hyperlink r:id="rId22">
        <w:r>
          <w:rPr>
            <w:rStyle w:val="Hyperlink"/>
          </w:rPr>
          <w:t xml:space="preserve">[29]</w:t>
        </w:r>
      </w:hyperlink>
      <w:r>
        <w:t xml:space="preserve"> </w:t>
      </w:r>
      <w:r>
        <w:t xml:space="preserve">The point is not merely that God “knows,” but that the moral world is portrayed as</w:t>
      </w:r>
      <w:r>
        <w:t xml:space="preserve"> </w:t>
      </w:r>
      <w:r>
        <w:rPr>
          <w:b/>
          <w:bCs/>
        </w:rPr>
        <w:t xml:space="preserve">auditable</w:t>
      </w:r>
      <w:r>
        <w:t xml:space="preserve">: evidence exists, is retained, and is ultimately disclosed.</w:t>
      </w:r>
    </w:p>
    <w:p>
      <w:pPr>
        <w:pStyle w:val="BodyText"/>
      </w:pPr>
      <w:r>
        <w:t xml:space="preserve">Within</w:t>
      </w:r>
      <w:r>
        <w:t xml:space="preserve"> </w:t>
      </w:r>
      <w:r>
        <w:rPr>
          <w:i/>
          <w:iCs/>
        </w:rPr>
        <w:t xml:space="preserve">Fussilat</w:t>
      </w:r>
      <w:r>
        <w:t xml:space="preserve"> </w:t>
      </w:r>
      <w:r>
        <w:t xml:space="preserve">41:19–24, the Qur’an dramatizes the collapse of a common psychological defense: “I got away with it.” The defendants arrive “gathered… for the Fire” (41:19), and precisely the faculties by which they navigated life—hearing, sight, skin—become prosecutorial witnesses (41:20).</w:t>
      </w:r>
      <w:r>
        <w:t xml:space="preserve"> </w:t>
      </w:r>
      <w:hyperlink r:id="rId21">
        <w:r>
          <w:rPr>
            <w:rStyle w:val="Hyperlink"/>
          </w:rPr>
          <w:t xml:space="preserve">[30]</w:t>
        </w:r>
      </w:hyperlink>
      <w:r>
        <w:t xml:space="preserve"> </w:t>
      </w:r>
      <w:r>
        <w:t xml:space="preserve">The theological shock is not merely that God speaks; it is that God “gives speech to everything” (41:21): the created order becomes a communicative surface when commanded.</w:t>
      </w:r>
      <w:r>
        <w:t xml:space="preserve"> </w:t>
      </w:r>
      <w:hyperlink r:id="rId28">
        <w:r>
          <w:rPr>
            <w:rStyle w:val="Hyperlink"/>
          </w:rPr>
          <w:t xml:space="preserve">[10]</w:t>
        </w:r>
      </w:hyperlink>
    </w:p>
    <w:p>
      <w:pPr>
        <w:pStyle w:val="BodyText"/>
      </w:pPr>
      <w:r>
        <w:t xml:space="preserve">The epistemic heart of the passage is 41:22–23: wrongdoing is traced to a</w:t>
      </w:r>
      <w:r>
        <w:t xml:space="preserve"> </w:t>
      </w:r>
      <w:r>
        <w:rPr>
          <w:i/>
          <w:iCs/>
        </w:rPr>
        <w:t xml:space="preserve">theory of ignorance</w:t>
      </w:r>
      <w:r>
        <w:t xml:space="preserve">—the assumption that God “did not know about much of what you were doing.”</w:t>
      </w:r>
      <w:r>
        <w:t xml:space="preserve"> </w:t>
      </w:r>
      <w:hyperlink r:id="rId29">
        <w:r>
          <w:rPr>
            <w:rStyle w:val="Hyperlink"/>
          </w:rPr>
          <w:t xml:space="preserve">[31]</w:t>
        </w:r>
      </w:hyperlink>
      <w:r>
        <w:t xml:space="preserve"> </w:t>
      </w:r>
      <w:r>
        <w:t xml:space="preserve">The Qur’an exposes that presumption as self-destructive: not only are acts recorded, but the very</w:t>
      </w:r>
      <w:r>
        <w:t xml:space="preserve"> </w:t>
      </w:r>
      <w:r>
        <w:rPr>
          <w:i/>
          <w:iCs/>
        </w:rPr>
        <w:t xml:space="preserve">belief</w:t>
      </w:r>
      <w:r>
        <w:t xml:space="preserve"> </w:t>
      </w:r>
      <w:r>
        <w:t xml:space="preserve">that one can disappear into darkness becomes the engine of moral ruin.</w:t>
      </w:r>
      <w:r>
        <w:t xml:space="preserve"> </w:t>
      </w:r>
      <w:hyperlink r:id="rId30">
        <w:r>
          <w:rPr>
            <w:rStyle w:val="Hyperlink"/>
          </w:rPr>
          <w:t xml:space="preserve">[12]</w:t>
        </w:r>
      </w:hyperlink>
    </w:p>
    <w:p>
      <w:pPr>
        <w:pStyle w:val="BodyText"/>
      </w:pPr>
      <w:r>
        <w:t xml:space="preserve">Classical and traditional exegesis often underlines the same logic by stressing that concealment from others did not entail concealment from oneself, and that the testimony of organs eliminates excuses at judgment. A representative example is the</w:t>
      </w:r>
      <w:r>
        <w:t xml:space="preserve"> </w:t>
      </w:r>
      <w:r>
        <w:rPr>
          <w:i/>
          <w:iCs/>
        </w:rPr>
        <w:t xml:space="preserve">Maʿarif al-Qur’an</w:t>
      </w:r>
      <w:r>
        <w:t xml:space="preserve"> </w:t>
      </w:r>
      <w:r>
        <w:t xml:space="preserve">discussion on 41:22, which argues that one may hide a crime from people, but cannot hide it from one’s own limbs that will later testify.</w:t>
      </w:r>
      <w:r>
        <w:t xml:space="preserve"> </w:t>
      </w:r>
      <w:hyperlink r:id="rId48">
        <w:r>
          <w:rPr>
            <w:rStyle w:val="Hyperlink"/>
          </w:rPr>
          <w:t xml:space="preserve">[32]</w:t>
        </w:r>
      </w:hyperlink>
      <w:r>
        <w:t xml:space="preserve"> </w:t>
      </w:r>
      <w:r>
        <w:t xml:space="preserve">Likewise,</w:t>
      </w:r>
      <w:r>
        <w:t xml:space="preserve"> </w:t>
      </w:r>
      <w:r>
        <w:rPr>
          <w:i/>
          <w:iCs/>
        </w:rPr>
        <w:t xml:space="preserve">Tafsir al-Tabari</w:t>
      </w:r>
      <w:r>
        <w:t xml:space="preserve"> </w:t>
      </w:r>
      <w:r>
        <w:t xml:space="preserve">treats the gathering “under control” (yūzaʿūn) as an ordered mustering where earlier and later groups are held and marshaled together—an image of comprehensive arraignment rather than scattered accountability.</w:t>
      </w:r>
      <w:r>
        <w:t xml:space="preserve"> </w:t>
      </w:r>
      <w:hyperlink r:id="rId49">
        <w:r>
          <w:rPr>
            <w:rStyle w:val="Hyperlink"/>
          </w:rPr>
          <w:t xml:space="preserve">[33]</w:t>
        </w:r>
      </w:hyperlink>
    </w:p>
    <w:p>
      <w:pPr>
        <w:pStyle w:val="BodyText"/>
      </w:pPr>
      <w:r>
        <w:t xml:space="preserve">Surah 41:40 complements this by shifting from</w:t>
      </w:r>
      <w:r>
        <w:t xml:space="preserve"> </w:t>
      </w:r>
      <w:r>
        <w:rPr>
          <w:i/>
          <w:iCs/>
        </w:rPr>
        <w:t xml:space="preserve">future disclosure</w:t>
      </w:r>
      <w:r>
        <w:t xml:space="preserve"> </w:t>
      </w:r>
      <w:r>
        <w:t xml:space="preserve">to</w:t>
      </w:r>
      <w:r>
        <w:t xml:space="preserve"> </w:t>
      </w:r>
      <w:r>
        <w:rPr>
          <w:i/>
          <w:iCs/>
        </w:rPr>
        <w:t xml:space="preserve">present inescapability</w:t>
      </w:r>
      <w:r>
        <w:t xml:space="preserve">: those who distort God’s signs “are not concealed,” and the verse concludes with the moral axiom: God is “seeing” what you do.</w:t>
      </w:r>
      <w:r>
        <w:t xml:space="preserve"> </w:t>
      </w:r>
      <w:hyperlink r:id="rId32">
        <w:r>
          <w:rPr>
            <w:rStyle w:val="Hyperlink"/>
          </w:rPr>
          <w:t xml:space="preserve">[14]</w:t>
        </w:r>
      </w:hyperlink>
      <w:r>
        <w:t xml:space="preserve"> </w:t>
      </w:r>
      <w:r>
        <w:t xml:space="preserve">This is the logic behind the later insistence that God will show signs “in the horizons and within themselves” and that God is “witness over everything” (41:53)—a cosmological expansion of the courtroom metaphor.</w:t>
      </w:r>
      <w:r>
        <w:t xml:space="preserve"> </w:t>
      </w:r>
      <w:hyperlink r:id="rId33">
        <w:r>
          <w:rPr>
            <w:rStyle w:val="Hyperlink"/>
          </w:rPr>
          <w:t xml:space="preserve">[15]</w:t>
        </w:r>
      </w:hyperlink>
      <w:r>
        <w:t xml:space="preserve"> </w:t>
      </w:r>
      <w:r>
        <w:t xml:space="preserve">The sequence ends with a metaphysical closure: even doubt about meeting God is itself enclosed by God’s encompassing of “everything” (41:54).</w:t>
      </w:r>
      <w:r>
        <w:t xml:space="preserve"> </w:t>
      </w:r>
      <w:hyperlink r:id="rId34">
        <w:r>
          <w:rPr>
            <w:rStyle w:val="Hyperlink"/>
          </w:rPr>
          <w:t xml:space="preserve">[16]</w:t>
        </w:r>
      </w:hyperlink>
    </w:p>
    <w:p>
      <w:pPr>
        <w:pStyle w:val="BodyText"/>
      </w:pPr>
      <w:r>
        <w:t xml:space="preserve">Finally, 58:6 adds a key psychological asymmetry: human beings forget, but God “has taken account of it all.”</w:t>
      </w:r>
      <w:r>
        <w:t xml:space="preserve"> </w:t>
      </w:r>
      <w:hyperlink r:id="rId41">
        <w:r>
          <w:rPr>
            <w:rStyle w:val="Hyperlink"/>
          </w:rPr>
          <w:t xml:space="preserve">[24]</w:t>
        </w:r>
      </w:hyperlink>
      <w:r>
        <w:t xml:space="preserve"> </w:t>
      </w:r>
      <w:r>
        <w:t xml:space="preserve">In other words, the Qur’anic “record” is not merely external data storage; it is a</w:t>
      </w:r>
      <w:r>
        <w:t xml:space="preserve"> </w:t>
      </w:r>
      <w:r>
        <w:rPr>
          <w:b/>
          <w:bCs/>
        </w:rPr>
        <w:t xml:space="preserve">guarantee of justice</w:t>
      </w:r>
      <w:r>
        <w:t xml:space="preserve">—a safeguard against the epistemic failures of memory, bias, and strategic denial.</w:t>
      </w:r>
    </w:p>
    <w:bookmarkEnd w:id="50"/>
    <w:bookmarkStart w:id="60" w:name="Xdc3e90d343d949caacba2acfb11101e8d8162ce"/>
    <w:p>
      <w:pPr>
        <w:pStyle w:val="Heading2"/>
      </w:pPr>
      <w:r>
        <w:t xml:space="preserve">Scientific resonances in information theory and quantum physics</w:t>
      </w:r>
    </w:p>
    <w:p>
      <w:pPr>
        <w:pStyle w:val="FirstParagraph"/>
      </w:pPr>
      <w:r>
        <w:t xml:space="preserve">The Qur’an’s imagery of total record is theological, but it invites modern analogies because contemporary science treats “information” as (i) quantitatively definable, (ii) physically instantiated, and (iii) often conserved in closed dynamics—even when it becomes practically unrecoverable.</w:t>
      </w:r>
    </w:p>
    <w:p>
      <w:pPr>
        <w:pStyle w:val="BodyText"/>
      </w:pPr>
      <w:r>
        <w:t xml:space="preserve">In classical information theory, Claude Shannon</w:t>
      </w:r>
      <w:hyperlink r:id="rId22">
        <w:r>
          <w:rPr>
            <w:rStyle w:val="Hyperlink"/>
          </w:rPr>
          <w:t xml:space="preserve">[34]</w:t>
        </w:r>
      </w:hyperlink>
      <w:r>
        <w:t xml:space="preserve"> </w:t>
      </w:r>
      <w:r>
        <w:t xml:space="preserve">defined a mathematical measure of information (entropy) and proved limits on reliable communication: with suitable coding, a channel can transmit information with arbitrarily low error up to a capacity bound.</w:t>
      </w:r>
      <w:r>
        <w:t xml:space="preserve"> </w:t>
      </w:r>
      <w:hyperlink r:id="rId51">
        <w:r>
          <w:rPr>
            <w:rStyle w:val="Hyperlink"/>
          </w:rPr>
          <w:t xml:space="preserve">[35]</w:t>
        </w:r>
      </w:hyperlink>
      <w:r>
        <w:t xml:space="preserve"> </w:t>
      </w:r>
      <w:r>
        <w:t xml:space="preserve">The Qur’anic analogy is not that judgment is a “communication channel,” but that the “Book” in 18:49 and 54:52–53 is depicted as</w:t>
      </w:r>
      <w:r>
        <w:t xml:space="preserve"> </w:t>
      </w:r>
      <w:r>
        <w:rPr>
          <w:b/>
          <w:bCs/>
        </w:rPr>
        <w:t xml:space="preserve">lossless moral accounting</w:t>
      </w:r>
      <w:r>
        <w:t xml:space="preserve">: nothing “small or great” is missing; the record is not corrupted by noise, forgetfulness, or decay.</w:t>
      </w:r>
      <w:r>
        <w:t xml:space="preserve"> </w:t>
      </w:r>
      <w:hyperlink r:id="rId23">
        <w:r>
          <w:rPr>
            <w:rStyle w:val="Hyperlink"/>
          </w:rPr>
          <w:t xml:space="preserve">[36]</w:t>
        </w:r>
      </w:hyperlink>
    </w:p>
    <w:p>
      <w:pPr>
        <w:pStyle w:val="BodyText"/>
      </w:pPr>
      <w:r>
        <w:t xml:space="preserve">Modern physics goes further by linking information to thermodynamics and physical cost. Rolf Landauer</w:t>
      </w:r>
      <w:hyperlink r:id="rId41">
        <w:r>
          <w:rPr>
            <w:rStyle w:val="Hyperlink"/>
          </w:rPr>
          <w:t xml:space="preserve">[37]</w:t>
        </w:r>
      </w:hyperlink>
      <w:r>
        <w:t xml:space="preserve"> </w:t>
      </w:r>
      <w:r>
        <w:t xml:space="preserve">famously argued that information is not abstract fluff but must be embodied in physical states (“information is physical”); in particular, erasing one bit of information has an energetic/entropic cost (often expressed as a minimum heat dissipation of</w:t>
      </w:r>
      <w:r>
        <w:t xml:space="preserve"> </w:t>
      </w:r>
      <w:r>
        <w:rPr>
          <w:i/>
          <w:iCs/>
        </w:rPr>
        <w:t xml:space="preserve">kT ln 2</w:t>
      </w:r>
      <w:r>
        <w:t xml:space="preserve"> </w:t>
      </w:r>
      <w:r>
        <w:t xml:space="preserve">per bit in idealized settings).</w:t>
      </w:r>
      <w:r>
        <w:t xml:space="preserve"> </w:t>
      </w:r>
      <w:hyperlink r:id="rId24">
        <w:r>
          <w:rPr>
            <w:rStyle w:val="Hyperlink"/>
          </w:rPr>
          <w:t xml:space="preserve">[38]</w:t>
        </w:r>
      </w:hyperlink>
      <w:r>
        <w:t xml:space="preserve"> </w:t>
      </w:r>
      <w:r>
        <w:t xml:space="preserve">Even where “erasure” occurs operationally (a memory reset), the physical story is typically that correlations and entropy are exported to an environment.</w:t>
      </w:r>
      <w:r>
        <w:t xml:space="preserve"> </w:t>
      </w:r>
      <w:hyperlink r:id="rId52">
        <w:r>
          <w:rPr>
            <w:rStyle w:val="Hyperlink"/>
          </w:rPr>
          <w:t xml:space="preserve">[39]</w:t>
        </w:r>
      </w:hyperlink>
      <w:r>
        <w:t xml:space="preserve"> </w:t>
      </w:r>
      <w:r>
        <w:t xml:space="preserve">This offers a restrained parallel to Qur’anic insistence that deeds are not annihilated: they may be</w:t>
      </w:r>
      <w:r>
        <w:t xml:space="preserve"> </w:t>
      </w:r>
      <w:r>
        <w:rPr>
          <w:i/>
          <w:iCs/>
        </w:rPr>
        <w:t xml:space="preserve">forgotten</w:t>
      </w:r>
      <w:r>
        <w:t xml:space="preserve"> </w:t>
      </w:r>
      <w:r>
        <w:t xml:space="preserve">by agents (58:6) but remain “counted.”</w:t>
      </w:r>
      <w:r>
        <w:t xml:space="preserve"> </w:t>
      </w:r>
      <w:hyperlink r:id="rId41">
        <w:r>
          <w:rPr>
            <w:rStyle w:val="Hyperlink"/>
          </w:rPr>
          <w:t xml:space="preserve">[24]</w:t>
        </w:r>
      </w:hyperlink>
    </w:p>
    <w:p>
      <w:pPr>
        <w:pStyle w:val="BodyText"/>
      </w:pPr>
      <w:r>
        <w:t xml:space="preserve">Quantum theory intensifies this intuition. Standard quantum mechanics postulates that</w:t>
      </w:r>
      <w:r>
        <w:t xml:space="preserve"> </w:t>
      </w:r>
      <w:r>
        <w:rPr>
          <w:b/>
          <w:bCs/>
        </w:rPr>
        <w:t xml:space="preserve">closed systems evolve unitarily</w:t>
      </w:r>
      <w:r>
        <w:t xml:space="preserve">—a reversible evolution that preserves the structure of the quantum state.</w:t>
      </w:r>
      <w:r>
        <w:t xml:space="preserve"> </w:t>
      </w:r>
      <w:hyperlink r:id="rId53">
        <w:r>
          <w:rPr>
            <w:rStyle w:val="Hyperlink"/>
          </w:rPr>
          <w:t xml:space="preserve">[40]</w:t>
        </w:r>
      </w:hyperlink>
      <w:r>
        <w:t xml:space="preserve"> </w:t>
      </w:r>
      <w:r>
        <w:t xml:space="preserve">In such unitary evolution, the von Neumann entropy of an isolated system is unchanged, so “information” is not destroyed; it is transformed and often dispersed into complex correlations.</w:t>
      </w:r>
      <w:r>
        <w:t xml:space="preserve"> </w:t>
      </w:r>
      <w:hyperlink r:id="rId54">
        <w:r>
          <w:rPr>
            <w:rStyle w:val="Hyperlink"/>
          </w:rPr>
          <w:t xml:space="preserve">[41]</w:t>
        </w:r>
      </w:hyperlink>
    </w:p>
    <w:p>
      <w:pPr>
        <w:pStyle w:val="BodyText"/>
      </w:pPr>
      <w:r>
        <w:t xml:space="preserve">One especially relevant result is the</w:t>
      </w:r>
      <w:r>
        <w:t xml:space="preserve"> </w:t>
      </w:r>
      <w:r>
        <w:rPr>
          <w:b/>
          <w:bCs/>
        </w:rPr>
        <w:t xml:space="preserve">no-hiding theorem</w:t>
      </w:r>
      <w:r>
        <w:t xml:space="preserve">, proved by Samuel L. Braunstein</w:t>
      </w:r>
      <w:hyperlink r:id="rId32">
        <w:r>
          <w:rPr>
            <w:rStyle w:val="Hyperlink"/>
          </w:rPr>
          <w:t xml:space="preserve">[42]</w:t>
        </w:r>
      </w:hyperlink>
      <w:r>
        <w:t xml:space="preserve"> </w:t>
      </w:r>
      <w:r>
        <w:t xml:space="preserve">and Arun K. Pati</w:t>
      </w:r>
      <w:hyperlink r:id="rId41">
        <w:r>
          <w:rPr>
            <w:rStyle w:val="Hyperlink"/>
          </w:rPr>
          <w:t xml:space="preserve">[43]</w:t>
        </w:r>
      </w:hyperlink>
      <w:r>
        <w:t xml:space="preserve">: if information disappears from a system through a process like complete randomization, it cannot be hidden purely in system–environment correlations; it must reside in the environment’s degrees of freedom—in effect, it has</w:t>
      </w:r>
      <w:r>
        <w:t xml:space="preserve"> </w:t>
      </w:r>
      <w:r>
        <w:rPr>
          <w:i/>
          <w:iCs/>
        </w:rPr>
        <w:t xml:space="preserve">moved</w:t>
      </w:r>
      <w:r>
        <w:t xml:space="preserve"> </w:t>
      </w:r>
      <w:r>
        <w:t xml:space="preserve">rather than vanished.</w:t>
      </w:r>
      <w:r>
        <w:t xml:space="preserve"> </w:t>
      </w:r>
      <w:hyperlink r:id="rId55">
        <w:r>
          <w:rPr>
            <w:rStyle w:val="Hyperlink"/>
          </w:rPr>
          <w:t xml:space="preserve">[44]</w:t>
        </w:r>
      </w:hyperlink>
      <w:r>
        <w:t xml:space="preserve"> </w:t>
      </w:r>
      <w:r>
        <w:t xml:space="preserve">The conceptual rhyme with Qur’anic “recording” is not identity but analogy: the world can be described as inevitably leaving traces, even when those traces are inaccessible to ordinary retrieval.</w:t>
      </w:r>
    </w:p>
    <w:p>
      <w:pPr>
        <w:pStyle w:val="BodyText"/>
      </w:pPr>
      <w:r>
        <w:t xml:space="preserve">Black holes sharpen the stakes. Stephen Hawking</w:t>
      </w:r>
      <w:hyperlink r:id="rId29">
        <w:r>
          <w:rPr>
            <w:rStyle w:val="Hyperlink"/>
          </w:rPr>
          <w:t xml:space="preserve">[45]</w:t>
        </w:r>
      </w:hyperlink>
      <w:r>
        <w:t xml:space="preserve"> </w:t>
      </w:r>
      <w:r>
        <w:t xml:space="preserve">helped formulate the “black hole information paradox,” the tension between semiclassical calculations suggesting information-destroying evaporation and the quantum expectation of unitary evolution.</w:t>
      </w:r>
      <w:r>
        <w:t xml:space="preserve"> </w:t>
      </w:r>
      <w:hyperlink r:id="rId56">
        <w:r>
          <w:rPr>
            <w:rStyle w:val="Hyperlink"/>
          </w:rPr>
          <w:t xml:space="preserve">[46]</w:t>
        </w:r>
      </w:hyperlink>
      <w:r>
        <w:t xml:space="preserve"> </w:t>
      </w:r>
      <w:r>
        <w:t xml:space="preserve">Contemporary work (for example, discussions of the “Page curve,” “islands,” and related methods) is widely presented as progress toward reconciling evaporation with unitarity—i.e., preserving information in a subtle, redistributed form.</w:t>
      </w:r>
      <w:r>
        <w:t xml:space="preserve"> </w:t>
      </w:r>
      <w:hyperlink r:id="rId57">
        <w:r>
          <w:rPr>
            <w:rStyle w:val="Hyperlink"/>
          </w:rPr>
          <w:t xml:space="preserve">[47]</w:t>
        </w:r>
      </w:hyperlink>
    </w:p>
    <w:p>
      <w:pPr>
        <w:pStyle w:val="BodyText"/>
      </w:pPr>
      <w:r>
        <w:t xml:space="preserve">With those scientific frames in view, it becomes clearer why some contemporary religious writers reach for informational metaphors. Zia H Shah</w:t>
      </w:r>
      <w:hyperlink r:id="rId21">
        <w:r>
          <w:rPr>
            <w:rStyle w:val="Hyperlink"/>
          </w:rPr>
          <w:t xml:space="preserve">[48]</w:t>
        </w:r>
      </w:hyperlink>
      <w:r>
        <w:t xml:space="preserve"> </w:t>
      </w:r>
      <w:r>
        <w:t xml:space="preserve">explicitly juxtaposes Qur’anic record-keeping (50:16–18; 18:49; 54:52–53) with ideas from quantum information and cosmology, arguing that reality “inherently records information,” and using this as an interpretive bridge to afterlife accountability.</w:t>
      </w:r>
      <w:r>
        <w:t xml:space="preserve"> </w:t>
      </w:r>
      <w:hyperlink r:id="rId58">
        <w:r>
          <w:rPr>
            <w:rStyle w:val="Hyperlink"/>
          </w:rPr>
          <w:t xml:space="preserve">[49]</w:t>
        </w:r>
      </w:hyperlink>
      <w:r>
        <w:t xml:space="preserve"> </w:t>
      </w:r>
      <w:r>
        <w:t xml:space="preserve">In one speculative register, he discusses the recording angels as “encoders” or “read/write heads” in an information-processing cosmos—an imaginative model rather than a settled scientific claim.</w:t>
      </w:r>
      <w:r>
        <w:t xml:space="preserve"> </w:t>
      </w:r>
      <w:hyperlink r:id="rId59">
        <w:r>
          <w:rPr>
            <w:rStyle w:val="Hyperlink"/>
          </w:rPr>
          <w:t xml:space="preserve">[50]</w:t>
        </w:r>
      </w:hyperlink>
    </w:p>
    <w:p>
      <w:pPr>
        <w:pStyle w:val="BodyText"/>
      </w:pPr>
      <w:r>
        <w:t xml:space="preserve">A crucial boundary should be maintained: physics discusses conservation or migration of</w:t>
      </w:r>
      <w:r>
        <w:t xml:space="preserve"> </w:t>
      </w:r>
      <w:r>
        <w:rPr>
          <w:i/>
          <w:iCs/>
        </w:rPr>
        <w:t xml:space="preserve">state information</w:t>
      </w:r>
      <w:r>
        <w:t xml:space="preserve"> </w:t>
      </w:r>
      <w:r>
        <w:t xml:space="preserve">under specified dynamics; the Qur’an speaks of</w:t>
      </w:r>
      <w:r>
        <w:t xml:space="preserve"> </w:t>
      </w:r>
      <w:r>
        <w:rPr>
          <w:b/>
          <w:bCs/>
        </w:rPr>
        <w:t xml:space="preserve">moral intelligibility</w:t>
      </w:r>
      <w:r>
        <w:t xml:space="preserve">—a record that is not only preserved but</w:t>
      </w:r>
      <w:r>
        <w:t xml:space="preserve"> </w:t>
      </w:r>
      <w:r>
        <w:rPr>
          <w:i/>
          <w:iCs/>
        </w:rPr>
        <w:t xml:space="preserve">normatively interpretable</w:t>
      </w:r>
      <w:r>
        <w:t xml:space="preserve"> </w:t>
      </w:r>
      <w:r>
        <w:t xml:space="preserve">(what it means, what it warrants, what justice requires). Conflating the two would be category error. Still, as analogy, modern information science can illuminate how an apparently “vanished” event might remain imprinted in underlying structures—much as the Qur’an insists that deeds do not evaporate into nothingness.</w:t>
      </w:r>
    </w:p>
    <w:bookmarkEnd w:id="60"/>
    <w:bookmarkStart w:id="64" w:name="philosophical-and-theological-synthesis"/>
    <w:p>
      <w:pPr>
        <w:pStyle w:val="Heading2"/>
      </w:pPr>
      <w:r>
        <w:t xml:space="preserve">Philosophical and theological synthesis</w:t>
      </w:r>
    </w:p>
    <w:p>
      <w:pPr>
        <w:pStyle w:val="FirstParagraph"/>
      </w:pPr>
      <w:r>
        <w:t xml:space="preserve">The Qur’anic rhetoric of record operates at the intersection of metaphysics (God’s attributes), moral psychology (how humans hide from themselves), and moral philosophy (what makes judgment just).</w:t>
      </w:r>
    </w:p>
    <w:p>
      <w:pPr>
        <w:pStyle w:val="BodyText"/>
      </w:pPr>
      <w:r>
        <w:t xml:space="preserve">First, these verses depict omniscience not as abstract surveillance but as</w:t>
      </w:r>
      <w:r>
        <w:t xml:space="preserve"> </w:t>
      </w:r>
      <w:r>
        <w:rPr>
          <w:b/>
          <w:bCs/>
        </w:rPr>
        <w:t xml:space="preserve">the condition of justice</w:t>
      </w:r>
      <w:r>
        <w:t xml:space="preserve">: a judgment without complete knowledge would be vulnerable to error or partiality. In philosophical theology, omniscience is typically treated as a central divine attribute—the possession of complete or maximal knowledge.</w:t>
      </w:r>
      <w:r>
        <w:t xml:space="preserve"> </w:t>
      </w:r>
      <w:hyperlink r:id="rId61">
        <w:r>
          <w:rPr>
            <w:rStyle w:val="Hyperlink"/>
          </w:rPr>
          <w:t xml:space="preserve">[51]</w:t>
        </w:r>
      </w:hyperlink>
      <w:r>
        <w:t xml:space="preserve"> </w:t>
      </w:r>
      <w:r>
        <w:rPr>
          <w:i/>
          <w:iCs/>
        </w:rPr>
        <w:t xml:space="preserve">Fussilat</w:t>
      </w:r>
      <w:r>
        <w:t xml:space="preserve"> </w:t>
      </w:r>
      <w:r>
        <w:t xml:space="preserve">sharpens this by showing that many immoral acts depend on a tacit denial of omniscience: “You thought that God did not know…” (41:22).</w:t>
      </w:r>
      <w:r>
        <w:t xml:space="preserve"> </w:t>
      </w:r>
      <w:hyperlink r:id="rId29">
        <w:r>
          <w:rPr>
            <w:rStyle w:val="Hyperlink"/>
          </w:rPr>
          <w:t xml:space="preserve">[52]</w:t>
        </w:r>
      </w:hyperlink>
      <w:r>
        <w:t xml:space="preserve"> </w:t>
      </w:r>
      <w:r>
        <w:t xml:space="preserve">The Qur’an thus links theology to ethics: a degraded conception of God enables degraded conduct.</w:t>
      </w:r>
    </w:p>
    <w:p>
      <w:pPr>
        <w:pStyle w:val="BodyText"/>
      </w:pPr>
      <w:r>
        <w:t xml:space="preserve">Second, 41:20–21 offers a distinctive epistemology: the body is not merely a tool of action but a</w:t>
      </w:r>
      <w:r>
        <w:t xml:space="preserve"> </w:t>
      </w:r>
      <w:r>
        <w:rPr>
          <w:b/>
          <w:bCs/>
        </w:rPr>
        <w:t xml:space="preserve">witness</w:t>
      </w:r>
      <w:r>
        <w:t xml:space="preserve">. The “ears, eyes, and skins” (41:20) are precisely the interfaces through which the world entered the agent’s life; they now become the means by which the agent’s life re-enters judgment.</w:t>
      </w:r>
      <w:r>
        <w:t xml:space="preserve"> </w:t>
      </w:r>
      <w:hyperlink r:id="rId25">
        <w:r>
          <w:rPr>
            <w:rStyle w:val="Hyperlink"/>
          </w:rPr>
          <w:t xml:space="preserve">[9]</w:t>
        </w:r>
      </w:hyperlink>
      <w:r>
        <w:t xml:space="preserve"> </w:t>
      </w:r>
      <w:r>
        <w:t xml:space="preserve">This can be read theologically as God’s power to make creation speak; philosophically, it resembles an account of agency as</w:t>
      </w:r>
      <w:r>
        <w:t xml:space="preserve"> </w:t>
      </w:r>
      <w:r>
        <w:rPr>
          <w:b/>
          <w:bCs/>
        </w:rPr>
        <w:t xml:space="preserve">distributed across embodied capacities</w:t>
      </w:r>
      <w:r>
        <w:t xml:space="preserve"> </w:t>
      </w:r>
      <w:r>
        <w:t xml:space="preserve">rather than confined to a private interior. The record is not merely “out there”; it is in the very organs that participated.</w:t>
      </w:r>
    </w:p>
    <w:p>
      <w:pPr>
        <w:pStyle w:val="BodyText"/>
      </w:pPr>
      <w:r>
        <w:t xml:space="preserve">Third,</w:t>
      </w:r>
      <w:r>
        <w:t xml:space="preserve"> </w:t>
      </w:r>
      <w:r>
        <w:rPr>
          <w:i/>
          <w:iCs/>
        </w:rPr>
        <w:t xml:space="preserve">the Book</w:t>
      </w:r>
      <w:r>
        <w:t xml:space="preserve"> </w:t>
      </w:r>
      <w:r>
        <w:t xml:space="preserve">imagery (18:49; 54:52–53) functions like an ethical refutation of “moral evaporation.” The guilty exclaim at a ledger that leaves nothing out; every small and great action is “recorded.”</w:t>
      </w:r>
      <w:r>
        <w:t xml:space="preserve"> </w:t>
      </w:r>
      <w:hyperlink r:id="rId23">
        <w:r>
          <w:rPr>
            <w:rStyle w:val="Hyperlink"/>
          </w:rPr>
          <w:t xml:space="preserve">[36]</w:t>
        </w:r>
      </w:hyperlink>
      <w:r>
        <w:t xml:space="preserve"> </w:t>
      </w:r>
      <w:r>
        <w:t xml:space="preserve">Here the Qur’an anticipates a perennial philosophical concern: how can accountability be fair if memory fails, narratives are rewritten, or victims’ experiences vanish from public record? The Qur’anic answer is radical:</w:t>
      </w:r>
      <w:r>
        <w:t xml:space="preserve"> </w:t>
      </w:r>
      <w:r>
        <w:rPr>
          <w:b/>
          <w:bCs/>
        </w:rPr>
        <w:t xml:space="preserve">nothing finally disappears</w:t>
      </w:r>
      <w:r>
        <w:t xml:space="preserve">.</w:t>
      </w:r>
    </w:p>
    <w:p>
      <w:pPr>
        <w:pStyle w:val="BodyText"/>
      </w:pPr>
      <w:r>
        <w:t xml:space="preserve">This connects to debates about personal identity and responsibility. In the modern philosophical canon, memory has often been treated as relevant to personal identity (notably in Locke’s tradition), and later discussions in moral philosophy consider how psychological continuity/memory connect to responsibility.</w:t>
      </w:r>
      <w:r>
        <w:t xml:space="preserve"> </w:t>
      </w:r>
      <w:hyperlink r:id="rId62">
        <w:r>
          <w:rPr>
            <w:rStyle w:val="Hyperlink"/>
          </w:rPr>
          <w:t xml:space="preserve">[53]</w:t>
        </w:r>
      </w:hyperlink>
      <w:r>
        <w:t xml:space="preserve"> </w:t>
      </w:r>
      <w:r>
        <w:t xml:space="preserve">The Qur’anic “record” can be read as addressing a pressure point in such theories: even if the agent forgets, the truth of what occurred remains presentable (58:6; 18:49).</w:t>
      </w:r>
      <w:r>
        <w:t xml:space="preserve"> </w:t>
      </w:r>
      <w:hyperlink r:id="rId41">
        <w:r>
          <w:rPr>
            <w:rStyle w:val="Hyperlink"/>
          </w:rPr>
          <w:t xml:space="preserve">[54]</w:t>
        </w:r>
      </w:hyperlink>
      <w:r>
        <w:t xml:space="preserve"> </w:t>
      </w:r>
      <w:r>
        <w:t xml:space="preserve">In that sense, the Book of deeds functions as an objective anchor for moral identity—what you did is not dissolved by what you remember.</w:t>
      </w:r>
    </w:p>
    <w:p>
      <w:pPr>
        <w:pStyle w:val="BodyText"/>
      </w:pPr>
      <w:r>
        <w:t xml:space="preserve">Fourth, the doctrine of record raises a classical tension: does total prior knowledge (or total recording) imply determinism or fatalism? Philosophical work on</w:t>
      </w:r>
      <w:r>
        <w:t xml:space="preserve"> </w:t>
      </w:r>
      <w:r>
        <w:rPr>
          <w:b/>
          <w:bCs/>
        </w:rPr>
        <w:t xml:space="preserve">foreknowledge and free will</w:t>
      </w:r>
      <w:r>
        <w:t xml:space="preserve"> </w:t>
      </w:r>
      <w:r>
        <w:t xml:space="preserve">examines precisely how divine omniscience might (or might not) threaten human freedom.</w:t>
      </w:r>
      <w:r>
        <w:t xml:space="preserve"> </w:t>
      </w:r>
      <w:hyperlink r:id="rId63">
        <w:r>
          <w:rPr>
            <w:rStyle w:val="Hyperlink"/>
          </w:rPr>
          <w:t xml:space="preserve">[55]</w:t>
        </w:r>
      </w:hyperlink>
      <w:r>
        <w:t xml:space="preserve"> </w:t>
      </w:r>
      <w:r>
        <w:t xml:space="preserve">One mainstream response is to distinguish knowing from causing: a record can be complete without being coercive; comprehensive evidence of choices does not entail that the choices were not freely made.</w:t>
      </w:r>
      <w:r>
        <w:t xml:space="preserve"> </w:t>
      </w:r>
      <w:hyperlink r:id="rId63">
        <w:r>
          <w:rPr>
            <w:rStyle w:val="Hyperlink"/>
          </w:rPr>
          <w:t xml:space="preserve">[56]</w:t>
        </w:r>
      </w:hyperlink>
      <w:r>
        <w:t xml:space="preserve"> </w:t>
      </w:r>
      <w:r>
        <w:t xml:space="preserve">In Qur’anic terms, the presence of watchers (50:17–18) does not read as negating agency, but as guaranteeing that agency is taken seriously—so seriously that it is fully accounted for.</w:t>
      </w:r>
      <w:r>
        <w:t xml:space="preserve"> </w:t>
      </w:r>
      <w:hyperlink r:id="rId36">
        <w:r>
          <w:rPr>
            <w:rStyle w:val="Hyperlink"/>
          </w:rPr>
          <w:t xml:space="preserve">[57]</w:t>
        </w:r>
      </w:hyperlink>
    </w:p>
    <w:p>
      <w:pPr>
        <w:pStyle w:val="BodyText"/>
      </w:pPr>
      <w:r>
        <w:t xml:space="preserve">Finally, 41:53–54 extends “record” beyond discrete deeds into a cosmos saturated with signification: signs in horizons and selves, with God as witness over all things, and as encompassing everything.</w:t>
      </w:r>
      <w:r>
        <w:t xml:space="preserve"> </w:t>
      </w:r>
      <w:hyperlink r:id="rId33">
        <w:r>
          <w:rPr>
            <w:rStyle w:val="Hyperlink"/>
          </w:rPr>
          <w:t xml:space="preserve">[58]</w:t>
        </w:r>
      </w:hyperlink>
      <w:r>
        <w:t xml:space="preserve"> </w:t>
      </w:r>
      <w:r>
        <w:t xml:space="preserve">Here recording is not only forensic; it is</w:t>
      </w:r>
      <w:r>
        <w:t xml:space="preserve"> </w:t>
      </w:r>
      <w:r>
        <w:rPr>
          <w:b/>
          <w:bCs/>
        </w:rPr>
        <w:t xml:space="preserve">revelatory</w:t>
      </w:r>
      <w:r>
        <w:t xml:space="preserve">: reality itself becomes a field in which truth is disclosed, until denial becomes increasingly irrational.</w:t>
      </w:r>
    </w:p>
    <w:bookmarkEnd w:id="64"/>
    <w:bookmarkStart w:id="65" w:name="epilogue"/>
    <w:p>
      <w:pPr>
        <w:pStyle w:val="Heading2"/>
      </w:pPr>
      <w:r>
        <w:t xml:space="preserve">Epilogue</w:t>
      </w:r>
    </w:p>
    <w:p>
      <w:pPr>
        <w:pStyle w:val="FirstParagraph"/>
      </w:pPr>
      <w:r>
        <w:t xml:space="preserve">Across the Qur’anic passages assembled here, “recording” is not a marginal doctrine but a unifying moral metaphysics.</w:t>
      </w:r>
    </w:p>
    <w:p>
      <w:pPr>
        <w:pStyle w:val="BodyText"/>
      </w:pPr>
      <w:r>
        <w:t xml:space="preserve">Theological insight: The Qur’an presents divine knowledge as exhaustive—extending to whispers (50:16), words (50:18), distortions of revelation (41:40), and forgotten deeds that nonetheless remain “counted” (58:6).</w:t>
      </w:r>
      <w:r>
        <w:t xml:space="preserve"> </w:t>
      </w:r>
      <w:hyperlink r:id="rId22">
        <w:r>
          <w:rPr>
            <w:rStyle w:val="Hyperlink"/>
          </w:rPr>
          <w:t xml:space="preserve">[59]</w:t>
        </w:r>
      </w:hyperlink>
      <w:r>
        <w:t xml:space="preserve"> </w:t>
      </w:r>
      <w:r>
        <w:t xml:space="preserve">Yet it does not leave omniscience as an abstraction; it is dramatized as public evidence: organs testify (41:20–21), and a Book is laid open that omits nothing (18:49; 54:52–53).</w:t>
      </w:r>
      <w:r>
        <w:t xml:space="preserve"> </w:t>
      </w:r>
      <w:hyperlink r:id="rId25">
        <w:r>
          <w:rPr>
            <w:rStyle w:val="Hyperlink"/>
          </w:rPr>
          <w:t xml:space="preserve">[60]</w:t>
        </w:r>
      </w:hyperlink>
      <w:r>
        <w:t xml:space="preserve"> </w:t>
      </w:r>
      <w:r>
        <w:t xml:space="preserve">God is “witness over everything” (41:53) and “encompasses everything” (41:54)—a closing claim that underwrites the inevitability of disclosure.</w:t>
      </w:r>
      <w:r>
        <w:t xml:space="preserve"> </w:t>
      </w:r>
      <w:hyperlink r:id="rId33">
        <w:r>
          <w:rPr>
            <w:rStyle w:val="Hyperlink"/>
          </w:rPr>
          <w:t xml:space="preserve">[58]</w:t>
        </w:r>
      </w:hyperlink>
    </w:p>
    <w:p>
      <w:pPr>
        <w:pStyle w:val="BodyText"/>
      </w:pPr>
      <w:r>
        <w:t xml:space="preserve">Philosophical insight: The Qur’an frames accountability as requiring an epistemic structure strong enough to defeat denial and forgetfulness. The “assumption” that God does not see (41:22–23) is exposed as the root of ruin: unethical life often depends on metaphysical cheapening—believing reality has blind spots.</w:t>
      </w:r>
      <w:r>
        <w:t xml:space="preserve"> </w:t>
      </w:r>
      <w:hyperlink r:id="rId29">
        <w:r>
          <w:rPr>
            <w:rStyle w:val="Hyperlink"/>
          </w:rPr>
          <w:t xml:space="preserve">[61]</w:t>
        </w:r>
      </w:hyperlink>
      <w:r>
        <w:t xml:space="preserve"> </w:t>
      </w:r>
      <w:r>
        <w:t xml:space="preserve">The testimony of the body is a profound moral anthropology: one cannot finally detach oneself from one’s own enacted history.</w:t>
      </w:r>
      <w:r>
        <w:t xml:space="preserve"> </w:t>
      </w:r>
      <w:hyperlink r:id="rId25">
        <w:r>
          <w:rPr>
            <w:rStyle w:val="Hyperlink"/>
          </w:rPr>
          <w:t xml:space="preserve">[62]</w:t>
        </w:r>
      </w:hyperlink>
    </w:p>
    <w:p>
      <w:pPr>
        <w:pStyle w:val="BodyText"/>
      </w:pPr>
      <w:r>
        <w:t xml:space="preserve">Scientific insight (as disciplined analogy): modern information theory and physics show how events can leave persistent traces in underlying states, even when practically unrecoverable. Shannon formalizes information and its preservation under coding; Landauer links information to physical cost; quantum unitarity and the no-hiding theorem suggest that in closed dynamics information migrates rather than vanishes; black hole research explores how information might be preserved in the most extreme gravitating systems.</w:t>
      </w:r>
      <w:r>
        <w:t xml:space="preserve"> </w:t>
      </w:r>
      <w:hyperlink r:id="rId51">
        <w:r>
          <w:rPr>
            <w:rStyle w:val="Hyperlink"/>
          </w:rPr>
          <w:t xml:space="preserve">[63]</w:t>
        </w:r>
      </w:hyperlink>
      <w:r>
        <w:t xml:space="preserve"> </w:t>
      </w:r>
      <w:r>
        <w:t xml:space="preserve">None of this “proves” eschatology—but it does make the Qur’an’s insistence that nothing is lost (morally) feel less alien to a modern imagination trained by conservation principles.</w:t>
      </w:r>
    </w:p>
    <w:p>
      <w:pPr>
        <w:pStyle w:val="BodyText"/>
      </w:pPr>
      <w:r>
        <w:t xml:space="preserve">Contemporary synthesis: writers like Shah leverage these scientific motifs to re-express Qur’anic record-keeping in informational language—sometimes speculatively (e.g., angels as “encoders”), sometimes devotionally (the universe as a moral archive).</w:t>
      </w:r>
      <w:r>
        <w:t xml:space="preserve"> </w:t>
      </w:r>
      <w:hyperlink r:id="rId58">
        <w:r>
          <w:rPr>
            <w:rStyle w:val="Hyperlink"/>
          </w:rPr>
          <w:t xml:space="preserve">[64]</w:t>
        </w:r>
      </w:hyperlink>
      <w:r>
        <w:t xml:space="preserve"> </w:t>
      </w:r>
      <w:r>
        <w:t xml:space="preserve">Whether or not one accepts such models, the Qur’anic thrust remains stable: secrecy is provisional; denial is temporary; and the moral weight of an “atom’s-weight” is ultimately visible (99:7–8).</w:t>
      </w:r>
      <w:r>
        <w:t xml:space="preserve"> </w:t>
      </w:r>
      <w:hyperlink r:id="rId44">
        <w:r>
          <w:rPr>
            <w:rStyle w:val="Hyperlink"/>
          </w:rPr>
          <w:t xml:space="preserve">[65]</w:t>
        </w:r>
      </w:hyperlink>
    </w:p>
    <w:p>
      <w:pPr>
        <w:pStyle w:val="BodyText"/>
      </w:pPr>
      <w:r>
        <w:t xml:space="preserve">In this Qur’anic worldview, the universe is not a sink in which meaning disappears. It is a ledger—sometimes written as angelic inscription, sometimes as bodily testimony, sometimes as cosmic sign—yet always oriented toward a final disclosure in which justice is not guessed, but</w:t>
      </w:r>
      <w:r>
        <w:t xml:space="preserve"> </w:t>
      </w:r>
      <w:r>
        <w:rPr>
          <w:i/>
          <w:iCs/>
        </w:rPr>
        <w:t xml:space="preserve">shown</w:t>
      </w:r>
      <w:r>
        <w:t xml:space="preserve">.</w:t>
      </w:r>
      <w:r>
        <w:t xml:space="preserve"> </w:t>
      </w:r>
      <w:hyperlink r:id="rId36">
        <w:r>
          <w:rPr>
            <w:rStyle w:val="Hyperlink"/>
          </w:rPr>
          <w:t xml:space="preserve">[66]</w:t>
        </w:r>
      </w:hyperlink>
    </w:p>
    <w:bookmarkEnd w:id="65"/>
    <w:bookmarkEnd w:id="66"/>
    <w:bookmarkEnd w:id="67"/>
    <w:p>
      <w:r>
        <w:pict>
          <v:rect style="width:0;height:1.5pt" o:hralign="center" o:hrstd="t" o:hr="t"/>
        </w:pict>
      </w:r>
    </w:p>
    <w:bookmarkStart w:id="68" w:name="citations"/>
    <w:p>
      <w:pPr>
        <w:pStyle w:val="FirstParagraph"/>
      </w:pPr>
      <w:hyperlink r:id="rId21">
        <w:r>
          <w:rPr>
            <w:rStyle w:val="Hyperlink"/>
          </w:rPr>
          <w:t xml:space="preserve">[1]</w:t>
        </w:r>
      </w:hyperlink>
      <w:r>
        <w:t xml:space="preserve"> </w:t>
      </w:r>
      <w:hyperlink r:id="rId21">
        <w:r>
          <w:rPr>
            <w:rStyle w:val="Hyperlink"/>
          </w:rPr>
          <w:t xml:space="preserve">[8]</w:t>
        </w:r>
      </w:hyperlink>
      <w:r>
        <w:t xml:space="preserve"> </w:t>
      </w:r>
      <w:hyperlink r:id="rId21">
        <w:r>
          <w:rPr>
            <w:rStyle w:val="Hyperlink"/>
          </w:rPr>
          <w:t xml:space="preserve">[30]</w:t>
        </w:r>
      </w:hyperlink>
      <w:r>
        <w:t xml:space="preserve"> </w:t>
      </w:r>
      <w:hyperlink r:id="rId21">
        <w:r>
          <w:rPr>
            <w:rStyle w:val="Hyperlink"/>
          </w:rPr>
          <w:t xml:space="preserve">[48]</w:t>
        </w:r>
      </w:hyperlink>
      <w:r>
        <w:t xml:space="preserve"> </w:t>
      </w:r>
      <w:r>
        <w:t xml:space="preserve">https://myislam.org/surah-fussilat/ayat-19/</w:t>
      </w:r>
    </w:p>
    <w:p>
      <w:pPr>
        <w:pStyle w:val="BodyText"/>
      </w:pPr>
      <w:hyperlink r:id="rId21">
        <w:r>
          <w:rPr>
            <w:rStyle w:val="Hyperlink"/>
          </w:rPr>
          <w:t xml:space="preserve">https://myislam.org/surah-fussilat/ayat-19/</w:t>
        </w:r>
      </w:hyperlink>
    </w:p>
    <w:p>
      <w:pPr>
        <w:pStyle w:val="BodyText"/>
      </w:pPr>
      <w:hyperlink r:id="rId22">
        <w:r>
          <w:rPr>
            <w:rStyle w:val="Hyperlink"/>
          </w:rPr>
          <w:t xml:space="preserve">[2]</w:t>
        </w:r>
      </w:hyperlink>
      <w:r>
        <w:t xml:space="preserve"> </w:t>
      </w:r>
      <w:hyperlink r:id="rId22">
        <w:r>
          <w:rPr>
            <w:rStyle w:val="Hyperlink"/>
          </w:rPr>
          <w:t xml:space="preserve">[17]</w:t>
        </w:r>
      </w:hyperlink>
      <w:r>
        <w:t xml:space="preserve"> </w:t>
      </w:r>
      <w:hyperlink r:id="rId22">
        <w:r>
          <w:rPr>
            <w:rStyle w:val="Hyperlink"/>
          </w:rPr>
          <w:t xml:space="preserve">[29]</w:t>
        </w:r>
      </w:hyperlink>
      <w:r>
        <w:t xml:space="preserve"> </w:t>
      </w:r>
      <w:hyperlink r:id="rId22">
        <w:r>
          <w:rPr>
            <w:rStyle w:val="Hyperlink"/>
          </w:rPr>
          <w:t xml:space="preserve">[34]</w:t>
        </w:r>
      </w:hyperlink>
      <w:r>
        <w:t xml:space="preserve"> </w:t>
      </w:r>
      <w:hyperlink r:id="rId22">
        <w:r>
          <w:rPr>
            <w:rStyle w:val="Hyperlink"/>
          </w:rPr>
          <w:t xml:space="preserve">[59]</w:t>
        </w:r>
      </w:hyperlink>
      <w:r>
        <w:t xml:space="preserve"> </w:t>
      </w:r>
      <w:r>
        <w:t xml:space="preserve">https://myislam.org/surah-qaf/ayat-16/</w:t>
      </w:r>
    </w:p>
    <w:p>
      <w:pPr>
        <w:pStyle w:val="BodyText"/>
      </w:pPr>
      <w:hyperlink r:id="rId22">
        <w:r>
          <w:rPr>
            <w:rStyle w:val="Hyperlink"/>
          </w:rPr>
          <w:t xml:space="preserve">https://myislam.org/surah-qaf/ayat-16/</w:t>
        </w:r>
      </w:hyperlink>
    </w:p>
    <w:p>
      <w:pPr>
        <w:pStyle w:val="BodyText"/>
      </w:pPr>
      <w:hyperlink r:id="rId23">
        <w:r>
          <w:rPr>
            <w:rStyle w:val="Hyperlink"/>
          </w:rPr>
          <w:t xml:space="preserve">[3]</w:t>
        </w:r>
      </w:hyperlink>
      <w:r>
        <w:t xml:space="preserve"> </w:t>
      </w:r>
      <w:hyperlink r:id="rId23">
        <w:r>
          <w:rPr>
            <w:rStyle w:val="Hyperlink"/>
          </w:rPr>
          <w:t xml:space="preserve">[23]</w:t>
        </w:r>
      </w:hyperlink>
      <w:r>
        <w:t xml:space="preserve"> </w:t>
      </w:r>
      <w:hyperlink r:id="rId23">
        <w:r>
          <w:rPr>
            <w:rStyle w:val="Hyperlink"/>
          </w:rPr>
          <w:t xml:space="preserve">[36]</w:t>
        </w:r>
      </w:hyperlink>
      <w:r>
        <w:t xml:space="preserve"> </w:t>
      </w:r>
      <w:r>
        <w:t xml:space="preserve">https://myislam.org/surah-kahf/ayat-49/</w:t>
      </w:r>
    </w:p>
    <w:p>
      <w:pPr>
        <w:pStyle w:val="BodyText"/>
      </w:pPr>
      <w:hyperlink r:id="rId23">
        <w:r>
          <w:rPr>
            <w:rStyle w:val="Hyperlink"/>
          </w:rPr>
          <w:t xml:space="preserve">https://myislam.org/surah-kahf/ayat-49/</w:t>
        </w:r>
      </w:hyperlink>
    </w:p>
    <w:p>
      <w:pPr>
        <w:pStyle w:val="BodyText"/>
      </w:pPr>
      <w:hyperlink r:id="rId24">
        <w:r>
          <w:rPr>
            <w:rStyle w:val="Hyperlink"/>
          </w:rPr>
          <w:t xml:space="preserve">[4]</w:t>
        </w:r>
      </w:hyperlink>
      <w:r>
        <w:t xml:space="preserve"> </w:t>
      </w:r>
      <w:hyperlink r:id="rId24">
        <w:r>
          <w:rPr>
            <w:rStyle w:val="Hyperlink"/>
          </w:rPr>
          <w:t xml:space="preserve">[38]</w:t>
        </w:r>
      </w:hyperlink>
      <w:r>
        <w:t xml:space="preserve"> </w:t>
      </w:r>
      <w:r>
        <w:t xml:space="preserve">https://www.cpt.univ-mrs.fr/~verga/pdfs/Landauer-1991.pdf</w:t>
      </w:r>
    </w:p>
    <w:p>
      <w:pPr>
        <w:pStyle w:val="BodyText"/>
      </w:pPr>
      <w:hyperlink r:id="rId24">
        <w:r>
          <w:rPr>
            <w:rStyle w:val="Hyperlink"/>
          </w:rPr>
          <w:t xml:space="preserve">https://www.cpt.univ-mrs.fr/~verga/pdfs/Landauer-1991.pdf</w:t>
        </w:r>
      </w:hyperlink>
    </w:p>
    <w:p>
      <w:pPr>
        <w:pStyle w:val="BodyText"/>
      </w:pPr>
      <w:hyperlink r:id="rId25">
        <w:r>
          <w:rPr>
            <w:rStyle w:val="Hyperlink"/>
          </w:rPr>
          <w:t xml:space="preserve">[5]</w:t>
        </w:r>
      </w:hyperlink>
      <w:r>
        <w:t xml:space="preserve"> </w:t>
      </w:r>
      <w:hyperlink r:id="rId25">
        <w:r>
          <w:rPr>
            <w:rStyle w:val="Hyperlink"/>
          </w:rPr>
          <w:t xml:space="preserve">[9]</w:t>
        </w:r>
      </w:hyperlink>
      <w:r>
        <w:t xml:space="preserve"> </w:t>
      </w:r>
      <w:hyperlink r:id="rId25">
        <w:r>
          <w:rPr>
            <w:rStyle w:val="Hyperlink"/>
          </w:rPr>
          <w:t xml:space="preserve">[60]</w:t>
        </w:r>
      </w:hyperlink>
      <w:r>
        <w:t xml:space="preserve"> </w:t>
      </w:r>
      <w:hyperlink r:id="rId25">
        <w:r>
          <w:rPr>
            <w:rStyle w:val="Hyperlink"/>
          </w:rPr>
          <w:t xml:space="preserve">[62]</w:t>
        </w:r>
      </w:hyperlink>
      <w:r>
        <w:t xml:space="preserve"> </w:t>
      </w:r>
      <w:r>
        <w:t xml:space="preserve">https://myislam.org/surah-fussilat/ayat-20/</w:t>
      </w:r>
    </w:p>
    <w:p>
      <w:pPr>
        <w:pStyle w:val="BodyText"/>
      </w:pPr>
      <w:hyperlink r:id="rId25">
        <w:r>
          <w:rPr>
            <w:rStyle w:val="Hyperlink"/>
          </w:rPr>
          <w:t xml:space="preserve">https://myislam.org/surah-fussilat/ayat-20/</w:t>
        </w:r>
      </w:hyperlink>
    </w:p>
    <w:p>
      <w:pPr>
        <w:pStyle w:val="BodyText"/>
      </w:pPr>
      <w:hyperlink r:id="rId26">
        <w:r>
          <w:rPr>
            <w:rStyle w:val="Hyperlink"/>
          </w:rPr>
          <w:t xml:space="preserve">[6]</w:t>
        </w:r>
      </w:hyperlink>
      <w:r>
        <w:t xml:space="preserve"> </w:t>
      </w:r>
      <w:hyperlink r:id="rId26">
        <w:r>
          <w:rPr>
            <w:rStyle w:val="Hyperlink"/>
          </w:rPr>
          <w:t xml:space="preserve">[7]</w:t>
        </w:r>
      </w:hyperlink>
      <w:r>
        <w:t xml:space="preserve"> </w:t>
      </w:r>
      <w:r>
        <w:t xml:space="preserve">https://ia600501.us.archive.org/16/items/OxfordQuranTranslation/Oxford-Quran-Translation.pdf</w:t>
      </w:r>
    </w:p>
    <w:p>
      <w:pPr>
        <w:pStyle w:val="BodyText"/>
      </w:pPr>
      <w:hyperlink r:id="rId26">
        <w:r>
          <w:rPr>
            <w:rStyle w:val="Hyperlink"/>
          </w:rPr>
          <w:t xml:space="preserve">https://ia600501.us.archive.org/16/items/OxfordQuranTranslation/Oxford-Quran-Translation.pdf</w:t>
        </w:r>
      </w:hyperlink>
    </w:p>
    <w:p>
      <w:pPr>
        <w:pStyle w:val="BodyText"/>
      </w:pPr>
      <w:hyperlink r:id="rId28">
        <w:r>
          <w:rPr>
            <w:rStyle w:val="Hyperlink"/>
          </w:rPr>
          <w:t xml:space="preserve">[10]</w:t>
        </w:r>
      </w:hyperlink>
      <w:r>
        <w:t xml:space="preserve"> </w:t>
      </w:r>
      <w:r>
        <w:t xml:space="preserve">https://myislam.org/surah-fussilat/ayat-21/</w:t>
      </w:r>
    </w:p>
    <w:p>
      <w:pPr>
        <w:pStyle w:val="BodyText"/>
      </w:pPr>
      <w:hyperlink r:id="rId28">
        <w:r>
          <w:rPr>
            <w:rStyle w:val="Hyperlink"/>
          </w:rPr>
          <w:t xml:space="preserve">https://myislam.org/surah-fussilat/ayat-21/</w:t>
        </w:r>
      </w:hyperlink>
    </w:p>
    <w:p>
      <w:pPr>
        <w:pStyle w:val="BodyText"/>
      </w:pPr>
      <w:hyperlink r:id="rId29">
        <w:r>
          <w:rPr>
            <w:rStyle w:val="Hyperlink"/>
          </w:rPr>
          <w:t xml:space="preserve">[11]</w:t>
        </w:r>
      </w:hyperlink>
      <w:r>
        <w:t xml:space="preserve"> </w:t>
      </w:r>
      <w:hyperlink r:id="rId29">
        <w:r>
          <w:rPr>
            <w:rStyle w:val="Hyperlink"/>
          </w:rPr>
          <w:t xml:space="preserve">[31]</w:t>
        </w:r>
      </w:hyperlink>
      <w:r>
        <w:t xml:space="preserve"> </w:t>
      </w:r>
      <w:hyperlink r:id="rId29">
        <w:r>
          <w:rPr>
            <w:rStyle w:val="Hyperlink"/>
          </w:rPr>
          <w:t xml:space="preserve">[45]</w:t>
        </w:r>
      </w:hyperlink>
      <w:r>
        <w:t xml:space="preserve"> </w:t>
      </w:r>
      <w:hyperlink r:id="rId29">
        <w:r>
          <w:rPr>
            <w:rStyle w:val="Hyperlink"/>
          </w:rPr>
          <w:t xml:space="preserve">[52]</w:t>
        </w:r>
      </w:hyperlink>
      <w:r>
        <w:t xml:space="preserve"> </w:t>
      </w:r>
      <w:hyperlink r:id="rId29">
        <w:r>
          <w:rPr>
            <w:rStyle w:val="Hyperlink"/>
          </w:rPr>
          <w:t xml:space="preserve">[61]</w:t>
        </w:r>
      </w:hyperlink>
      <w:r>
        <w:t xml:space="preserve"> </w:t>
      </w:r>
      <w:r>
        <w:t xml:space="preserve">https://myislam.org/surah-fussilat/ayat-22/</w:t>
      </w:r>
    </w:p>
    <w:p>
      <w:pPr>
        <w:pStyle w:val="BodyText"/>
      </w:pPr>
      <w:hyperlink r:id="rId29">
        <w:r>
          <w:rPr>
            <w:rStyle w:val="Hyperlink"/>
          </w:rPr>
          <w:t xml:space="preserve">https://myislam.org/surah-fussilat/ayat-22/</w:t>
        </w:r>
      </w:hyperlink>
    </w:p>
    <w:p>
      <w:pPr>
        <w:pStyle w:val="BodyText"/>
      </w:pPr>
      <w:hyperlink r:id="rId30">
        <w:r>
          <w:rPr>
            <w:rStyle w:val="Hyperlink"/>
          </w:rPr>
          <w:t xml:space="preserve">[12]</w:t>
        </w:r>
      </w:hyperlink>
      <w:r>
        <w:t xml:space="preserve"> </w:t>
      </w:r>
      <w:r>
        <w:t xml:space="preserve">https://myislam.org/surah-fussilat/ayat-23/</w:t>
      </w:r>
    </w:p>
    <w:p>
      <w:pPr>
        <w:pStyle w:val="BodyText"/>
      </w:pPr>
      <w:hyperlink r:id="rId30">
        <w:r>
          <w:rPr>
            <w:rStyle w:val="Hyperlink"/>
          </w:rPr>
          <w:t xml:space="preserve">https://myislam.org/surah-fussilat/ayat-23/</w:t>
        </w:r>
      </w:hyperlink>
    </w:p>
    <w:p>
      <w:pPr>
        <w:pStyle w:val="BodyText"/>
      </w:pPr>
      <w:hyperlink r:id="rId31">
        <w:r>
          <w:rPr>
            <w:rStyle w:val="Hyperlink"/>
          </w:rPr>
          <w:t xml:space="preserve">[13]</w:t>
        </w:r>
      </w:hyperlink>
      <w:r>
        <w:t xml:space="preserve"> </w:t>
      </w:r>
      <w:r>
        <w:t xml:space="preserve">https://myislam.org/surah-fussilat/ayat-24/</w:t>
      </w:r>
    </w:p>
    <w:p>
      <w:pPr>
        <w:pStyle w:val="BodyText"/>
      </w:pPr>
      <w:hyperlink r:id="rId31">
        <w:r>
          <w:rPr>
            <w:rStyle w:val="Hyperlink"/>
          </w:rPr>
          <w:t xml:space="preserve">https://myislam.org/surah-fussilat/ayat-24/</w:t>
        </w:r>
      </w:hyperlink>
    </w:p>
    <w:p>
      <w:pPr>
        <w:pStyle w:val="BodyText"/>
      </w:pPr>
      <w:hyperlink r:id="rId32">
        <w:r>
          <w:rPr>
            <w:rStyle w:val="Hyperlink"/>
          </w:rPr>
          <w:t xml:space="preserve">[14]</w:t>
        </w:r>
      </w:hyperlink>
      <w:r>
        <w:t xml:space="preserve"> </w:t>
      </w:r>
      <w:hyperlink r:id="rId32">
        <w:r>
          <w:rPr>
            <w:rStyle w:val="Hyperlink"/>
          </w:rPr>
          <w:t xml:space="preserve">[42]</w:t>
        </w:r>
      </w:hyperlink>
      <w:r>
        <w:t xml:space="preserve"> </w:t>
      </w:r>
      <w:r>
        <w:t xml:space="preserve">https://myislam.org/surah-fussilat/ayat-40/</w:t>
      </w:r>
    </w:p>
    <w:p>
      <w:pPr>
        <w:pStyle w:val="BodyText"/>
      </w:pPr>
      <w:hyperlink r:id="rId32">
        <w:r>
          <w:rPr>
            <w:rStyle w:val="Hyperlink"/>
          </w:rPr>
          <w:t xml:space="preserve">https://myislam.org/surah-fussilat/ayat-40/</w:t>
        </w:r>
      </w:hyperlink>
    </w:p>
    <w:p>
      <w:pPr>
        <w:pStyle w:val="BodyText"/>
      </w:pPr>
      <w:hyperlink r:id="rId33">
        <w:r>
          <w:rPr>
            <w:rStyle w:val="Hyperlink"/>
          </w:rPr>
          <w:t xml:space="preserve">[15]</w:t>
        </w:r>
      </w:hyperlink>
      <w:r>
        <w:t xml:space="preserve"> </w:t>
      </w:r>
      <w:hyperlink r:id="rId33">
        <w:r>
          <w:rPr>
            <w:rStyle w:val="Hyperlink"/>
          </w:rPr>
          <w:t xml:space="preserve">[58]</w:t>
        </w:r>
      </w:hyperlink>
      <w:r>
        <w:t xml:space="preserve"> </w:t>
      </w:r>
      <w:r>
        <w:t xml:space="preserve">https://myislam.org/surah-fussilat/ayat-53/</w:t>
      </w:r>
    </w:p>
    <w:p>
      <w:pPr>
        <w:pStyle w:val="BodyText"/>
      </w:pPr>
      <w:hyperlink r:id="rId33">
        <w:r>
          <w:rPr>
            <w:rStyle w:val="Hyperlink"/>
          </w:rPr>
          <w:t xml:space="preserve">https://myislam.org/surah-fussilat/ayat-53/</w:t>
        </w:r>
      </w:hyperlink>
    </w:p>
    <w:p>
      <w:pPr>
        <w:pStyle w:val="BodyText"/>
      </w:pPr>
      <w:hyperlink r:id="rId34">
        <w:r>
          <w:rPr>
            <w:rStyle w:val="Hyperlink"/>
          </w:rPr>
          <w:t xml:space="preserve">[16]</w:t>
        </w:r>
      </w:hyperlink>
      <w:r>
        <w:t xml:space="preserve"> </w:t>
      </w:r>
      <w:r>
        <w:t xml:space="preserve">https://myislam.org/surah-fussilat/ayat-54/</w:t>
      </w:r>
    </w:p>
    <w:p>
      <w:pPr>
        <w:pStyle w:val="BodyText"/>
      </w:pPr>
      <w:hyperlink r:id="rId34">
        <w:r>
          <w:rPr>
            <w:rStyle w:val="Hyperlink"/>
          </w:rPr>
          <w:t xml:space="preserve">https://myislam.org/surah-fussilat/ayat-54/</w:t>
        </w:r>
      </w:hyperlink>
    </w:p>
    <w:p>
      <w:pPr>
        <w:pStyle w:val="BodyText"/>
      </w:pPr>
      <w:hyperlink r:id="rId36">
        <w:r>
          <w:rPr>
            <w:rStyle w:val="Hyperlink"/>
          </w:rPr>
          <w:t xml:space="preserve">[18]</w:t>
        </w:r>
      </w:hyperlink>
      <w:r>
        <w:t xml:space="preserve"> </w:t>
      </w:r>
      <w:hyperlink r:id="rId36">
        <w:r>
          <w:rPr>
            <w:rStyle w:val="Hyperlink"/>
          </w:rPr>
          <w:t xml:space="preserve">[57]</w:t>
        </w:r>
      </w:hyperlink>
      <w:r>
        <w:t xml:space="preserve"> </w:t>
      </w:r>
      <w:hyperlink r:id="rId36">
        <w:r>
          <w:rPr>
            <w:rStyle w:val="Hyperlink"/>
          </w:rPr>
          <w:t xml:space="preserve">[66]</w:t>
        </w:r>
      </w:hyperlink>
      <w:r>
        <w:t xml:space="preserve"> </w:t>
      </w:r>
      <w:r>
        <w:t xml:space="preserve">https://myislam.org/surah-qaf/ayat-17/</w:t>
      </w:r>
    </w:p>
    <w:p>
      <w:pPr>
        <w:pStyle w:val="BodyText"/>
      </w:pPr>
      <w:hyperlink r:id="rId36">
        <w:r>
          <w:rPr>
            <w:rStyle w:val="Hyperlink"/>
          </w:rPr>
          <w:t xml:space="preserve">https://myislam.org/surah-qaf/ayat-17/</w:t>
        </w:r>
      </w:hyperlink>
    </w:p>
    <w:p>
      <w:pPr>
        <w:pStyle w:val="BodyText"/>
      </w:pPr>
      <w:hyperlink r:id="rId37">
        <w:r>
          <w:rPr>
            <w:rStyle w:val="Hyperlink"/>
          </w:rPr>
          <w:t xml:space="preserve">[19]</w:t>
        </w:r>
      </w:hyperlink>
      <w:r>
        <w:t xml:space="preserve"> </w:t>
      </w:r>
      <w:r>
        <w:t xml:space="preserve">https://myislam.org/surah-qaf/ayat-18/</w:t>
      </w:r>
    </w:p>
    <w:p>
      <w:pPr>
        <w:pStyle w:val="BodyText"/>
      </w:pPr>
      <w:hyperlink r:id="rId37">
        <w:r>
          <w:rPr>
            <w:rStyle w:val="Hyperlink"/>
          </w:rPr>
          <w:t xml:space="preserve">https://myislam.org/surah-qaf/ayat-18/</w:t>
        </w:r>
      </w:hyperlink>
    </w:p>
    <w:p>
      <w:pPr>
        <w:pStyle w:val="BodyText"/>
      </w:pPr>
      <w:hyperlink r:id="rId38">
        <w:r>
          <w:rPr>
            <w:rStyle w:val="Hyperlink"/>
          </w:rPr>
          <w:t xml:space="preserve">[20]</w:t>
        </w:r>
      </w:hyperlink>
      <w:r>
        <w:t xml:space="preserve"> </w:t>
      </w:r>
      <w:r>
        <w:t xml:space="preserve">https://myislam.org/surah-infitar/ayat-10/</w:t>
      </w:r>
    </w:p>
    <w:p>
      <w:pPr>
        <w:pStyle w:val="BodyText"/>
      </w:pPr>
      <w:hyperlink r:id="rId38">
        <w:r>
          <w:rPr>
            <w:rStyle w:val="Hyperlink"/>
          </w:rPr>
          <w:t xml:space="preserve">https://myislam.org/surah-infitar/ayat-10/</w:t>
        </w:r>
      </w:hyperlink>
    </w:p>
    <w:p>
      <w:pPr>
        <w:pStyle w:val="BodyText"/>
      </w:pPr>
      <w:hyperlink r:id="rId39">
        <w:r>
          <w:rPr>
            <w:rStyle w:val="Hyperlink"/>
          </w:rPr>
          <w:t xml:space="preserve">[21]</w:t>
        </w:r>
      </w:hyperlink>
      <w:r>
        <w:t xml:space="preserve"> </w:t>
      </w:r>
      <w:r>
        <w:t xml:space="preserve">https://myislam.org/surah-infitar/ayat-11/</w:t>
      </w:r>
    </w:p>
    <w:p>
      <w:pPr>
        <w:pStyle w:val="BodyText"/>
      </w:pPr>
      <w:hyperlink r:id="rId39">
        <w:r>
          <w:rPr>
            <w:rStyle w:val="Hyperlink"/>
          </w:rPr>
          <w:t xml:space="preserve">https://myislam.org/surah-infitar/ayat-11/</w:t>
        </w:r>
      </w:hyperlink>
    </w:p>
    <w:p>
      <w:pPr>
        <w:pStyle w:val="BodyText"/>
      </w:pPr>
      <w:hyperlink r:id="rId40">
        <w:r>
          <w:rPr>
            <w:rStyle w:val="Hyperlink"/>
          </w:rPr>
          <w:t xml:space="preserve">[22]</w:t>
        </w:r>
      </w:hyperlink>
      <w:r>
        <w:t xml:space="preserve"> </w:t>
      </w:r>
      <w:r>
        <w:t xml:space="preserve">https://myislam.org/surah-infitar/ayat-12/</w:t>
      </w:r>
    </w:p>
    <w:p>
      <w:pPr>
        <w:pStyle w:val="BodyText"/>
      </w:pPr>
      <w:hyperlink r:id="rId40">
        <w:r>
          <w:rPr>
            <w:rStyle w:val="Hyperlink"/>
          </w:rPr>
          <w:t xml:space="preserve">https://myislam.org/surah-infitar/ayat-12/</w:t>
        </w:r>
      </w:hyperlink>
    </w:p>
    <w:p>
      <w:pPr>
        <w:pStyle w:val="BodyText"/>
      </w:pPr>
      <w:hyperlink r:id="rId41">
        <w:r>
          <w:rPr>
            <w:rStyle w:val="Hyperlink"/>
          </w:rPr>
          <w:t xml:space="preserve">[24]</w:t>
        </w:r>
      </w:hyperlink>
      <w:r>
        <w:t xml:space="preserve"> </w:t>
      </w:r>
      <w:hyperlink r:id="rId41">
        <w:r>
          <w:rPr>
            <w:rStyle w:val="Hyperlink"/>
          </w:rPr>
          <w:t xml:space="preserve">[37]</w:t>
        </w:r>
      </w:hyperlink>
      <w:r>
        <w:t xml:space="preserve"> </w:t>
      </w:r>
      <w:hyperlink r:id="rId41">
        <w:r>
          <w:rPr>
            <w:rStyle w:val="Hyperlink"/>
          </w:rPr>
          <w:t xml:space="preserve">[43]</w:t>
        </w:r>
      </w:hyperlink>
      <w:r>
        <w:t xml:space="preserve"> </w:t>
      </w:r>
      <w:hyperlink r:id="rId41">
        <w:r>
          <w:rPr>
            <w:rStyle w:val="Hyperlink"/>
          </w:rPr>
          <w:t xml:space="preserve">[54]</w:t>
        </w:r>
      </w:hyperlink>
      <w:r>
        <w:t xml:space="preserve"> </w:t>
      </w:r>
      <w:r>
        <w:t xml:space="preserve">https://myislam.org/surah-mujadila/ayat-6/</w:t>
      </w:r>
    </w:p>
    <w:p>
      <w:pPr>
        <w:pStyle w:val="BodyText"/>
      </w:pPr>
      <w:hyperlink r:id="rId41">
        <w:r>
          <w:rPr>
            <w:rStyle w:val="Hyperlink"/>
          </w:rPr>
          <w:t xml:space="preserve">https://myislam.org/surah-mujadila/ayat-6/</w:t>
        </w:r>
      </w:hyperlink>
    </w:p>
    <w:p>
      <w:pPr>
        <w:pStyle w:val="BodyText"/>
      </w:pPr>
      <w:hyperlink r:id="rId42">
        <w:r>
          <w:rPr>
            <w:rStyle w:val="Hyperlink"/>
          </w:rPr>
          <w:t xml:space="preserve">[25]</w:t>
        </w:r>
      </w:hyperlink>
      <w:r>
        <w:t xml:space="preserve"> </w:t>
      </w:r>
      <w:r>
        <w:t xml:space="preserve">https://myislam.org/surah-qamar/ayat-52/</w:t>
      </w:r>
    </w:p>
    <w:p>
      <w:pPr>
        <w:pStyle w:val="BodyText"/>
      </w:pPr>
      <w:hyperlink r:id="rId42">
        <w:r>
          <w:rPr>
            <w:rStyle w:val="Hyperlink"/>
          </w:rPr>
          <w:t xml:space="preserve">https://myislam.org/surah-qamar/ayat-52/</w:t>
        </w:r>
      </w:hyperlink>
    </w:p>
    <w:p>
      <w:pPr>
        <w:pStyle w:val="BodyText"/>
      </w:pPr>
      <w:hyperlink r:id="rId43">
        <w:r>
          <w:rPr>
            <w:rStyle w:val="Hyperlink"/>
          </w:rPr>
          <w:t xml:space="preserve">[26]</w:t>
        </w:r>
      </w:hyperlink>
      <w:r>
        <w:t xml:space="preserve"> </w:t>
      </w:r>
      <w:r>
        <w:t xml:space="preserve">https://myislam.org/surah-qamar/ayat-53/</w:t>
      </w:r>
    </w:p>
    <w:p>
      <w:pPr>
        <w:pStyle w:val="BodyText"/>
      </w:pPr>
      <w:hyperlink r:id="rId43">
        <w:r>
          <w:rPr>
            <w:rStyle w:val="Hyperlink"/>
          </w:rPr>
          <w:t xml:space="preserve">https://myislam.org/surah-qamar/ayat-53/</w:t>
        </w:r>
      </w:hyperlink>
    </w:p>
    <w:p>
      <w:pPr>
        <w:pStyle w:val="BodyText"/>
      </w:pPr>
      <w:hyperlink r:id="rId44">
        <w:r>
          <w:rPr>
            <w:rStyle w:val="Hyperlink"/>
          </w:rPr>
          <w:t xml:space="preserve">[27]</w:t>
        </w:r>
      </w:hyperlink>
      <w:r>
        <w:t xml:space="preserve"> </w:t>
      </w:r>
      <w:hyperlink r:id="rId44">
        <w:r>
          <w:rPr>
            <w:rStyle w:val="Hyperlink"/>
          </w:rPr>
          <w:t xml:space="preserve">[65]</w:t>
        </w:r>
      </w:hyperlink>
      <w:r>
        <w:t xml:space="preserve"> </w:t>
      </w:r>
      <w:r>
        <w:t xml:space="preserve">https://myislam.org/surah-al-zalzalah/ayat-7/</w:t>
      </w:r>
    </w:p>
    <w:p>
      <w:pPr>
        <w:pStyle w:val="BodyText"/>
      </w:pPr>
      <w:hyperlink r:id="rId44">
        <w:r>
          <w:rPr>
            <w:rStyle w:val="Hyperlink"/>
          </w:rPr>
          <w:t xml:space="preserve">https://myislam.org/surah-al-zalzalah/ayat-7/</w:t>
        </w:r>
      </w:hyperlink>
    </w:p>
    <w:p>
      <w:pPr>
        <w:pStyle w:val="BodyText"/>
      </w:pPr>
      <w:hyperlink r:id="rId45">
        <w:r>
          <w:rPr>
            <w:rStyle w:val="Hyperlink"/>
          </w:rPr>
          <w:t xml:space="preserve">[28]</w:t>
        </w:r>
      </w:hyperlink>
      <w:r>
        <w:t xml:space="preserve"> </w:t>
      </w:r>
      <w:r>
        <w:t xml:space="preserve">https://myislam.org/surah-al-zalzalah/ayat-8/</w:t>
      </w:r>
    </w:p>
    <w:p>
      <w:pPr>
        <w:pStyle w:val="BodyText"/>
      </w:pPr>
      <w:hyperlink r:id="rId45">
        <w:r>
          <w:rPr>
            <w:rStyle w:val="Hyperlink"/>
          </w:rPr>
          <w:t xml:space="preserve">https://myislam.org/surah-al-zalzalah/ayat-8/</w:t>
        </w:r>
      </w:hyperlink>
    </w:p>
    <w:p>
      <w:pPr>
        <w:pStyle w:val="BodyText"/>
      </w:pPr>
      <w:hyperlink r:id="rId48">
        <w:r>
          <w:rPr>
            <w:rStyle w:val="Hyperlink"/>
          </w:rPr>
          <w:t xml:space="preserve">[32]</w:t>
        </w:r>
      </w:hyperlink>
      <w:r>
        <w:t xml:space="preserve"> </w:t>
      </w:r>
      <w:r>
        <w:t xml:space="preserve">https://quran.com/en/41%3A22/tafsirs/en-tafsir-maarif-ul-quran</w:t>
      </w:r>
    </w:p>
    <w:p>
      <w:pPr>
        <w:pStyle w:val="BodyText"/>
      </w:pPr>
      <w:hyperlink r:id="rId48">
        <w:r>
          <w:rPr>
            <w:rStyle w:val="Hyperlink"/>
          </w:rPr>
          <w:t xml:space="preserve">https://quran.com/en/41%3A22/tafsirs/en-tafsir-maarif-ul-quran</w:t>
        </w:r>
      </w:hyperlink>
    </w:p>
    <w:p>
      <w:pPr>
        <w:pStyle w:val="BodyText"/>
      </w:pPr>
      <w:hyperlink r:id="rId49">
        <w:r>
          <w:rPr>
            <w:rStyle w:val="Hyperlink"/>
          </w:rPr>
          <w:t xml:space="preserve">[33]</w:t>
        </w:r>
      </w:hyperlink>
      <w:r>
        <w:t xml:space="preserve"> </w:t>
      </w:r>
      <w:r>
        <w:t xml:space="preserve">https://quran.com/41%3A19/tafsirs/ar-tafsir-al-tabari</w:t>
      </w:r>
    </w:p>
    <w:p>
      <w:pPr>
        <w:pStyle w:val="BodyText"/>
      </w:pPr>
      <w:hyperlink r:id="rId49">
        <w:r>
          <w:rPr>
            <w:rStyle w:val="Hyperlink"/>
          </w:rPr>
          <w:t xml:space="preserve">https://quran.com/41%3A19/tafsirs/ar-tafsir-al-tabari</w:t>
        </w:r>
      </w:hyperlink>
    </w:p>
    <w:p>
      <w:pPr>
        <w:pStyle w:val="BodyText"/>
      </w:pPr>
      <w:hyperlink r:id="rId51">
        <w:r>
          <w:rPr>
            <w:rStyle w:val="Hyperlink"/>
          </w:rPr>
          <w:t xml:space="preserve">[35]</w:t>
        </w:r>
      </w:hyperlink>
      <w:r>
        <w:t xml:space="preserve"> </w:t>
      </w:r>
      <w:hyperlink r:id="rId51">
        <w:r>
          <w:rPr>
            <w:rStyle w:val="Hyperlink"/>
          </w:rPr>
          <w:t xml:space="preserve">[63]</w:t>
        </w:r>
      </w:hyperlink>
      <w:r>
        <w:t xml:space="preserve"> </w:t>
      </w:r>
      <w:r>
        <w:t xml:space="preserve">https://people.math.harvard.edu/~ctm/home/text/others/shannon/entropy/entropy.pdf</w:t>
      </w:r>
    </w:p>
    <w:p>
      <w:pPr>
        <w:pStyle w:val="BodyText"/>
      </w:pPr>
      <w:hyperlink r:id="rId51">
        <w:r>
          <w:rPr>
            <w:rStyle w:val="Hyperlink"/>
          </w:rPr>
          <w:t xml:space="preserve">https://people.math.harvard.edu/~ctm/home/text/others/shannon/entropy/entropy.pdf</w:t>
        </w:r>
      </w:hyperlink>
    </w:p>
    <w:p>
      <w:pPr>
        <w:pStyle w:val="BodyText"/>
      </w:pPr>
      <w:hyperlink r:id="rId52">
        <w:r>
          <w:rPr>
            <w:rStyle w:val="Hyperlink"/>
          </w:rPr>
          <w:t xml:space="preserve">[39]</w:t>
        </w:r>
      </w:hyperlink>
      <w:r>
        <w:t xml:space="preserve"> </w:t>
      </w:r>
      <w:r>
        <w:t xml:space="preserve">https://pmc.ncbi.nlm.nih.gov/articles/PMC7514250/</w:t>
      </w:r>
    </w:p>
    <w:p>
      <w:pPr>
        <w:pStyle w:val="BodyText"/>
      </w:pPr>
      <w:hyperlink r:id="rId52">
        <w:r>
          <w:rPr>
            <w:rStyle w:val="Hyperlink"/>
          </w:rPr>
          <w:t xml:space="preserve">https://pmc.ncbi.nlm.nih.gov/articles/PMC7514250/</w:t>
        </w:r>
      </w:hyperlink>
    </w:p>
    <w:p>
      <w:pPr>
        <w:pStyle w:val="BodyText"/>
      </w:pPr>
      <w:hyperlink r:id="rId53">
        <w:r>
          <w:rPr>
            <w:rStyle w:val="Hyperlink"/>
          </w:rPr>
          <w:t xml:space="preserve">[40]</w:t>
        </w:r>
      </w:hyperlink>
      <w:r>
        <w:t xml:space="preserve"> </w:t>
      </w:r>
      <w:r>
        <w:t xml:space="preserve">https://pages.jh.edu/rrynasi1/HealeySeminar/literature/Nielsen%2BChuang2010QuantumComputation%2BQuantumInformation.FirstTwoChapters.pdf</w:t>
      </w:r>
    </w:p>
    <w:p>
      <w:pPr>
        <w:pStyle w:val="BodyText"/>
      </w:pPr>
      <w:hyperlink r:id="rId53">
        <w:r>
          <w:rPr>
            <w:rStyle w:val="Hyperlink"/>
          </w:rPr>
          <w:t xml:space="preserve">https://pages.jh.edu/rrynasi1/HealeySeminar/literature/Nielsen%2BChuang2010QuantumComputation%2BQuantumInformation.FirstTwoChapters.pdf</w:t>
        </w:r>
      </w:hyperlink>
    </w:p>
    <w:p>
      <w:pPr>
        <w:pStyle w:val="BodyText"/>
      </w:pPr>
      <w:hyperlink r:id="rId54">
        <w:r>
          <w:rPr>
            <w:rStyle w:val="Hyperlink"/>
          </w:rPr>
          <w:t xml:space="preserve">[41]</w:t>
        </w:r>
      </w:hyperlink>
      <w:r>
        <w:t xml:space="preserve"> </w:t>
      </w:r>
      <w:r>
        <w:t xml:space="preserve">https://www3.nd.edu/~lent/pdf/nd/Quantum_Operator_Entropies__PRE_final.pdf</w:t>
      </w:r>
    </w:p>
    <w:p>
      <w:pPr>
        <w:pStyle w:val="BodyText"/>
      </w:pPr>
      <w:hyperlink r:id="rId54">
        <w:r>
          <w:rPr>
            <w:rStyle w:val="Hyperlink"/>
          </w:rPr>
          <w:t xml:space="preserve">https://www3.nd.edu/~lent/pdf/nd/Quantum_Operator_Entropies__PRE_final.pdf</w:t>
        </w:r>
      </w:hyperlink>
    </w:p>
    <w:p>
      <w:pPr>
        <w:pStyle w:val="BodyText"/>
      </w:pPr>
      <w:hyperlink r:id="rId55">
        <w:r>
          <w:rPr>
            <w:rStyle w:val="Hyperlink"/>
          </w:rPr>
          <w:t xml:space="preserve">[44]</w:t>
        </w:r>
      </w:hyperlink>
      <w:r>
        <w:t xml:space="preserve"> </w:t>
      </w:r>
      <w:r>
        <w:t xml:space="preserve">https://link.aps.org/doi/10.1103/PhysRevLett.98.080502</w:t>
      </w:r>
    </w:p>
    <w:p>
      <w:pPr>
        <w:pStyle w:val="BodyText"/>
      </w:pPr>
      <w:hyperlink r:id="rId55">
        <w:r>
          <w:rPr>
            <w:rStyle w:val="Hyperlink"/>
          </w:rPr>
          <w:t xml:space="preserve">https://link.aps.org/doi/10.1103/PhysRevLett.98.080502</w:t>
        </w:r>
      </w:hyperlink>
    </w:p>
    <w:p>
      <w:pPr>
        <w:pStyle w:val="BodyText"/>
      </w:pPr>
      <w:hyperlink r:id="rId56">
        <w:r>
          <w:rPr>
            <w:rStyle w:val="Hyperlink"/>
          </w:rPr>
          <w:t xml:space="preserve">[46]</w:t>
        </w:r>
      </w:hyperlink>
      <w:r>
        <w:t xml:space="preserve"> </w:t>
      </w:r>
      <w:r>
        <w:t xml:space="preserve">https://physics.mit.edu/wp-content/uploads/2023/09/PhysicsAtMIT_2023_Engelhardt_Feature.pdf</w:t>
      </w:r>
    </w:p>
    <w:p>
      <w:pPr>
        <w:pStyle w:val="BodyText"/>
      </w:pPr>
      <w:hyperlink r:id="rId56">
        <w:r>
          <w:rPr>
            <w:rStyle w:val="Hyperlink"/>
          </w:rPr>
          <w:t xml:space="preserve">https://physics.mit.edu/wp-content/uploads/2023/09/PhysicsAtMIT_2023_Engelhardt_Feature.pdf</w:t>
        </w:r>
      </w:hyperlink>
    </w:p>
    <w:p>
      <w:pPr>
        <w:pStyle w:val="BodyText"/>
      </w:pPr>
      <w:hyperlink r:id="rId57">
        <w:r>
          <w:rPr>
            <w:rStyle w:val="Hyperlink"/>
          </w:rPr>
          <w:t xml:space="preserve">[47]</w:t>
        </w:r>
      </w:hyperlink>
      <w:r>
        <w:t xml:space="preserve"> </w:t>
      </w:r>
      <w:r>
        <w:t xml:space="preserve">https://physics.yale.edu/sites/default/files/files/BlackHoleEntropyPage2021.pdf</w:t>
      </w:r>
    </w:p>
    <w:p>
      <w:pPr>
        <w:pStyle w:val="BodyText"/>
      </w:pPr>
      <w:hyperlink r:id="rId57">
        <w:r>
          <w:rPr>
            <w:rStyle w:val="Hyperlink"/>
          </w:rPr>
          <w:t xml:space="preserve">https://physics.yale.edu/sites/default/files/files/BlackHoleEntropyPage2021.pdf</w:t>
        </w:r>
      </w:hyperlink>
    </w:p>
    <w:p>
      <w:pPr>
        <w:pStyle w:val="BodyText"/>
      </w:pPr>
      <w:hyperlink r:id="rId58">
        <w:r>
          <w:rPr>
            <w:rStyle w:val="Hyperlink"/>
          </w:rPr>
          <w:t xml:space="preserve">[49]</w:t>
        </w:r>
      </w:hyperlink>
      <w:r>
        <w:t xml:space="preserve"> </w:t>
      </w:r>
      <w:hyperlink r:id="rId58">
        <w:r>
          <w:rPr>
            <w:rStyle w:val="Hyperlink"/>
          </w:rPr>
          <w:t xml:space="preserve">[64]</w:t>
        </w:r>
      </w:hyperlink>
      <w:r>
        <w:t xml:space="preserve"> </w:t>
      </w:r>
      <w:r>
        <w:t xml:space="preserve">https://thequran.love/2025/02/13/from-quantum-entanglement-to-providence-record-keeping-and-afterlife/</w:t>
      </w:r>
    </w:p>
    <w:p>
      <w:pPr>
        <w:pStyle w:val="BodyText"/>
      </w:pPr>
      <w:hyperlink r:id="rId58">
        <w:r>
          <w:rPr>
            <w:rStyle w:val="Hyperlink"/>
          </w:rPr>
          <w:t xml:space="preserve">https://thequran.love/2025/02/13/from-quantum-entanglement-to-providence-record-keeping-and-afterlife/</w:t>
        </w:r>
      </w:hyperlink>
    </w:p>
    <w:p>
      <w:pPr>
        <w:pStyle w:val="BodyText"/>
      </w:pPr>
      <w:hyperlink r:id="rId59">
        <w:r>
          <w:rPr>
            <w:rStyle w:val="Hyperlink"/>
          </w:rPr>
          <w:t xml:space="preserve">[50]</w:t>
        </w:r>
      </w:hyperlink>
      <w:r>
        <w:t xml:space="preserve"> </w:t>
      </w:r>
      <w:r>
        <w:t xml:space="preserve">https://thequran.love/2026/01/25/the-holographic-eschaton-a-unified-field-theory-of-islamic-metaphysics-and-quantum-cosmology/</w:t>
      </w:r>
    </w:p>
    <w:p>
      <w:pPr>
        <w:pStyle w:val="BodyText"/>
      </w:pPr>
      <w:hyperlink r:id="rId59">
        <w:r>
          <w:rPr>
            <w:rStyle w:val="Hyperlink"/>
          </w:rPr>
          <w:t xml:space="preserve">https://thequran.love/2026/01/25/the-holographic-eschaton-a-unified-field-theory-of-islamic-metaphysics-and-quantum-cosmology/</w:t>
        </w:r>
      </w:hyperlink>
    </w:p>
    <w:p>
      <w:pPr>
        <w:pStyle w:val="BodyText"/>
      </w:pPr>
      <w:hyperlink r:id="rId61">
        <w:r>
          <w:rPr>
            <w:rStyle w:val="Hyperlink"/>
          </w:rPr>
          <w:t xml:space="preserve">[51]</w:t>
        </w:r>
      </w:hyperlink>
      <w:r>
        <w:t xml:space="preserve"> </w:t>
      </w:r>
      <w:r>
        <w:t xml:space="preserve">https://plato.stanford.edu/entries/omniscience/</w:t>
      </w:r>
    </w:p>
    <w:p>
      <w:pPr>
        <w:pStyle w:val="BodyText"/>
      </w:pPr>
      <w:hyperlink r:id="rId61">
        <w:r>
          <w:rPr>
            <w:rStyle w:val="Hyperlink"/>
          </w:rPr>
          <w:t xml:space="preserve">https://plato.stanford.edu/entries/omniscience/</w:t>
        </w:r>
      </w:hyperlink>
    </w:p>
    <w:p>
      <w:pPr>
        <w:pStyle w:val="BodyText"/>
      </w:pPr>
      <w:hyperlink r:id="rId62">
        <w:r>
          <w:rPr>
            <w:rStyle w:val="Hyperlink"/>
          </w:rPr>
          <w:t xml:space="preserve">[53]</w:t>
        </w:r>
      </w:hyperlink>
      <w:r>
        <w:t xml:space="preserve"> </w:t>
      </w:r>
      <w:r>
        <w:t xml:space="preserve">https://plato.stanford.edu/entries/locke-personal-identity/</w:t>
      </w:r>
    </w:p>
    <w:p>
      <w:pPr>
        <w:pStyle w:val="BodyText"/>
      </w:pPr>
      <w:hyperlink r:id="rId62">
        <w:r>
          <w:rPr>
            <w:rStyle w:val="Hyperlink"/>
          </w:rPr>
          <w:t xml:space="preserve">https://plato.stanford.edu/entries/locke-personal-identity/</w:t>
        </w:r>
      </w:hyperlink>
    </w:p>
    <w:p>
      <w:pPr>
        <w:pStyle w:val="BodyText"/>
      </w:pPr>
      <w:hyperlink r:id="rId63">
        <w:r>
          <w:rPr>
            <w:rStyle w:val="Hyperlink"/>
          </w:rPr>
          <w:t xml:space="preserve">[55]</w:t>
        </w:r>
      </w:hyperlink>
      <w:r>
        <w:t xml:space="preserve"> </w:t>
      </w:r>
      <w:hyperlink r:id="rId63">
        <w:r>
          <w:rPr>
            <w:rStyle w:val="Hyperlink"/>
          </w:rPr>
          <w:t xml:space="preserve">[56]</w:t>
        </w:r>
      </w:hyperlink>
      <w:r>
        <w:t xml:space="preserve"> </w:t>
      </w:r>
      <w:r>
        <w:t xml:space="preserve">https://plato.stanford.edu/entries/free-will-foreknowledge/</w:t>
      </w:r>
    </w:p>
    <w:p>
      <w:pPr>
        <w:pStyle w:val="BodyText"/>
      </w:pPr>
      <w:hyperlink r:id="rId63">
        <w:r>
          <w:rPr>
            <w:rStyle w:val="Hyperlink"/>
          </w:rPr>
          <w:t xml:space="preserve">https://plato.stanford.edu/entries/free-will-foreknowledge/</w:t>
        </w:r>
      </w:hyperlink>
    </w:p>
    <w:bookmarkEnd w:id="6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6" Target="https://ia600501.us.archive.org/16/items/OxfordQuranTranslation/Oxford-Quran-Translation.pdf" TargetMode="External" /><Relationship Type="http://schemas.openxmlformats.org/officeDocument/2006/relationships/hyperlink" Id="rId55" Target="https://link.aps.org/doi/10.1103/PhysRevLett.98.080502" TargetMode="External" /><Relationship Type="http://schemas.openxmlformats.org/officeDocument/2006/relationships/hyperlink" Id="rId44" Target="https://myislam.org/surah-al-zalzalah/ayat-7/" TargetMode="External" /><Relationship Type="http://schemas.openxmlformats.org/officeDocument/2006/relationships/hyperlink" Id="rId45" Target="https://myislam.org/surah-al-zalzalah/ayat-8/" TargetMode="External" /><Relationship Type="http://schemas.openxmlformats.org/officeDocument/2006/relationships/hyperlink" Id="rId21" Target="https://myislam.org/surah-fussilat/ayat-19/" TargetMode="External" /><Relationship Type="http://schemas.openxmlformats.org/officeDocument/2006/relationships/hyperlink" Id="rId25" Target="https://myislam.org/surah-fussilat/ayat-20/" TargetMode="External" /><Relationship Type="http://schemas.openxmlformats.org/officeDocument/2006/relationships/hyperlink" Id="rId28" Target="https://myislam.org/surah-fussilat/ayat-21/" TargetMode="External" /><Relationship Type="http://schemas.openxmlformats.org/officeDocument/2006/relationships/hyperlink" Id="rId29" Target="https://myislam.org/surah-fussilat/ayat-22/" TargetMode="External" /><Relationship Type="http://schemas.openxmlformats.org/officeDocument/2006/relationships/hyperlink" Id="rId30" Target="https://myislam.org/surah-fussilat/ayat-23/" TargetMode="External" /><Relationship Type="http://schemas.openxmlformats.org/officeDocument/2006/relationships/hyperlink" Id="rId31" Target="https://myislam.org/surah-fussilat/ayat-24/" TargetMode="External" /><Relationship Type="http://schemas.openxmlformats.org/officeDocument/2006/relationships/hyperlink" Id="rId32" Target="https://myislam.org/surah-fussilat/ayat-40/" TargetMode="External" /><Relationship Type="http://schemas.openxmlformats.org/officeDocument/2006/relationships/hyperlink" Id="rId33" Target="https://myislam.org/surah-fussilat/ayat-53/" TargetMode="External" /><Relationship Type="http://schemas.openxmlformats.org/officeDocument/2006/relationships/hyperlink" Id="rId34" Target="https://myislam.org/surah-fussilat/ayat-54/" TargetMode="External" /><Relationship Type="http://schemas.openxmlformats.org/officeDocument/2006/relationships/hyperlink" Id="rId38" Target="https://myislam.org/surah-infitar/ayat-10/" TargetMode="External" /><Relationship Type="http://schemas.openxmlformats.org/officeDocument/2006/relationships/hyperlink" Id="rId39" Target="https://myislam.org/surah-infitar/ayat-11/" TargetMode="External" /><Relationship Type="http://schemas.openxmlformats.org/officeDocument/2006/relationships/hyperlink" Id="rId40" Target="https://myislam.org/surah-infitar/ayat-12/" TargetMode="External" /><Relationship Type="http://schemas.openxmlformats.org/officeDocument/2006/relationships/hyperlink" Id="rId23" Target="https://myislam.org/surah-kahf/ayat-49/" TargetMode="External" /><Relationship Type="http://schemas.openxmlformats.org/officeDocument/2006/relationships/hyperlink" Id="rId41" Target="https://myislam.org/surah-mujadila/ayat-6/" TargetMode="External" /><Relationship Type="http://schemas.openxmlformats.org/officeDocument/2006/relationships/hyperlink" Id="rId22" Target="https://myislam.org/surah-qaf/ayat-16/" TargetMode="External" /><Relationship Type="http://schemas.openxmlformats.org/officeDocument/2006/relationships/hyperlink" Id="rId36" Target="https://myislam.org/surah-qaf/ayat-17/" TargetMode="External" /><Relationship Type="http://schemas.openxmlformats.org/officeDocument/2006/relationships/hyperlink" Id="rId37" Target="https://myislam.org/surah-qaf/ayat-18/" TargetMode="External" /><Relationship Type="http://schemas.openxmlformats.org/officeDocument/2006/relationships/hyperlink" Id="rId42" Target="https://myislam.org/surah-qamar/ayat-52/" TargetMode="External" /><Relationship Type="http://schemas.openxmlformats.org/officeDocument/2006/relationships/hyperlink" Id="rId43" Target="https://myislam.org/surah-qamar/ayat-53/" TargetMode="External" /><Relationship Type="http://schemas.openxmlformats.org/officeDocument/2006/relationships/hyperlink" Id="rId53" Target="https://pages.jh.edu/rrynasi1/HealeySeminar/literature/Nielsen%2BChuang2010QuantumComputation%2BQuantumInformation.FirstTwoChapters.pdf" TargetMode="External" /><Relationship Type="http://schemas.openxmlformats.org/officeDocument/2006/relationships/hyperlink" Id="rId51" Target="https://people.math.harvard.edu/~ctm/home/text/others/shannon/entropy/entropy.pdf" TargetMode="External" /><Relationship Type="http://schemas.openxmlformats.org/officeDocument/2006/relationships/hyperlink" Id="rId56" Target="https://physics.mit.edu/wp-content/uploads/2023/09/PhysicsAtMIT_2023_Engelhardt_Feature.pdf" TargetMode="External" /><Relationship Type="http://schemas.openxmlformats.org/officeDocument/2006/relationships/hyperlink" Id="rId57" Target="https://physics.yale.edu/sites/default/files/files/BlackHoleEntropyPage2021.pdf" TargetMode="External" /><Relationship Type="http://schemas.openxmlformats.org/officeDocument/2006/relationships/hyperlink" Id="rId63" Target="https://plato.stanford.edu/entries/free-will-foreknowledge/" TargetMode="External" /><Relationship Type="http://schemas.openxmlformats.org/officeDocument/2006/relationships/hyperlink" Id="rId62" Target="https://plato.stanford.edu/entries/locke-personal-identity/" TargetMode="External" /><Relationship Type="http://schemas.openxmlformats.org/officeDocument/2006/relationships/hyperlink" Id="rId61" Target="https://plato.stanford.edu/entries/omniscience/" TargetMode="External" /><Relationship Type="http://schemas.openxmlformats.org/officeDocument/2006/relationships/hyperlink" Id="rId52" Target="https://pmc.ncbi.nlm.nih.gov/articles/PMC7514250/" TargetMode="External" /><Relationship Type="http://schemas.openxmlformats.org/officeDocument/2006/relationships/hyperlink" Id="rId49" Target="https://quran.com/41%3A19/tafsirs/ar-tafsir-al-tabari" TargetMode="External" /><Relationship Type="http://schemas.openxmlformats.org/officeDocument/2006/relationships/hyperlink" Id="rId48" Target="https://quran.com/en/41%3A22/tafsirs/en-tafsir-maarif-ul-quran" TargetMode="External" /><Relationship Type="http://schemas.openxmlformats.org/officeDocument/2006/relationships/hyperlink" Id="rId58" Target="https://thequran.love/2025/02/13/from-quantum-entanglement-to-providence-record-keeping-and-afterlife/" TargetMode="External" /><Relationship Type="http://schemas.openxmlformats.org/officeDocument/2006/relationships/hyperlink" Id="rId59" Target="https://thequran.love/2026/01/25/the-holographic-eschaton-a-unified-field-theory-of-islamic-metaphysics-and-quantum-cosmology/" TargetMode="External" /><Relationship Type="http://schemas.openxmlformats.org/officeDocument/2006/relationships/hyperlink" Id="rId24" Target="https://www.cpt.univ-mrs.fr/~verga/pdfs/Landauer-1991.pdf" TargetMode="External" /><Relationship Type="http://schemas.openxmlformats.org/officeDocument/2006/relationships/hyperlink" Id="rId54" Target="https://www3.nd.edu/~lent/pdf/nd/Quantum_Operator_Entropies__PRE_final.pdf" TargetMode="External" /></Relationships>
</file>

<file path=word/_rels/footnotes.xml.rels><?xml version="1.0" encoding="UTF-8"?><Relationships xmlns="http://schemas.openxmlformats.org/package/2006/relationships"><Relationship Type="http://schemas.openxmlformats.org/officeDocument/2006/relationships/hyperlink" Id="rId26" Target="https://ia600501.us.archive.org/16/items/OxfordQuranTranslation/Oxford-Quran-Translation.pdf" TargetMode="External" /><Relationship Type="http://schemas.openxmlformats.org/officeDocument/2006/relationships/hyperlink" Id="rId55" Target="https://link.aps.org/doi/10.1103/PhysRevLett.98.080502" TargetMode="External" /><Relationship Type="http://schemas.openxmlformats.org/officeDocument/2006/relationships/hyperlink" Id="rId44" Target="https://myislam.org/surah-al-zalzalah/ayat-7/" TargetMode="External" /><Relationship Type="http://schemas.openxmlformats.org/officeDocument/2006/relationships/hyperlink" Id="rId45" Target="https://myislam.org/surah-al-zalzalah/ayat-8/" TargetMode="External" /><Relationship Type="http://schemas.openxmlformats.org/officeDocument/2006/relationships/hyperlink" Id="rId21" Target="https://myislam.org/surah-fussilat/ayat-19/" TargetMode="External" /><Relationship Type="http://schemas.openxmlformats.org/officeDocument/2006/relationships/hyperlink" Id="rId25" Target="https://myislam.org/surah-fussilat/ayat-20/" TargetMode="External" /><Relationship Type="http://schemas.openxmlformats.org/officeDocument/2006/relationships/hyperlink" Id="rId28" Target="https://myislam.org/surah-fussilat/ayat-21/" TargetMode="External" /><Relationship Type="http://schemas.openxmlformats.org/officeDocument/2006/relationships/hyperlink" Id="rId29" Target="https://myislam.org/surah-fussilat/ayat-22/" TargetMode="External" /><Relationship Type="http://schemas.openxmlformats.org/officeDocument/2006/relationships/hyperlink" Id="rId30" Target="https://myislam.org/surah-fussilat/ayat-23/" TargetMode="External" /><Relationship Type="http://schemas.openxmlformats.org/officeDocument/2006/relationships/hyperlink" Id="rId31" Target="https://myislam.org/surah-fussilat/ayat-24/" TargetMode="External" /><Relationship Type="http://schemas.openxmlformats.org/officeDocument/2006/relationships/hyperlink" Id="rId32" Target="https://myislam.org/surah-fussilat/ayat-40/" TargetMode="External" /><Relationship Type="http://schemas.openxmlformats.org/officeDocument/2006/relationships/hyperlink" Id="rId33" Target="https://myislam.org/surah-fussilat/ayat-53/" TargetMode="External" /><Relationship Type="http://schemas.openxmlformats.org/officeDocument/2006/relationships/hyperlink" Id="rId34" Target="https://myislam.org/surah-fussilat/ayat-54/" TargetMode="External" /><Relationship Type="http://schemas.openxmlformats.org/officeDocument/2006/relationships/hyperlink" Id="rId38" Target="https://myislam.org/surah-infitar/ayat-10/" TargetMode="External" /><Relationship Type="http://schemas.openxmlformats.org/officeDocument/2006/relationships/hyperlink" Id="rId39" Target="https://myislam.org/surah-infitar/ayat-11/" TargetMode="External" /><Relationship Type="http://schemas.openxmlformats.org/officeDocument/2006/relationships/hyperlink" Id="rId40" Target="https://myislam.org/surah-infitar/ayat-12/" TargetMode="External" /><Relationship Type="http://schemas.openxmlformats.org/officeDocument/2006/relationships/hyperlink" Id="rId23" Target="https://myislam.org/surah-kahf/ayat-49/" TargetMode="External" /><Relationship Type="http://schemas.openxmlformats.org/officeDocument/2006/relationships/hyperlink" Id="rId41" Target="https://myislam.org/surah-mujadila/ayat-6/" TargetMode="External" /><Relationship Type="http://schemas.openxmlformats.org/officeDocument/2006/relationships/hyperlink" Id="rId22" Target="https://myislam.org/surah-qaf/ayat-16/" TargetMode="External" /><Relationship Type="http://schemas.openxmlformats.org/officeDocument/2006/relationships/hyperlink" Id="rId36" Target="https://myislam.org/surah-qaf/ayat-17/" TargetMode="External" /><Relationship Type="http://schemas.openxmlformats.org/officeDocument/2006/relationships/hyperlink" Id="rId37" Target="https://myislam.org/surah-qaf/ayat-18/" TargetMode="External" /><Relationship Type="http://schemas.openxmlformats.org/officeDocument/2006/relationships/hyperlink" Id="rId42" Target="https://myislam.org/surah-qamar/ayat-52/" TargetMode="External" /><Relationship Type="http://schemas.openxmlformats.org/officeDocument/2006/relationships/hyperlink" Id="rId43" Target="https://myislam.org/surah-qamar/ayat-53/" TargetMode="External" /><Relationship Type="http://schemas.openxmlformats.org/officeDocument/2006/relationships/hyperlink" Id="rId53" Target="https://pages.jh.edu/rrynasi1/HealeySeminar/literature/Nielsen%2BChuang2010QuantumComputation%2BQuantumInformation.FirstTwoChapters.pdf" TargetMode="External" /><Relationship Type="http://schemas.openxmlformats.org/officeDocument/2006/relationships/hyperlink" Id="rId51" Target="https://people.math.harvard.edu/~ctm/home/text/others/shannon/entropy/entropy.pdf" TargetMode="External" /><Relationship Type="http://schemas.openxmlformats.org/officeDocument/2006/relationships/hyperlink" Id="rId56" Target="https://physics.mit.edu/wp-content/uploads/2023/09/PhysicsAtMIT_2023_Engelhardt_Feature.pdf" TargetMode="External" /><Relationship Type="http://schemas.openxmlformats.org/officeDocument/2006/relationships/hyperlink" Id="rId57" Target="https://physics.yale.edu/sites/default/files/files/BlackHoleEntropyPage2021.pdf" TargetMode="External" /><Relationship Type="http://schemas.openxmlformats.org/officeDocument/2006/relationships/hyperlink" Id="rId63" Target="https://plato.stanford.edu/entries/free-will-foreknowledge/" TargetMode="External" /><Relationship Type="http://schemas.openxmlformats.org/officeDocument/2006/relationships/hyperlink" Id="rId62" Target="https://plato.stanford.edu/entries/locke-personal-identity/" TargetMode="External" /><Relationship Type="http://schemas.openxmlformats.org/officeDocument/2006/relationships/hyperlink" Id="rId61" Target="https://plato.stanford.edu/entries/omniscience/" TargetMode="External" /><Relationship Type="http://schemas.openxmlformats.org/officeDocument/2006/relationships/hyperlink" Id="rId52" Target="https://pmc.ncbi.nlm.nih.gov/articles/PMC7514250/" TargetMode="External" /><Relationship Type="http://schemas.openxmlformats.org/officeDocument/2006/relationships/hyperlink" Id="rId49" Target="https://quran.com/41%3A19/tafsirs/ar-tafsir-al-tabari" TargetMode="External" /><Relationship Type="http://schemas.openxmlformats.org/officeDocument/2006/relationships/hyperlink" Id="rId48" Target="https://quran.com/en/41%3A22/tafsirs/en-tafsir-maarif-ul-quran" TargetMode="External" /><Relationship Type="http://schemas.openxmlformats.org/officeDocument/2006/relationships/hyperlink" Id="rId58" Target="https://thequran.love/2025/02/13/from-quantum-entanglement-to-providence-record-keeping-and-afterlife/" TargetMode="External" /><Relationship Type="http://schemas.openxmlformats.org/officeDocument/2006/relationships/hyperlink" Id="rId59" Target="https://thequran.love/2026/01/25/the-holographic-eschaton-a-unified-field-theory-of-islamic-metaphysics-and-quantum-cosmology/" TargetMode="External" /><Relationship Type="http://schemas.openxmlformats.org/officeDocument/2006/relationships/hyperlink" Id="rId24" Target="https://www.cpt.univ-mrs.fr/~verga/pdfs/Landauer-1991.pdf" TargetMode="External" /><Relationship Type="http://schemas.openxmlformats.org/officeDocument/2006/relationships/hyperlink" Id="rId54" Target="https://www3.nd.edu/~lent/pdf/nd/Quantum_Operator_Entropies__PRE_final.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2026-03-13T15:42:03Z</dcterms:created>
  <dcterms:modified xsi:type="dcterms:W3CDTF">2026-03-13T15:42:03Z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