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2" w:name="content"/>
    <w:bookmarkStart w:id="61" w:name="Xb7fd7840062607e08367f05fdf808f6975068cd"/>
    <w:p>
      <w:pPr>
        <w:pStyle w:val="Heading1"/>
      </w:pPr>
      <w:r>
        <w:t xml:space="preserve">Generous Recognition Among Muslims in a Non‑Zero‑Sum Kingdom</w:t>
      </w:r>
    </w:p>
    <w:bookmarkStart w:id="26" w:name="abstract"/>
    <w:p>
      <w:pPr>
        <w:pStyle w:val="Heading2"/>
      </w:pPr>
      <w:r>
        <w:t xml:space="preserve">Abstract</w:t>
      </w:r>
    </w:p>
    <w:p>
      <w:pPr>
        <w:pStyle w:val="FirstParagraph"/>
      </w:pPr>
      <w:r>
        <w:t xml:space="preserve">Within Islam’s moral vision, honoring another believer’s gifts is not a threat to one’s own standing, because Allah’s dominion and giving are not depleted by what He grants His servants—no matter how many ask, and no matter how much He gives.</w:t>
      </w:r>
      <w:r>
        <w:t xml:space="preserve"> </w:t>
      </w:r>
      <w:hyperlink r:id="rId21">
        <w:r>
          <w:rPr>
            <w:rStyle w:val="Hyperlink"/>
          </w:rPr>
          <w:t xml:space="preserve">[1]</w:t>
        </w:r>
      </w:hyperlink>
      <w:r>
        <w:t xml:space="preserve"> </w:t>
      </w:r>
      <w:r>
        <w:t xml:space="preserve">This “non‑zero‑sum” theology reshapes community ethics: if Allah’s provision can be “without limit,” then believers have no principled need to compete over admiration, status, or spiritual legitimacy.</w:t>
      </w:r>
      <w:r>
        <w:t xml:space="preserve"> </w:t>
      </w:r>
      <w:hyperlink r:id="rId22">
        <w:r>
          <w:rPr>
            <w:rStyle w:val="Hyperlink"/>
          </w:rPr>
          <w:t xml:space="preserve">[2]</w:t>
        </w:r>
      </w:hyperlink>
    </w:p>
    <w:p>
      <w:pPr>
        <w:pStyle w:val="BodyText"/>
      </w:pPr>
      <w:r>
        <w:t xml:space="preserve">Psychologically, humans are designed to hunger for appreciation and belonging; socially, communities thrive when members feel seen, valued, and safely respected.</w:t>
      </w:r>
      <w:r>
        <w:t xml:space="preserve"> </w:t>
      </w:r>
      <w:hyperlink r:id="rId23">
        <w:r>
          <w:rPr>
            <w:rStyle w:val="Hyperlink"/>
          </w:rPr>
          <w:t xml:space="preserve">[3]</w:t>
        </w:r>
      </w:hyperlink>
      <w:r>
        <w:t xml:space="preserve"> </w:t>
      </w:r>
      <w:r>
        <w:t xml:space="preserve">Islam speaks to that human need by making gratitude to people a religious virtue and by disciplining envy, ridicule, and suspicion.</w:t>
      </w:r>
      <w:r>
        <w:t xml:space="preserve"> </w:t>
      </w:r>
      <w:hyperlink r:id="rId24">
        <w:r>
          <w:rPr>
            <w:rStyle w:val="Hyperlink"/>
          </w:rPr>
          <w:t xml:space="preserve">[4]</w:t>
        </w:r>
      </w:hyperlink>
      <w:r>
        <w:t xml:space="preserve"> </w:t>
      </w:r>
      <w:r>
        <w:t xml:space="preserve">The prophetic teaching that Paradise has eight gates—each associated with a path of righteousness, including the gate of</w:t>
      </w:r>
      <w:r>
        <w:t xml:space="preserve"> </w:t>
      </w:r>
      <w:r>
        <w:rPr>
          <w:b/>
          <w:bCs/>
        </w:rPr>
        <w:t xml:space="preserve">Ar‑Rayyan</w:t>
      </w:r>
      <w:r>
        <w:t xml:space="preserve"> </w:t>
      </w:r>
      <w:r>
        <w:t xml:space="preserve">for those who fast—provides a powerful, practical metaphor: Allah’s mercy makes room for many kinds of excellence, so believers should become generous recognizers of one another’s strengths rather than jealous competitors for a single “lane” to divine favor.</w:t>
      </w:r>
      <w:r>
        <w:t xml:space="preserve"> </w:t>
      </w:r>
      <w:hyperlink r:id="rId25">
        <w:r>
          <w:rPr>
            <w:rStyle w:val="Hyperlink"/>
          </w:rPr>
          <w:t xml:space="preserve">[5]</w:t>
        </w:r>
      </w:hyperlink>
    </w:p>
    <w:bookmarkEnd w:id="26"/>
    <w:bookmarkStart w:id="32" w:name="X9a3fa789c70690e4b32ba0830667f961bd56906"/>
    <w:p>
      <w:pPr>
        <w:pStyle w:val="Heading2"/>
      </w:pPr>
      <w:r>
        <w:t xml:space="preserve">Divine abundance and the end of spiritual zero‑sum thinking</w:t>
      </w:r>
    </w:p>
    <w:p>
      <w:pPr>
        <w:pStyle w:val="FirstParagraph"/>
      </w:pPr>
      <w:r>
        <w:t xml:space="preserve">A “zero‑sum” mindset assumes that if another person gains, you must lose. Islam directly undermines this scarcity logic at the level of creed: Allah explicitly teaches, in a hadith qudsi, that if every human and jinn were to gather and ask, and He were to grant everyone what they requested, it would not diminish what He possesses—His dominion is not reduced by generosity.</w:t>
      </w:r>
      <w:r>
        <w:t xml:space="preserve"> </w:t>
      </w:r>
      <w:hyperlink r:id="rId21">
        <w:r>
          <w:rPr>
            <w:rStyle w:val="Hyperlink"/>
          </w:rPr>
          <w:t xml:space="preserve">[1]</w:t>
        </w:r>
      </w:hyperlink>
      <w:r>
        <w:t xml:space="preserve"> </w:t>
      </w:r>
      <w:r>
        <w:t xml:space="preserve">In other words, divine giving is not like a finite human treasury; it does not run out, and it does not become “less” because someone else received “more.”</w:t>
      </w:r>
      <w:r>
        <w:t xml:space="preserve"> </w:t>
      </w:r>
      <w:hyperlink r:id="rId21">
        <w:r>
          <w:rPr>
            <w:rStyle w:val="Hyperlink"/>
          </w:rPr>
          <w:t xml:space="preserve">[1]</w:t>
        </w:r>
      </w:hyperlink>
    </w:p>
    <w:p>
      <w:pPr>
        <w:pStyle w:val="BodyText"/>
      </w:pPr>
      <w:r>
        <w:t xml:space="preserve">The Qur’an repeatedly forms an “abundance cognition” in believers: Allah “provides … without limit,” replaces what is spent in charity, and makes gratitude a cause of increase.</w:t>
      </w:r>
      <w:r>
        <w:t xml:space="preserve"> </w:t>
      </w:r>
      <w:hyperlink r:id="rId22">
        <w:r>
          <w:rPr>
            <w:rStyle w:val="Hyperlink"/>
          </w:rPr>
          <w:t xml:space="preserve">[6]</w:t>
        </w:r>
      </w:hyperlink>
      <w:r>
        <w:t xml:space="preserve"> </w:t>
      </w:r>
      <w:r>
        <w:t xml:space="preserve">Even the very structure of endurance and righteousness is framed as beyond strict measurement: the steadfast are promised reward “without limit,” and what is stored with Allah is described as enduring while worldly possessions end.</w:t>
      </w:r>
      <w:r>
        <w:t xml:space="preserve"> </w:t>
      </w:r>
      <w:hyperlink r:id="rId27">
        <w:r>
          <w:rPr>
            <w:rStyle w:val="Hyperlink"/>
          </w:rPr>
          <w:t xml:space="preserve">[7]</w:t>
        </w:r>
      </w:hyperlink>
      <w:r>
        <w:t xml:space="preserve"> </w:t>
      </w:r>
      <w:r>
        <w:t xml:space="preserve">This removes the theological rationale for envy-based competition over esteem: if Allah’s bounty is vast and His reward is not a fixed pie, then recognizing another Muslim’s virtue does not “use up” your share of divine favor.</w:t>
      </w:r>
      <w:r>
        <w:t xml:space="preserve"> </w:t>
      </w:r>
      <w:hyperlink r:id="rId27">
        <w:r>
          <w:rPr>
            <w:rStyle w:val="Hyperlink"/>
          </w:rPr>
          <w:t xml:space="preserve">[8]</w:t>
        </w:r>
      </w:hyperlink>
    </w:p>
    <w:p>
      <w:pPr>
        <w:pStyle w:val="BodyText"/>
      </w:pPr>
      <w:r>
        <w:t xml:space="preserve">The Hereafter intensifies this non‑zero‑sum logic. In the famous report about the last person admitted to Paradise, the gift is described as astonishingly expansive—ten times the like of this world—portraying Jannah not as a scarce resource but as a realm of breathtaking divine generosity.</w:t>
      </w:r>
      <w:r>
        <w:t xml:space="preserve"> </w:t>
      </w:r>
      <w:hyperlink r:id="rId28">
        <w:r>
          <w:rPr>
            <w:rStyle w:val="Hyperlink"/>
          </w:rPr>
          <w:t xml:space="preserve">[9]</w:t>
        </w:r>
      </w:hyperlink>
      <w:r>
        <w:t xml:space="preserve"> </w:t>
      </w:r>
      <w:r>
        <w:t xml:space="preserve">When one pairs that picture with the Qur’anic promise of reward “without limit,” the moral implication is clear: believers do not need to hoard praise, status, or recognition as if Heaven were a limited seating chart.</w:t>
      </w:r>
      <w:r>
        <w:t xml:space="preserve"> </w:t>
      </w:r>
      <w:hyperlink r:id="rId27">
        <w:r>
          <w:rPr>
            <w:rStyle w:val="Hyperlink"/>
          </w:rPr>
          <w:t xml:space="preserve">[10]</w:t>
        </w:r>
      </w:hyperlink>
    </w:p>
    <w:p>
      <w:pPr>
        <w:pStyle w:val="BodyText"/>
      </w:pPr>
      <w:r>
        <w:t xml:space="preserve">This creed-level abundance is meant to shape everyday social ethics. The Qur’an discourages coveting what Allah has distributed among people and instead redirects believers toward asking Allah for His bounty—an explicit spiritual correction of resentment-driven comparison.</w:t>
      </w:r>
      <w:r>
        <w:t xml:space="preserve"> </w:t>
      </w:r>
      <w:hyperlink r:id="rId29">
        <w:r>
          <w:rPr>
            <w:rStyle w:val="Hyperlink"/>
          </w:rPr>
          <w:t xml:space="preserve">[11]</w:t>
        </w:r>
      </w:hyperlink>
      <w:r>
        <w:t xml:space="preserve"> </w:t>
      </w:r>
      <w:r>
        <w:t xml:space="preserve">It also reframes “competition” itself: believers are commanded to “compete in doing good,” which can be read as striving side-by-side in virtue rather than tearing down others out of insecurity.</w:t>
      </w:r>
      <w:r>
        <w:t xml:space="preserve"> </w:t>
      </w:r>
      <w:hyperlink r:id="rId30">
        <w:r>
          <w:rPr>
            <w:rStyle w:val="Hyperlink"/>
          </w:rPr>
          <w:t xml:space="preserve">[12]</w:t>
        </w:r>
      </w:hyperlink>
      <w:r>
        <w:t xml:space="preserve"> </w:t>
      </w:r>
      <w:r>
        <w:t xml:space="preserve">And it strengthens the communal frame through cooperation in righteousness, not rivalry in ego.</w:t>
      </w:r>
      <w:r>
        <w:t xml:space="preserve"> </w:t>
      </w:r>
      <w:hyperlink r:id="rId31">
        <w:r>
          <w:rPr>
            <w:rStyle w:val="Hyperlink"/>
          </w:rPr>
          <w:t xml:space="preserve">[13]</w:t>
        </w:r>
      </w:hyperlink>
    </w:p>
    <w:bookmarkEnd w:id="32"/>
    <w:bookmarkStart w:id="41" w:name="Xc7f0e7a86a345e8f12caf4c3b88bc9ba2c06db9"/>
    <w:p>
      <w:pPr>
        <w:pStyle w:val="Heading2"/>
      </w:pPr>
      <w:r>
        <w:t xml:space="preserve">Recognizing others as an act of worship and moral discipline</w:t>
      </w:r>
    </w:p>
    <w:p>
      <w:pPr>
        <w:pStyle w:val="FirstParagraph"/>
      </w:pPr>
      <w:r>
        <w:t xml:space="preserve">In Islamic ethics, appreciation is not merely polite; it is spiritually meaningful. The Prophet’s teaching that “whoever is not grateful to people is not grateful to Allah” makes interpersonal gratitude an extension of gratitude to the Creator—recognizing others’ good is a pathway of shukr rather than a distraction from it.</w:t>
      </w:r>
      <w:r>
        <w:t xml:space="preserve"> </w:t>
      </w:r>
      <w:hyperlink r:id="rId24">
        <w:r>
          <w:rPr>
            <w:rStyle w:val="Hyperlink"/>
          </w:rPr>
          <w:t xml:space="preserve">[14]</w:t>
        </w:r>
      </w:hyperlink>
      <w:r>
        <w:t xml:space="preserve"> </w:t>
      </w:r>
      <w:r>
        <w:t xml:space="preserve">The prophetic instruction goes further: if someone cannot repay a favor materially, then praising the doer is itself counted as “thanking,” while silence is treated as ingratitude.</w:t>
      </w:r>
      <w:r>
        <w:t xml:space="preserve"> </w:t>
      </w:r>
      <w:hyperlink r:id="rId33">
        <w:r>
          <w:rPr>
            <w:rStyle w:val="Hyperlink"/>
          </w:rPr>
          <w:t xml:space="preserve">[15]</w:t>
        </w:r>
      </w:hyperlink>
      <w:r>
        <w:t xml:space="preserve"> </w:t>
      </w:r>
      <w:r>
        <w:t xml:space="preserve">In a community shaped by this ethic, recognizing one another’s qualities is not optional generosity; it is part of a religiously grounded moral economy of gratitude.</w:t>
      </w:r>
      <w:r>
        <w:t xml:space="preserve"> </w:t>
      </w:r>
      <w:hyperlink r:id="rId33">
        <w:r>
          <w:rPr>
            <w:rStyle w:val="Hyperlink"/>
          </w:rPr>
          <w:t xml:space="preserve">[16]</w:t>
        </w:r>
      </w:hyperlink>
    </w:p>
    <w:p>
      <w:pPr>
        <w:pStyle w:val="BodyText"/>
      </w:pPr>
      <w:r>
        <w:t xml:space="preserve">The Qur’an also builds social humility into the believer’s character. It forbids ridicule, defamation, and the contemptuous naming of others—explicitly warning that those mocked or diminished may be better in Allah’s sight.</w:t>
      </w:r>
      <w:r>
        <w:t xml:space="preserve"> </w:t>
      </w:r>
      <w:hyperlink r:id="rId34">
        <w:r>
          <w:rPr>
            <w:rStyle w:val="Hyperlink"/>
          </w:rPr>
          <w:t xml:space="preserve">[17]</w:t>
        </w:r>
      </w:hyperlink>
      <w:r>
        <w:t xml:space="preserve"> </w:t>
      </w:r>
      <w:r>
        <w:t xml:space="preserve">It forbids suspicion and backbiting—the subtle social poison that often accompanies envy and ego competition.</w:t>
      </w:r>
      <w:r>
        <w:t xml:space="preserve"> </w:t>
      </w:r>
      <w:hyperlink r:id="rId35">
        <w:r>
          <w:rPr>
            <w:rStyle w:val="Hyperlink"/>
          </w:rPr>
          <w:t xml:space="preserve">[18]</w:t>
        </w:r>
      </w:hyperlink>
      <w:r>
        <w:t xml:space="preserve"> </w:t>
      </w:r>
      <w:r>
        <w:t xml:space="preserve">It then enlarges the moral lens: human diversity into peoples and tribes is presented as a means “to know one another,” while true nobility is not social dominance but righteousness.</w:t>
      </w:r>
      <w:r>
        <w:t xml:space="preserve"> </w:t>
      </w:r>
      <w:hyperlink r:id="rId36">
        <w:r>
          <w:rPr>
            <w:rStyle w:val="Hyperlink"/>
          </w:rPr>
          <w:t xml:space="preserve">[19]</w:t>
        </w:r>
      </w:hyperlink>
      <w:r>
        <w:t xml:space="preserve"> </w:t>
      </w:r>
      <w:r>
        <w:t xml:space="preserve">This Qur’anic framing encourages a culture of discovery and recognition: learning each other’s gifts, virtues, and strengths becomes part of how believers “know” one another, rather than a trigger for jealousy.</w:t>
      </w:r>
      <w:r>
        <w:t xml:space="preserve"> </w:t>
      </w:r>
      <w:hyperlink r:id="rId36">
        <w:r>
          <w:rPr>
            <w:rStyle w:val="Hyperlink"/>
          </w:rPr>
          <w:t xml:space="preserve">[20]</w:t>
        </w:r>
      </w:hyperlink>
    </w:p>
    <w:p>
      <w:pPr>
        <w:pStyle w:val="BodyText"/>
      </w:pPr>
      <w:r>
        <w:t xml:space="preserve">At the communal level, the Prophet described believers as one body—when one part suffers, the whole responds.</w:t>
      </w:r>
      <w:r>
        <w:t xml:space="preserve"> </w:t>
      </w:r>
      <w:hyperlink r:id="rId37">
        <w:r>
          <w:rPr>
            <w:rStyle w:val="Hyperlink"/>
          </w:rPr>
          <w:t xml:space="preserve">[21]</w:t>
        </w:r>
      </w:hyperlink>
      <w:r>
        <w:t xml:space="preserve"> </w:t>
      </w:r>
      <w:r>
        <w:t xml:space="preserve">Such an image implies that another Muslim’s excellence is not your threat; it is your shared health. When communities become stingy with recognition, they often become generous with criticism; Islam reverses this by placing honor, mercy, and mutual care at the center of Muslim social life.</w:t>
      </w:r>
      <w:r>
        <w:t xml:space="preserve"> </w:t>
      </w:r>
      <w:hyperlink r:id="rId37">
        <w:r>
          <w:rPr>
            <w:rStyle w:val="Hyperlink"/>
          </w:rPr>
          <w:t xml:space="preserve">[22]</w:t>
        </w:r>
      </w:hyperlink>
    </w:p>
    <w:p>
      <w:pPr>
        <w:pStyle w:val="BodyText"/>
      </w:pPr>
      <w:r>
        <w:t xml:space="preserve">At the same time, Islam is not naïve about the dangers of praise. There are etiquettes (adab) to recognition so that appreciation does not become flattery, manipulation, or a spiritual trap. The Prophet warned against excessive praise in someone’s presence—describing it as spiritually harmful—and instructed that if praise is needed, it should be qualified (“I think…”), with ultimate evaluation left to Allah.</w:t>
      </w:r>
      <w:r>
        <w:t xml:space="preserve"> </w:t>
      </w:r>
      <w:hyperlink r:id="rId38">
        <w:r>
          <w:rPr>
            <w:rStyle w:val="Hyperlink"/>
          </w:rPr>
          <w:t xml:space="preserve">[23]</w:t>
        </w:r>
      </w:hyperlink>
      <w:r>
        <w:t xml:space="preserve"> </w:t>
      </w:r>
      <w:r>
        <w:t xml:space="preserve">He also warned against the culture of “undue” praise that can inflate ego or become a tool for worldly gain.</w:t>
      </w:r>
      <w:r>
        <w:t xml:space="preserve"> </w:t>
      </w:r>
      <w:hyperlink r:id="rId39">
        <w:r>
          <w:rPr>
            <w:rStyle w:val="Hyperlink"/>
          </w:rPr>
          <w:t xml:space="preserve">[24]</w:t>
        </w:r>
      </w:hyperlink>
      <w:r>
        <w:t xml:space="preserve"> </w:t>
      </w:r>
      <w:r>
        <w:t xml:space="preserve">The Qur’an reinforces this humility by telling people not to declare themselves pure; Allah knows best who is truly righteous.</w:t>
      </w:r>
      <w:r>
        <w:t xml:space="preserve"> </w:t>
      </w:r>
      <w:hyperlink r:id="rId40">
        <w:r>
          <w:rPr>
            <w:rStyle w:val="Hyperlink"/>
          </w:rPr>
          <w:t xml:space="preserve">[25]</w:t>
        </w:r>
      </w:hyperlink>
      <w:r>
        <w:t xml:space="preserve"> </w:t>
      </w:r>
      <w:r>
        <w:t xml:space="preserve">Together, these teachings do not abolish recognition—they refine it: praise should be truthful, measured, and oriented toward gratitude and encouragement, not toward building an idol of the human ego.</w:t>
      </w:r>
      <w:r>
        <w:t xml:space="preserve"> </w:t>
      </w:r>
      <w:hyperlink r:id="rId38">
        <w:r>
          <w:rPr>
            <w:rStyle w:val="Hyperlink"/>
          </w:rPr>
          <w:t xml:space="preserve">[26]</w:t>
        </w:r>
      </w:hyperlink>
    </w:p>
    <w:bookmarkEnd w:id="41"/>
    <w:bookmarkStart w:id="50" w:name="Xd597368bea5bd3e09ce409d524b6a01888a676c"/>
    <w:p>
      <w:pPr>
        <w:pStyle w:val="Heading2"/>
      </w:pPr>
      <w:r>
        <w:t xml:space="preserve">The psychology of appreciation and why recognition reduces envy</w:t>
      </w:r>
    </w:p>
    <w:p>
      <w:pPr>
        <w:pStyle w:val="FirstParagraph"/>
      </w:pPr>
      <w:r>
        <w:t xml:space="preserve">Human beings do not only need food and safety; they need relational security and a sense of being valued. In their influential review, Roy Baumeister</w:t>
      </w:r>
      <w:hyperlink r:id="rId22">
        <w:r>
          <w:rPr>
            <w:rStyle w:val="Hyperlink"/>
          </w:rPr>
          <w:t xml:space="preserve">[27]</w:t>
        </w:r>
      </w:hyperlink>
      <w:r>
        <w:t xml:space="preserve"> </w:t>
      </w:r>
      <w:r>
        <w:t xml:space="preserve">and Mark Leary</w:t>
      </w:r>
      <w:hyperlink r:id="rId34">
        <w:r>
          <w:rPr>
            <w:rStyle w:val="Hyperlink"/>
          </w:rPr>
          <w:t xml:space="preserve">[28]</w:t>
        </w:r>
      </w:hyperlink>
      <w:r>
        <w:t xml:space="preserve"> </w:t>
      </w:r>
      <w:r>
        <w:t xml:space="preserve">argued that the “need to belong” is a fundamental human motivation, shaping emotion, cognition, and behavior through the drive for stable, positive relationships.</w:t>
      </w:r>
      <w:r>
        <w:t xml:space="preserve"> </w:t>
      </w:r>
      <w:hyperlink r:id="rId23">
        <w:r>
          <w:rPr>
            <w:rStyle w:val="Hyperlink"/>
          </w:rPr>
          <w:t xml:space="preserve">[29]</w:t>
        </w:r>
      </w:hyperlink>
      <w:r>
        <w:t xml:space="preserve"> </w:t>
      </w:r>
      <w:r>
        <w:t xml:space="preserve">Recognition is one of the most direct signals that one belongs: being noticed and appreciated communicates “you matter here,” which reduces social threat and defensiveness.</w:t>
      </w:r>
      <w:r>
        <w:t xml:space="preserve"> </w:t>
      </w:r>
      <w:hyperlink r:id="rId23">
        <w:r>
          <w:rPr>
            <w:rStyle w:val="Hyperlink"/>
          </w:rPr>
          <w:t xml:space="preserve">[30]</w:t>
        </w:r>
      </w:hyperlink>
    </w:p>
    <w:p>
      <w:pPr>
        <w:pStyle w:val="BodyText"/>
      </w:pPr>
      <w:r>
        <w:t xml:space="preserve">Similarly, Abraham Maslow</w:t>
      </w:r>
      <w:hyperlink r:id="rId22">
        <w:r>
          <w:rPr>
            <w:rStyle w:val="Hyperlink"/>
          </w:rPr>
          <w:t xml:space="preserve">[31]</w:t>
        </w:r>
      </w:hyperlink>
      <w:r>
        <w:t xml:space="preserve"> </w:t>
      </w:r>
      <w:r>
        <w:t xml:space="preserve">placed “esteem” needs—respect, competence, and recognition—among the central motivators of human life.</w:t>
      </w:r>
      <w:r>
        <w:t xml:space="preserve"> </w:t>
      </w:r>
      <w:hyperlink r:id="rId42">
        <w:r>
          <w:rPr>
            <w:rStyle w:val="Hyperlink"/>
          </w:rPr>
          <w:t xml:space="preserve">[32]</w:t>
        </w:r>
      </w:hyperlink>
      <w:r>
        <w:t xml:space="preserve"> </w:t>
      </w:r>
      <w:r>
        <w:t xml:space="preserve">While Maslow’s hierarchy is often simplified in popular culture, the core insight remains useful: people naturally seek acknowledgment that their efforts and capacities are meaningful.</w:t>
      </w:r>
      <w:r>
        <w:t xml:space="preserve"> </w:t>
      </w:r>
      <w:hyperlink r:id="rId42">
        <w:r>
          <w:rPr>
            <w:rStyle w:val="Hyperlink"/>
          </w:rPr>
          <w:t xml:space="preserve">[32]</w:t>
        </w:r>
      </w:hyperlink>
      <w:r>
        <w:t xml:space="preserve"> </w:t>
      </w:r>
      <w:r>
        <w:t xml:space="preserve">When communities withhold recognition, individuals often compensate through unhealthy attention-seeking, resentment, or status competition; when communities practice sincere appreciation, they tend to produce emotional stability and prosocial behavior.</w:t>
      </w:r>
      <w:r>
        <w:t xml:space="preserve"> </w:t>
      </w:r>
      <w:hyperlink r:id="rId23">
        <w:r>
          <w:rPr>
            <w:rStyle w:val="Hyperlink"/>
          </w:rPr>
          <w:t xml:space="preserve">[33]</w:t>
        </w:r>
      </w:hyperlink>
    </w:p>
    <w:p>
      <w:pPr>
        <w:pStyle w:val="BodyText"/>
      </w:pPr>
      <w:r>
        <w:t xml:space="preserve">Modern motivation science explains why appreciation is so powerful. In Self‑Determination Theory, Richard M. Ryan</w:t>
      </w:r>
      <w:hyperlink r:id="rId21">
        <w:r>
          <w:rPr>
            <w:rStyle w:val="Hyperlink"/>
          </w:rPr>
          <w:t xml:space="preserve">[34]</w:t>
        </w:r>
      </w:hyperlink>
      <w:r>
        <w:t xml:space="preserve"> </w:t>
      </w:r>
      <w:r>
        <w:t xml:space="preserve">and Edward L. Deci</w:t>
      </w:r>
      <w:hyperlink r:id="rId25">
        <w:r>
          <w:rPr>
            <w:rStyle w:val="Hyperlink"/>
          </w:rPr>
          <w:t xml:space="preserve">[35]</w:t>
        </w:r>
      </w:hyperlink>
      <w:r>
        <w:t xml:space="preserve"> </w:t>
      </w:r>
      <w:r>
        <w:t xml:space="preserve">propose three basic psychological needs—competence, autonomy, and relatedness—whose satisfaction supports intrinsic motivation and well‑being.</w:t>
      </w:r>
      <w:r>
        <w:t xml:space="preserve"> </w:t>
      </w:r>
      <w:hyperlink r:id="rId43">
        <w:r>
          <w:rPr>
            <w:rStyle w:val="Hyperlink"/>
          </w:rPr>
          <w:t xml:space="preserve">[36]</w:t>
        </w:r>
      </w:hyperlink>
      <w:r>
        <w:t xml:space="preserve"> </w:t>
      </w:r>
      <w:r>
        <w:t xml:space="preserve">Thoughtful recognition often touches two of these immediately: it affirms competence (“your good work is real”) and strengthens relatedness (“your contribution is valued by others”).</w:t>
      </w:r>
      <w:r>
        <w:t xml:space="preserve"> </w:t>
      </w:r>
      <w:hyperlink r:id="rId43">
        <w:r>
          <w:rPr>
            <w:rStyle w:val="Hyperlink"/>
          </w:rPr>
          <w:t xml:space="preserve">[37]</w:t>
        </w:r>
      </w:hyperlink>
      <w:r>
        <w:t xml:space="preserve"> </w:t>
      </w:r>
      <w:r>
        <w:t xml:space="preserve">Gratitude research also shows that a deliberate focus on blessings and appreciation can increase well‑being; experimental work on “counting blessings” finds measurable improvements in positive affect and aspects of interpersonal functioning.</w:t>
      </w:r>
      <w:r>
        <w:t xml:space="preserve"> </w:t>
      </w:r>
      <w:hyperlink r:id="rId44">
        <w:r>
          <w:rPr>
            <w:rStyle w:val="Hyperlink"/>
          </w:rPr>
          <w:t xml:space="preserve">[38]</w:t>
        </w:r>
      </w:hyperlink>
      <w:r>
        <w:t xml:space="preserve"> </w:t>
      </w:r>
      <w:r>
        <w:t xml:space="preserve">Reviews of the gratitude literature similarly describe gratitude as associated with enhanced well‑being.</w:t>
      </w:r>
      <w:r>
        <w:t xml:space="preserve"> </w:t>
      </w:r>
      <w:hyperlink r:id="rId45">
        <w:r>
          <w:rPr>
            <w:rStyle w:val="Hyperlink"/>
          </w:rPr>
          <w:t xml:space="preserve">[39]</w:t>
        </w:r>
      </w:hyperlink>
    </w:p>
    <w:p>
      <w:pPr>
        <w:pStyle w:val="BodyText"/>
      </w:pPr>
      <w:r>
        <w:t xml:space="preserve">Why does recognition matter so much for envy? Because envy is often a social-comparison emotion. Leon Festinger</w:t>
      </w:r>
      <w:hyperlink r:id="rId42">
        <w:r>
          <w:rPr>
            <w:rStyle w:val="Hyperlink"/>
          </w:rPr>
          <w:t xml:space="preserve">[40]</w:t>
        </w:r>
      </w:hyperlink>
      <w:r>
        <w:t xml:space="preserve"> </w:t>
      </w:r>
      <w:r>
        <w:t xml:space="preserve">theorized that humans have a drive to evaluate themselves, frequently by comparing with others—especially when objective criteria are unclear.</w:t>
      </w:r>
      <w:r>
        <w:t xml:space="preserve"> </w:t>
      </w:r>
      <w:hyperlink r:id="rId46">
        <w:r>
          <w:rPr>
            <w:rStyle w:val="Hyperlink"/>
          </w:rPr>
          <w:t xml:space="preserve">[41]</w:t>
        </w:r>
      </w:hyperlink>
      <w:r>
        <w:t xml:space="preserve"> </w:t>
      </w:r>
      <w:r>
        <w:t xml:space="preserve">When this comparison process is filtered through scarcity beliefs, it can become corrosive: another person’s success feels like an accusation against you. Empirical psychology has a term for this error: “zero‑sum bias,” the tendency to perceive competition even where resources or outcomes are not inherently zero‑sum.</w:t>
      </w:r>
      <w:r>
        <w:t xml:space="preserve"> </w:t>
      </w:r>
      <w:hyperlink r:id="rId47">
        <w:r>
          <w:rPr>
            <w:rStyle w:val="Hyperlink"/>
          </w:rPr>
          <w:t xml:space="preserve">[42]</w:t>
        </w:r>
      </w:hyperlink>
      <w:r>
        <w:t xml:space="preserve"> </w:t>
      </w:r>
      <w:r>
        <w:t xml:space="preserve">Religion does not remove social comparison from human nature, but it can reframe it—transforming a competitive comparison into a motivational aspiration, and transforming envy into constructive “emulation” rather than destructive resentment.</w:t>
      </w:r>
      <w:r>
        <w:t xml:space="preserve"> </w:t>
      </w:r>
      <w:hyperlink r:id="rId30">
        <w:r>
          <w:rPr>
            <w:rStyle w:val="Hyperlink"/>
          </w:rPr>
          <w:t xml:space="preserve">[43]</w:t>
        </w:r>
      </w:hyperlink>
    </w:p>
    <w:p>
      <w:pPr>
        <w:pStyle w:val="BodyText"/>
      </w:pPr>
      <w:r>
        <w:t xml:space="preserve">In fact, research suggests gratitude can change the quality of envy. One study reported that gratitude predicted lower malicious envy and higher benign envy (the kind that motivates self-improvement rather than sabotage), with social support mediating part of this relationship.</w:t>
      </w:r>
      <w:r>
        <w:t xml:space="preserve"> </w:t>
      </w:r>
      <w:hyperlink r:id="rId48">
        <w:r>
          <w:rPr>
            <w:rStyle w:val="Hyperlink"/>
          </w:rPr>
          <w:t xml:space="preserve">[44]</w:t>
        </w:r>
      </w:hyperlink>
      <w:r>
        <w:t xml:space="preserve"> </w:t>
      </w:r>
      <w:r>
        <w:t xml:space="preserve">This aligns strikingly with the Islamic distinction between corrosive envy (hasad) and permissible “envy” in the sense of aspiring to match someone’s خير without wishing its removal—captured in the hadith that “envy” is only in two cases: someone given wealth and spending it rightly, and someone given wisdom and teaching/judging by it.</w:t>
      </w:r>
      <w:r>
        <w:t xml:space="preserve"> </w:t>
      </w:r>
      <w:hyperlink r:id="rId49">
        <w:r>
          <w:rPr>
            <w:rStyle w:val="Hyperlink"/>
          </w:rPr>
          <w:t xml:space="preserve">[45]</w:t>
        </w:r>
      </w:hyperlink>
      <w:r>
        <w:t xml:space="preserve"> </w:t>
      </w:r>
      <w:r>
        <w:t xml:space="preserve">When Muslims recognize each other’s virtues generously, they are not merely being kind; they are actively reshaping the psychological ecology of the community—making it easier for believers to experience admiration without resentment, aspiration without hostility, and competition in good without rivalry in ego.</w:t>
      </w:r>
      <w:r>
        <w:t xml:space="preserve"> </w:t>
      </w:r>
      <w:hyperlink r:id="rId30">
        <w:r>
          <w:rPr>
            <w:rStyle w:val="Hyperlink"/>
          </w:rPr>
          <w:t xml:space="preserve">[46]</w:t>
        </w:r>
      </w:hyperlink>
    </w:p>
    <w:bookmarkEnd w:id="50"/>
    <w:bookmarkStart w:id="58" w:name="X5b035fb5a1889f06ab126be5feba79b4d0c2f69"/>
    <w:p>
      <w:pPr>
        <w:pStyle w:val="Heading2"/>
      </w:pPr>
      <w:r>
        <w:t xml:space="preserve">The eight gates of Jannah and what they teach about diverse excellence</w:t>
      </w:r>
    </w:p>
    <w:p>
      <w:pPr>
        <w:pStyle w:val="FirstParagraph"/>
      </w:pPr>
      <w:r>
        <w:t xml:space="preserve">The hadith corpus affirms that Paradise has eight gates, and it explicitly names at least one of them: Ar‑Rayyan. In one concise narration, “Paradise has eight gates, and one of them is called Ar‑Rayyan,” connected to those who fast.</w:t>
      </w:r>
      <w:r>
        <w:t xml:space="preserve"> </w:t>
      </w:r>
      <w:hyperlink r:id="rId25">
        <w:r>
          <w:rPr>
            <w:rStyle w:val="Hyperlink"/>
          </w:rPr>
          <w:t xml:space="preserve">[47]</w:t>
        </w:r>
      </w:hyperlink>
      <w:r>
        <w:t xml:space="preserve"> </w:t>
      </w:r>
      <w:r>
        <w:t xml:space="preserve">In the fuller version, those who fast enter through it, it is announced for them, and it is then closed—highlighting both honor and exclusivity for a category of worshippers.</w:t>
      </w:r>
      <w:r>
        <w:t xml:space="preserve"> </w:t>
      </w:r>
      <w:hyperlink r:id="rId51">
        <w:r>
          <w:rPr>
            <w:rStyle w:val="Hyperlink"/>
          </w:rPr>
          <w:t xml:space="preserve">[48]</w:t>
        </w:r>
      </w:hyperlink>
    </w:p>
    <w:p>
      <w:pPr>
        <w:pStyle w:val="BodyText"/>
      </w:pPr>
      <w:r>
        <w:t xml:space="preserve">Among commentators, Ar‑Rayyan is commonly linked to the meaning of being “quenched” or “well‑watered,” an especially fitting honor for those who endured thirst while fasting.</w:t>
      </w:r>
      <w:r>
        <w:t xml:space="preserve"> </w:t>
      </w:r>
      <w:hyperlink r:id="rId52">
        <w:r>
          <w:rPr>
            <w:rStyle w:val="Hyperlink"/>
          </w:rPr>
          <w:t xml:space="preserve">[49]</w:t>
        </w:r>
      </w:hyperlink>
      <w:r>
        <w:t xml:space="preserve"> </w:t>
      </w:r>
      <w:r>
        <w:t xml:space="preserve">The spiritual logic here is not merely poetic; it reflects a pattern in Islamic teaching: worldly restraint for Allah is answered with an otherworldly fulfillment that matches the sacrifice.</w:t>
      </w:r>
      <w:r>
        <w:t xml:space="preserve"> </w:t>
      </w:r>
      <w:hyperlink r:id="rId53">
        <w:r>
          <w:rPr>
            <w:rStyle w:val="Hyperlink"/>
          </w:rPr>
          <w:t xml:space="preserve">[50]</w:t>
        </w:r>
      </w:hyperlink>
    </w:p>
    <w:p>
      <w:pPr>
        <w:pStyle w:val="BodyText"/>
      </w:pPr>
      <w:r>
        <w:t xml:space="preserve">The gates themselves are presented not only as architecture of the unseen, but as moral pedagogy. In the famous narration about being called to enter from different gates, the Prophet describes people of prayer being called from the gate of prayer, those of jihad from the gate of jihad, those of fasting from the gate of Ar‑Rayyan, and those of charity from the gate of charity.</w:t>
      </w:r>
      <w:r>
        <w:t xml:space="preserve"> </w:t>
      </w:r>
      <w:hyperlink r:id="rId54">
        <w:r>
          <w:rPr>
            <w:rStyle w:val="Hyperlink"/>
          </w:rPr>
          <w:t xml:space="preserve">[51]</w:t>
        </w:r>
      </w:hyperlink>
      <w:r>
        <w:t xml:space="preserve"> </w:t>
      </w:r>
      <w:r>
        <w:t xml:space="preserve">This is a crucial corrective to narrow religious status games. If Allah honors multiple “primary deeds,” then a believer should expect excellence to appear in different forms across the ummah: one Muslim’s greatest strength may be prayer, another’s charity, another’s fasting, another’s sacrifice and struggle.</w:t>
      </w:r>
      <w:r>
        <w:t xml:space="preserve"> </w:t>
      </w:r>
      <w:hyperlink r:id="rId54">
        <w:r>
          <w:rPr>
            <w:rStyle w:val="Hyperlink"/>
          </w:rPr>
          <w:t xml:space="preserve">[52]</w:t>
        </w:r>
      </w:hyperlink>
    </w:p>
    <w:p>
      <w:pPr>
        <w:pStyle w:val="BodyText"/>
      </w:pPr>
      <w:r>
        <w:t xml:space="preserve">It is in that context that Abu Bakr’s question becomes ethically luminous: can anyone be called from all the gates? The Prophet affirmed it, and expressed hope that Abu Bakr would be among them.</w:t>
      </w:r>
      <w:r>
        <w:t xml:space="preserve"> </w:t>
      </w:r>
      <w:hyperlink r:id="rId54">
        <w:r>
          <w:rPr>
            <w:rStyle w:val="Hyperlink"/>
          </w:rPr>
          <w:t xml:space="preserve">[53]</w:t>
        </w:r>
      </w:hyperlink>
      <w:r>
        <w:t xml:space="preserve"> </w:t>
      </w:r>
      <w:r>
        <w:t xml:space="preserve">This does two things simultaneously: it establishes an aspirational ideal (comprehensiveness in righteousness), while also dignifying specialization (being “of the people” of a particular virtue).</w:t>
      </w:r>
      <w:r>
        <w:t xml:space="preserve"> </w:t>
      </w:r>
      <w:hyperlink r:id="rId54">
        <w:r>
          <w:rPr>
            <w:rStyle w:val="Hyperlink"/>
          </w:rPr>
          <w:t xml:space="preserve">[51]</w:t>
        </w:r>
      </w:hyperlink>
      <w:r>
        <w:t xml:space="preserve"> </w:t>
      </w:r>
      <w:r>
        <w:t xml:space="preserve">A community that internalizes this will naturally become more generous in recognizing others’ strengths—because another Muslim’s excellence is evidence of Allah opening a gate, not evidence that your gate has been shut.</w:t>
      </w:r>
      <w:r>
        <w:t xml:space="preserve"> </w:t>
      </w:r>
      <w:hyperlink r:id="rId21">
        <w:r>
          <w:rPr>
            <w:rStyle w:val="Hyperlink"/>
          </w:rPr>
          <w:t xml:space="preserve">[54]</w:t>
        </w:r>
      </w:hyperlink>
    </w:p>
    <w:p>
      <w:pPr>
        <w:pStyle w:val="BodyText"/>
      </w:pPr>
      <w:r>
        <w:t xml:space="preserve">Classical and later scholarly commentary also helps reconcile a common misunderstanding: the hadith about “being called” from gates does not necessarily mean a person literally enters eight times. Scholarly explanations (reported in later discussions of hadith commentaries) describe the call as a form of honor and acknowledgment; the person’s actual entry is understood as through one gate, often associated with the deed most characteristic of them, while the multiple calls represent public recognition of their broad righteousness.</w:t>
      </w:r>
      <w:r>
        <w:t xml:space="preserve"> </w:t>
      </w:r>
      <w:hyperlink r:id="rId55">
        <w:r>
          <w:rPr>
            <w:rStyle w:val="Hyperlink"/>
          </w:rPr>
          <w:t xml:space="preserve">[55]</w:t>
        </w:r>
      </w:hyperlink>
      <w:r>
        <w:t xml:space="preserve"> </w:t>
      </w:r>
      <w:r>
        <w:t xml:space="preserve">This reading preserves the spiritual meaning of the narration: Allah’s recognition is expansive, not artificially scarce; honor is not a limited commodity.</w:t>
      </w:r>
      <w:r>
        <w:t xml:space="preserve"> </w:t>
      </w:r>
      <w:hyperlink r:id="rId55">
        <w:r>
          <w:rPr>
            <w:rStyle w:val="Hyperlink"/>
          </w:rPr>
          <w:t xml:space="preserve">[56]</w:t>
        </w:r>
      </w:hyperlink>
    </w:p>
    <w:p>
      <w:pPr>
        <w:pStyle w:val="BodyText"/>
      </w:pPr>
      <w:r>
        <w:t xml:space="preserve">The hadith about wudu intensifies this “open gates” symbolism. In Sahih Muslim, whoever performs ablution well and then testifies to the oneness of Allah and the messengership of Muhammad is promised that the eight gates of Paradise will be opened for them, and they may enter by whichever they wish.</w:t>
      </w:r>
      <w:r>
        <w:t xml:space="preserve"> </w:t>
      </w:r>
      <w:hyperlink r:id="rId56">
        <w:r>
          <w:rPr>
            <w:rStyle w:val="Hyperlink"/>
          </w:rPr>
          <w:t xml:space="preserve">[57]</w:t>
        </w:r>
      </w:hyperlink>
      <w:r>
        <w:t xml:space="preserve"> </w:t>
      </w:r>
      <w:r>
        <w:t xml:space="preserve">Scholars have again read this as signaling honor and facilitation rather than implying a literal multiple entry, harmonizing it with the “called from gates” narration.</w:t>
      </w:r>
      <w:r>
        <w:t xml:space="preserve"> </w:t>
      </w:r>
      <w:hyperlink r:id="rId55">
        <w:r>
          <w:rPr>
            <w:rStyle w:val="Hyperlink"/>
          </w:rPr>
          <w:t xml:space="preserve">[58]</w:t>
        </w:r>
      </w:hyperlink>
      <w:r>
        <w:t xml:space="preserve"> </w:t>
      </w:r>
      <w:r>
        <w:t xml:space="preserve">Theologically, this is striking: a single act of careful purification joined to sincere testimony is described with an image of all gates opening—suggesting that Allah’s mercy, when met with sincere devotion, offers breadth rather than scarcity.</w:t>
      </w:r>
      <w:r>
        <w:t xml:space="preserve"> </w:t>
      </w:r>
      <w:hyperlink r:id="rId56">
        <w:r>
          <w:rPr>
            <w:rStyle w:val="Hyperlink"/>
          </w:rPr>
          <w:t xml:space="preserve">[59]</w:t>
        </w:r>
      </w:hyperlink>
    </w:p>
    <w:p>
      <w:pPr>
        <w:pStyle w:val="BodyText"/>
      </w:pPr>
      <w:r>
        <w:t xml:space="preserve">The question of the names of all eight gates deserves careful scholarly humility. The most rigorously established narrations explicitly identify four gate‑names tied to major deeds (prayer, jihad, charity, and Ar‑Rayyan for fasting).</w:t>
      </w:r>
      <w:r>
        <w:t xml:space="preserve"> </w:t>
      </w:r>
      <w:hyperlink r:id="rId54">
        <w:r>
          <w:rPr>
            <w:rStyle w:val="Hyperlink"/>
          </w:rPr>
          <w:t xml:space="preserve">[60]</w:t>
        </w:r>
      </w:hyperlink>
      <w:r>
        <w:t xml:space="preserve"> </w:t>
      </w:r>
      <w:r>
        <w:t xml:space="preserve">Other names are mentioned in some scholarly discussions and reports, but scholars of hadith have not uniformly agreed on them; some discussions include names like “al‑Ayman” and other descriptive titles (such as a gate connected to forgiving and restraining anger), and some are supported by weaker (e.g., mursal) reports or inferred indications.</w:t>
      </w:r>
      <w:r>
        <w:t xml:space="preserve"> </w:t>
      </w:r>
      <w:hyperlink r:id="rId57">
        <w:r>
          <w:rPr>
            <w:rStyle w:val="Hyperlink"/>
          </w:rPr>
          <w:t xml:space="preserve">[61]</w:t>
        </w:r>
      </w:hyperlink>
      <w:r>
        <w:t xml:space="preserve"> </w:t>
      </w:r>
      <w:r>
        <w:t xml:space="preserve">This is important for the essay’s moral purpose: regardless of the exact naming of the remaining gates, the authenticated core still communicates that Allah honors multiple routes of righteousness and publicly recognizes distinct kinds of excellence.</w:t>
      </w:r>
      <w:r>
        <w:t xml:space="preserve"> </w:t>
      </w:r>
      <w:hyperlink r:id="rId54">
        <w:r>
          <w:rPr>
            <w:rStyle w:val="Hyperlink"/>
          </w:rPr>
          <w:t xml:space="preserve">[62]</w:t>
        </w:r>
      </w:hyperlink>
    </w:p>
    <w:p>
      <w:pPr>
        <w:pStyle w:val="BodyText"/>
      </w:pPr>
      <w:r>
        <w:t xml:space="preserve">Seen through this lens, the “eight gates” teaching becomes a direct spiritual argument for generous recognition: if Allah Himself dignifies different kinds of worshippers with distinct gates, then believers should resist the impulse to flatten virtue into a single status hierarchy. The gate imagery invites Muslims to say, in effect: “Your path is a gate; my path is a gate; Allah’s mercy is wide enough for both—and it does not shrink when I celebrate you.”</w:t>
      </w:r>
      <w:r>
        <w:t xml:space="preserve"> </w:t>
      </w:r>
      <w:hyperlink r:id="rId21">
        <w:r>
          <w:rPr>
            <w:rStyle w:val="Hyperlink"/>
          </w:rPr>
          <w:t xml:space="preserve">[63]</w:t>
        </w:r>
      </w:hyperlink>
    </w:p>
    <w:bookmarkEnd w:id="58"/>
    <w:bookmarkStart w:id="60" w:name="epilogue"/>
    <w:p>
      <w:pPr>
        <w:pStyle w:val="Heading2"/>
      </w:pPr>
      <w:r>
        <w:t xml:space="preserve">Epilogue</w:t>
      </w:r>
    </w:p>
    <w:p>
      <w:pPr>
        <w:pStyle w:val="FirstParagraph"/>
      </w:pPr>
      <w:r>
        <w:t xml:space="preserve">The ummah becomes spiritually poor when it thinks in the currency of scarcity: scarcity of praise, scarcity of belonging, scarcity of “religious legitimacy,” scarcity of Allah’s favor. But Allah teaches the opposite at the foundation of faith—His dominion is not diminished by giving, and His provision and reward are described in terms that break human zero‑sum assumptions.</w:t>
      </w:r>
      <w:r>
        <w:t xml:space="preserve"> </w:t>
      </w:r>
      <w:hyperlink r:id="rId21">
        <w:r>
          <w:rPr>
            <w:rStyle w:val="Hyperlink"/>
          </w:rPr>
          <w:t xml:space="preserve">[64]</w:t>
        </w:r>
      </w:hyperlink>
    </w:p>
    <w:p>
      <w:pPr>
        <w:pStyle w:val="BodyText"/>
      </w:pPr>
      <w:r>
        <w:t xml:space="preserve">A community that believes in this abundance should sound like it: generous with acknowledgment, spacious in its celebration of different virtues, and disciplined in guarding hearts from ridicule, suspicion, and envy.</w:t>
      </w:r>
      <w:r>
        <w:t xml:space="preserve"> </w:t>
      </w:r>
      <w:hyperlink r:id="rId34">
        <w:r>
          <w:rPr>
            <w:rStyle w:val="Hyperlink"/>
          </w:rPr>
          <w:t xml:space="preserve">[65]</w:t>
        </w:r>
      </w:hyperlink>
      <w:r>
        <w:t xml:space="preserve"> </w:t>
      </w:r>
      <w:r>
        <w:t xml:space="preserve">It should also be psychologically wise: because humans crave esteem and belonging, a faith‑shaped culture of sincere appreciation protects people from corrosive comparison and helps them aspire without hatred.</w:t>
      </w:r>
      <w:r>
        <w:t xml:space="preserve"> </w:t>
      </w:r>
      <w:hyperlink r:id="rId23">
        <w:r>
          <w:rPr>
            <w:rStyle w:val="Hyperlink"/>
          </w:rPr>
          <w:t xml:space="preserve">[66]</w:t>
        </w:r>
      </w:hyperlink>
    </w:p>
    <w:p>
      <w:pPr>
        <w:pStyle w:val="BodyText"/>
      </w:pPr>
      <w:r>
        <w:t xml:space="preserve">The eight gates of Jannah offer a final, quiet correction to sectarian ego and personal rivalry: Allah’s mercy does not funnel believers through one cramped entrance where they must push others aside. It opens gates—plural—and calls people by the best of what they practiced: prayer, charity, fasting, sacrifice, and more.</w:t>
      </w:r>
      <w:r>
        <w:t xml:space="preserve"> </w:t>
      </w:r>
      <w:hyperlink r:id="rId25">
        <w:r>
          <w:rPr>
            <w:rStyle w:val="Hyperlink"/>
          </w:rPr>
          <w:t xml:space="preserve">[67]</w:t>
        </w:r>
      </w:hyperlink>
      <w:r>
        <w:t xml:space="preserve"> </w:t>
      </w:r>
      <w:r>
        <w:t xml:space="preserve">In that world, generosity in recognizing each other is not merely good manners. It is living, here and now, as if we truly believe what we recite: that Allah is the Best Provider, that His bounty is vast, and that His Kingdom is not a zero‑sum game.</w:t>
      </w:r>
      <w:r>
        <w:t xml:space="preserve"> </w:t>
      </w:r>
      <w:hyperlink r:id="rId59">
        <w:r>
          <w:rPr>
            <w:rStyle w:val="Hyperlink"/>
          </w:rPr>
          <w:t xml:space="preserve">[68]</w:t>
        </w:r>
      </w:hyperlink>
    </w:p>
    <w:bookmarkEnd w:id="60"/>
    <w:bookmarkEnd w:id="61"/>
    <w:bookmarkEnd w:id="62"/>
    <w:p>
      <w:r>
        <w:pict>
          <v:rect style="width:0;height:1.5pt" o:hralign="center" o:hrstd="t" o:hr="t"/>
        </w:pict>
      </w:r>
    </w:p>
    <w:bookmarkStart w:id="63" w:name="citations"/>
    <w:p>
      <w:pPr>
        <w:pStyle w:val="FirstParagraph"/>
      </w:pPr>
      <w:hyperlink r:id="rId21">
        <w:r>
          <w:rPr>
            <w:rStyle w:val="Hyperlink"/>
          </w:rPr>
          <w:t xml:space="preserve">[1]</w:t>
        </w:r>
      </w:hyperlink>
      <w:r>
        <w:t xml:space="preserve"> </w:t>
      </w:r>
      <w:hyperlink r:id="rId21">
        <w:r>
          <w:rPr>
            <w:rStyle w:val="Hyperlink"/>
          </w:rPr>
          <w:t xml:space="preserve">[34]</w:t>
        </w:r>
      </w:hyperlink>
      <w:r>
        <w:t xml:space="preserve"> </w:t>
      </w:r>
      <w:hyperlink r:id="rId21">
        <w:r>
          <w:rPr>
            <w:rStyle w:val="Hyperlink"/>
          </w:rPr>
          <w:t xml:space="preserve">[54]</w:t>
        </w:r>
      </w:hyperlink>
      <w:r>
        <w:t xml:space="preserve"> </w:t>
      </w:r>
      <w:hyperlink r:id="rId21">
        <w:r>
          <w:rPr>
            <w:rStyle w:val="Hyperlink"/>
          </w:rPr>
          <w:t xml:space="preserve">[63]</w:t>
        </w:r>
      </w:hyperlink>
      <w:r>
        <w:t xml:space="preserve"> </w:t>
      </w:r>
      <w:hyperlink r:id="rId21">
        <w:r>
          <w:rPr>
            <w:rStyle w:val="Hyperlink"/>
          </w:rPr>
          <w:t xml:space="preserve">[64]</w:t>
        </w:r>
      </w:hyperlink>
      <w:r>
        <w:t xml:space="preserve"> </w:t>
      </w:r>
      <w:r>
        <w:t xml:space="preserve">https://sunnah.com/muslim%3A2577a</w:t>
      </w:r>
    </w:p>
    <w:p>
      <w:pPr>
        <w:pStyle w:val="BodyText"/>
      </w:pPr>
      <w:hyperlink r:id="rId21">
        <w:r>
          <w:rPr>
            <w:rStyle w:val="Hyperlink"/>
          </w:rPr>
          <w:t xml:space="preserve">https://sunnah.com/muslim%3A2577a</w:t>
        </w:r>
      </w:hyperlink>
    </w:p>
    <w:p>
      <w:pPr>
        <w:pStyle w:val="BodyText"/>
      </w:pPr>
      <w:hyperlink r:id="rId22">
        <w:r>
          <w:rPr>
            <w:rStyle w:val="Hyperlink"/>
          </w:rPr>
          <w:t xml:space="preserve">[2]</w:t>
        </w:r>
      </w:hyperlink>
      <w:r>
        <w:t xml:space="preserve"> </w:t>
      </w:r>
      <w:hyperlink r:id="rId22">
        <w:r>
          <w:rPr>
            <w:rStyle w:val="Hyperlink"/>
          </w:rPr>
          <w:t xml:space="preserve">[6]</w:t>
        </w:r>
      </w:hyperlink>
      <w:r>
        <w:t xml:space="preserve"> </w:t>
      </w:r>
      <w:hyperlink r:id="rId22">
        <w:r>
          <w:rPr>
            <w:rStyle w:val="Hyperlink"/>
          </w:rPr>
          <w:t xml:space="preserve">[27]</w:t>
        </w:r>
      </w:hyperlink>
      <w:r>
        <w:t xml:space="preserve"> </w:t>
      </w:r>
      <w:hyperlink r:id="rId22">
        <w:r>
          <w:rPr>
            <w:rStyle w:val="Hyperlink"/>
          </w:rPr>
          <w:t xml:space="preserve">[31]</w:t>
        </w:r>
      </w:hyperlink>
      <w:r>
        <w:t xml:space="preserve"> </w:t>
      </w:r>
      <w:r>
        <w:t xml:space="preserve">https://quran.com/en/an-nur/38</w:t>
      </w:r>
    </w:p>
    <w:p>
      <w:pPr>
        <w:pStyle w:val="BodyText"/>
      </w:pPr>
      <w:hyperlink r:id="rId22">
        <w:r>
          <w:rPr>
            <w:rStyle w:val="Hyperlink"/>
          </w:rPr>
          <w:t xml:space="preserve">https://quran.com/en/an-nur/38</w:t>
        </w:r>
      </w:hyperlink>
    </w:p>
    <w:p>
      <w:pPr>
        <w:pStyle w:val="BodyText"/>
      </w:pPr>
      <w:hyperlink r:id="rId23">
        <w:r>
          <w:rPr>
            <w:rStyle w:val="Hyperlink"/>
          </w:rPr>
          <w:t xml:space="preserve">[3]</w:t>
        </w:r>
      </w:hyperlink>
      <w:r>
        <w:t xml:space="preserve"> </w:t>
      </w:r>
      <w:hyperlink r:id="rId23">
        <w:r>
          <w:rPr>
            <w:rStyle w:val="Hyperlink"/>
          </w:rPr>
          <w:t xml:space="preserve">[29]</w:t>
        </w:r>
      </w:hyperlink>
      <w:r>
        <w:t xml:space="preserve"> </w:t>
      </w:r>
      <w:hyperlink r:id="rId23">
        <w:r>
          <w:rPr>
            <w:rStyle w:val="Hyperlink"/>
          </w:rPr>
          <w:t xml:space="preserve">[30]</w:t>
        </w:r>
      </w:hyperlink>
      <w:r>
        <w:t xml:space="preserve"> </w:t>
      </w:r>
      <w:hyperlink r:id="rId23">
        <w:r>
          <w:rPr>
            <w:rStyle w:val="Hyperlink"/>
          </w:rPr>
          <w:t xml:space="preserve">[33]</w:t>
        </w:r>
      </w:hyperlink>
      <w:r>
        <w:t xml:space="preserve"> </w:t>
      </w:r>
      <w:hyperlink r:id="rId23">
        <w:r>
          <w:rPr>
            <w:rStyle w:val="Hyperlink"/>
          </w:rPr>
          <w:t xml:space="preserve">[66]</w:t>
        </w:r>
      </w:hyperlink>
      <w:r>
        <w:t xml:space="preserve"> </w:t>
      </w:r>
      <w:r>
        <w:t xml:space="preserve">The need to belong: desire for interpersonal attachments ...</w:t>
      </w:r>
    </w:p>
    <w:p>
      <w:pPr>
        <w:pStyle w:val="BodyText"/>
      </w:pPr>
      <w:hyperlink r:id="rId23">
        <w:r>
          <w:rPr>
            <w:rStyle w:val="Hyperlink"/>
          </w:rPr>
          <w:t xml:space="preserve">https://pubmed.ncbi.nlm.nih.gov/7777651/?utm_source=chatgpt.com</w:t>
        </w:r>
      </w:hyperlink>
    </w:p>
    <w:p>
      <w:pPr>
        <w:pStyle w:val="BodyText"/>
      </w:pPr>
      <w:hyperlink r:id="rId24">
        <w:r>
          <w:rPr>
            <w:rStyle w:val="Hyperlink"/>
          </w:rPr>
          <w:t xml:space="preserve">[4]</w:t>
        </w:r>
      </w:hyperlink>
      <w:r>
        <w:t xml:space="preserve"> </w:t>
      </w:r>
      <w:hyperlink r:id="rId24">
        <w:r>
          <w:rPr>
            <w:rStyle w:val="Hyperlink"/>
          </w:rPr>
          <w:t xml:space="preserve">[14]</w:t>
        </w:r>
      </w:hyperlink>
      <w:r>
        <w:t xml:space="preserve"> </w:t>
      </w:r>
      <w:r>
        <w:t xml:space="preserve">https://sunnah.com/tirmidhi%3A1954</w:t>
      </w:r>
    </w:p>
    <w:p>
      <w:pPr>
        <w:pStyle w:val="BodyText"/>
      </w:pPr>
      <w:hyperlink r:id="rId24">
        <w:r>
          <w:rPr>
            <w:rStyle w:val="Hyperlink"/>
          </w:rPr>
          <w:t xml:space="preserve">https://sunnah.com/tirmidhi%3A1954</w:t>
        </w:r>
      </w:hyperlink>
    </w:p>
    <w:p>
      <w:pPr>
        <w:pStyle w:val="BodyText"/>
      </w:pPr>
      <w:hyperlink r:id="rId25">
        <w:r>
          <w:rPr>
            <w:rStyle w:val="Hyperlink"/>
          </w:rPr>
          <w:t xml:space="preserve">[5]</w:t>
        </w:r>
      </w:hyperlink>
      <w:r>
        <w:t xml:space="preserve"> </w:t>
      </w:r>
      <w:hyperlink r:id="rId25">
        <w:r>
          <w:rPr>
            <w:rStyle w:val="Hyperlink"/>
          </w:rPr>
          <w:t xml:space="preserve">[35]</w:t>
        </w:r>
      </w:hyperlink>
      <w:r>
        <w:t xml:space="preserve"> </w:t>
      </w:r>
      <w:hyperlink r:id="rId25">
        <w:r>
          <w:rPr>
            <w:rStyle w:val="Hyperlink"/>
          </w:rPr>
          <w:t xml:space="preserve">[47]</w:t>
        </w:r>
      </w:hyperlink>
      <w:r>
        <w:t xml:space="preserve"> </w:t>
      </w:r>
      <w:hyperlink r:id="rId25">
        <w:r>
          <w:rPr>
            <w:rStyle w:val="Hyperlink"/>
          </w:rPr>
          <w:t xml:space="preserve">[67]</w:t>
        </w:r>
      </w:hyperlink>
      <w:r>
        <w:t xml:space="preserve"> </w:t>
      </w:r>
      <w:r>
        <w:t xml:space="preserve">Sahih al-Bukhari 3257 - Beginning of Creation - كتاب بدء ...</w:t>
      </w:r>
    </w:p>
    <w:p>
      <w:pPr>
        <w:pStyle w:val="BodyText"/>
      </w:pPr>
      <w:hyperlink r:id="rId25">
        <w:r>
          <w:rPr>
            <w:rStyle w:val="Hyperlink"/>
          </w:rPr>
          <w:t xml:space="preserve">https://sunnah.com/bukhari%3A3257?utm_source=chatgpt.com</w:t>
        </w:r>
      </w:hyperlink>
    </w:p>
    <w:p>
      <w:pPr>
        <w:pStyle w:val="BodyText"/>
      </w:pPr>
      <w:hyperlink r:id="rId27">
        <w:r>
          <w:rPr>
            <w:rStyle w:val="Hyperlink"/>
          </w:rPr>
          <w:t xml:space="preserve">[7]</w:t>
        </w:r>
      </w:hyperlink>
      <w:r>
        <w:t xml:space="preserve"> </w:t>
      </w:r>
      <w:hyperlink r:id="rId27">
        <w:r>
          <w:rPr>
            <w:rStyle w:val="Hyperlink"/>
          </w:rPr>
          <w:t xml:space="preserve">[8]</w:t>
        </w:r>
      </w:hyperlink>
      <w:r>
        <w:t xml:space="preserve"> </w:t>
      </w:r>
      <w:hyperlink r:id="rId27">
        <w:r>
          <w:rPr>
            <w:rStyle w:val="Hyperlink"/>
          </w:rPr>
          <w:t xml:space="preserve">[10]</w:t>
        </w:r>
      </w:hyperlink>
      <w:r>
        <w:t xml:space="preserve"> </w:t>
      </w:r>
      <w:r>
        <w:t xml:space="preserve">https://quran.com/en/az-zumar/10</w:t>
      </w:r>
    </w:p>
    <w:p>
      <w:pPr>
        <w:pStyle w:val="BodyText"/>
      </w:pPr>
      <w:hyperlink r:id="rId27">
        <w:r>
          <w:rPr>
            <w:rStyle w:val="Hyperlink"/>
          </w:rPr>
          <w:t xml:space="preserve">https://quran.com/en/az-zumar/10</w:t>
        </w:r>
      </w:hyperlink>
    </w:p>
    <w:p>
      <w:pPr>
        <w:pStyle w:val="BodyText"/>
      </w:pPr>
      <w:hyperlink r:id="rId28">
        <w:r>
          <w:rPr>
            <w:rStyle w:val="Hyperlink"/>
          </w:rPr>
          <w:t xml:space="preserve">[9]</w:t>
        </w:r>
      </w:hyperlink>
      <w:r>
        <w:t xml:space="preserve"> </w:t>
      </w:r>
      <w:r>
        <w:t xml:space="preserve">https://sunnah.com/muslim%3A186a</w:t>
      </w:r>
    </w:p>
    <w:p>
      <w:pPr>
        <w:pStyle w:val="BodyText"/>
      </w:pPr>
      <w:hyperlink r:id="rId28">
        <w:r>
          <w:rPr>
            <w:rStyle w:val="Hyperlink"/>
          </w:rPr>
          <w:t xml:space="preserve">https://sunnah.com/muslim%3A186a</w:t>
        </w:r>
      </w:hyperlink>
    </w:p>
    <w:p>
      <w:pPr>
        <w:pStyle w:val="BodyText"/>
      </w:pPr>
      <w:hyperlink r:id="rId29">
        <w:r>
          <w:rPr>
            <w:rStyle w:val="Hyperlink"/>
          </w:rPr>
          <w:t xml:space="preserve">[11]</w:t>
        </w:r>
      </w:hyperlink>
      <w:r>
        <w:t xml:space="preserve"> </w:t>
      </w:r>
      <w:r>
        <w:t xml:space="preserve">https://quran.com/en/an-nisa/32</w:t>
      </w:r>
    </w:p>
    <w:p>
      <w:pPr>
        <w:pStyle w:val="BodyText"/>
      </w:pPr>
      <w:hyperlink r:id="rId29">
        <w:r>
          <w:rPr>
            <w:rStyle w:val="Hyperlink"/>
          </w:rPr>
          <w:t xml:space="preserve">https://quran.com/en/an-nisa/32</w:t>
        </w:r>
      </w:hyperlink>
    </w:p>
    <w:p>
      <w:pPr>
        <w:pStyle w:val="BodyText"/>
      </w:pPr>
      <w:hyperlink r:id="rId30">
        <w:r>
          <w:rPr>
            <w:rStyle w:val="Hyperlink"/>
          </w:rPr>
          <w:t xml:space="preserve">[12]</w:t>
        </w:r>
      </w:hyperlink>
      <w:r>
        <w:t xml:space="preserve"> </w:t>
      </w:r>
      <w:hyperlink r:id="rId30">
        <w:r>
          <w:rPr>
            <w:rStyle w:val="Hyperlink"/>
          </w:rPr>
          <w:t xml:space="preserve">[43]</w:t>
        </w:r>
      </w:hyperlink>
      <w:r>
        <w:t xml:space="preserve"> </w:t>
      </w:r>
      <w:hyperlink r:id="rId30">
        <w:r>
          <w:rPr>
            <w:rStyle w:val="Hyperlink"/>
          </w:rPr>
          <w:t xml:space="preserve">[46]</w:t>
        </w:r>
      </w:hyperlink>
      <w:r>
        <w:t xml:space="preserve"> </w:t>
      </w:r>
      <w:r>
        <w:t xml:space="preserve">https://quran.com/al-baqarah/148-150</w:t>
      </w:r>
    </w:p>
    <w:p>
      <w:pPr>
        <w:pStyle w:val="BodyText"/>
      </w:pPr>
      <w:hyperlink r:id="rId30">
        <w:r>
          <w:rPr>
            <w:rStyle w:val="Hyperlink"/>
          </w:rPr>
          <w:t xml:space="preserve">https://quran.com/al-baqarah/148-150</w:t>
        </w:r>
      </w:hyperlink>
    </w:p>
    <w:p>
      <w:pPr>
        <w:pStyle w:val="BodyText"/>
      </w:pPr>
      <w:hyperlink r:id="rId31">
        <w:r>
          <w:rPr>
            <w:rStyle w:val="Hyperlink"/>
          </w:rPr>
          <w:t xml:space="preserve">[13]</w:t>
        </w:r>
      </w:hyperlink>
      <w:r>
        <w:t xml:space="preserve"> </w:t>
      </w:r>
      <w:r>
        <w:t xml:space="preserve">https://quran.com/en/al-maidah/2</w:t>
      </w:r>
    </w:p>
    <w:p>
      <w:pPr>
        <w:pStyle w:val="BodyText"/>
      </w:pPr>
      <w:hyperlink r:id="rId31">
        <w:r>
          <w:rPr>
            <w:rStyle w:val="Hyperlink"/>
          </w:rPr>
          <w:t xml:space="preserve">https://quran.com/en/al-maidah/2</w:t>
        </w:r>
      </w:hyperlink>
    </w:p>
    <w:p>
      <w:pPr>
        <w:pStyle w:val="BodyText"/>
      </w:pPr>
      <w:hyperlink r:id="rId33">
        <w:r>
          <w:rPr>
            <w:rStyle w:val="Hyperlink"/>
          </w:rPr>
          <w:t xml:space="preserve">[15]</w:t>
        </w:r>
      </w:hyperlink>
      <w:r>
        <w:t xml:space="preserve"> </w:t>
      </w:r>
      <w:hyperlink r:id="rId33">
        <w:r>
          <w:rPr>
            <w:rStyle w:val="Hyperlink"/>
          </w:rPr>
          <w:t xml:space="preserve">[16]</w:t>
        </w:r>
      </w:hyperlink>
      <w:r>
        <w:t xml:space="preserve"> </w:t>
      </w:r>
      <w:r>
        <w:t xml:space="preserve">https://sunnah.com/adab%3A215</w:t>
      </w:r>
    </w:p>
    <w:p>
      <w:pPr>
        <w:pStyle w:val="BodyText"/>
      </w:pPr>
      <w:hyperlink r:id="rId33">
        <w:r>
          <w:rPr>
            <w:rStyle w:val="Hyperlink"/>
          </w:rPr>
          <w:t xml:space="preserve">https://sunnah.com/adab%3A215</w:t>
        </w:r>
      </w:hyperlink>
    </w:p>
    <w:p>
      <w:pPr>
        <w:pStyle w:val="BodyText"/>
      </w:pPr>
      <w:hyperlink r:id="rId34">
        <w:r>
          <w:rPr>
            <w:rStyle w:val="Hyperlink"/>
          </w:rPr>
          <w:t xml:space="preserve">[17]</w:t>
        </w:r>
      </w:hyperlink>
      <w:r>
        <w:t xml:space="preserve"> </w:t>
      </w:r>
      <w:hyperlink r:id="rId34">
        <w:r>
          <w:rPr>
            <w:rStyle w:val="Hyperlink"/>
          </w:rPr>
          <w:t xml:space="preserve">[28]</w:t>
        </w:r>
      </w:hyperlink>
      <w:r>
        <w:t xml:space="preserve"> </w:t>
      </w:r>
      <w:hyperlink r:id="rId34">
        <w:r>
          <w:rPr>
            <w:rStyle w:val="Hyperlink"/>
          </w:rPr>
          <w:t xml:space="preserve">[65]</w:t>
        </w:r>
      </w:hyperlink>
      <w:r>
        <w:t xml:space="preserve"> </w:t>
      </w:r>
      <w:r>
        <w:t xml:space="preserve">https://quran.com/en/al-hujurat/11-12</w:t>
      </w:r>
    </w:p>
    <w:p>
      <w:pPr>
        <w:pStyle w:val="BodyText"/>
      </w:pPr>
      <w:hyperlink r:id="rId34">
        <w:r>
          <w:rPr>
            <w:rStyle w:val="Hyperlink"/>
          </w:rPr>
          <w:t xml:space="preserve">https://quran.com/en/al-hujurat/11-12</w:t>
        </w:r>
      </w:hyperlink>
    </w:p>
    <w:p>
      <w:pPr>
        <w:pStyle w:val="BodyText"/>
      </w:pPr>
      <w:hyperlink r:id="rId35">
        <w:r>
          <w:rPr>
            <w:rStyle w:val="Hyperlink"/>
          </w:rPr>
          <w:t xml:space="preserve">[18]</w:t>
        </w:r>
      </w:hyperlink>
      <w:r>
        <w:t xml:space="preserve"> </w:t>
      </w:r>
      <w:r>
        <w:t xml:space="preserve">https://quran.com/en/al-hujurat/12</w:t>
      </w:r>
    </w:p>
    <w:p>
      <w:pPr>
        <w:pStyle w:val="BodyText"/>
      </w:pPr>
      <w:hyperlink r:id="rId35">
        <w:r>
          <w:rPr>
            <w:rStyle w:val="Hyperlink"/>
          </w:rPr>
          <w:t xml:space="preserve">https://quran.com/en/al-hujurat/12</w:t>
        </w:r>
      </w:hyperlink>
    </w:p>
    <w:p>
      <w:pPr>
        <w:pStyle w:val="BodyText"/>
      </w:pPr>
      <w:hyperlink r:id="rId36">
        <w:r>
          <w:rPr>
            <w:rStyle w:val="Hyperlink"/>
          </w:rPr>
          <w:t xml:space="preserve">[19]</w:t>
        </w:r>
      </w:hyperlink>
      <w:r>
        <w:t xml:space="preserve"> </w:t>
      </w:r>
      <w:hyperlink r:id="rId36">
        <w:r>
          <w:rPr>
            <w:rStyle w:val="Hyperlink"/>
          </w:rPr>
          <w:t xml:space="preserve">[20]</w:t>
        </w:r>
      </w:hyperlink>
      <w:r>
        <w:t xml:space="preserve"> </w:t>
      </w:r>
      <w:r>
        <w:t xml:space="preserve">https://quran.com/en/al-hujurat/13</w:t>
      </w:r>
    </w:p>
    <w:p>
      <w:pPr>
        <w:pStyle w:val="BodyText"/>
      </w:pPr>
      <w:hyperlink r:id="rId36">
        <w:r>
          <w:rPr>
            <w:rStyle w:val="Hyperlink"/>
          </w:rPr>
          <w:t xml:space="preserve">https://quran.com/en/al-hujurat/13</w:t>
        </w:r>
      </w:hyperlink>
    </w:p>
    <w:p>
      <w:pPr>
        <w:pStyle w:val="BodyText"/>
      </w:pPr>
      <w:hyperlink r:id="rId37">
        <w:r>
          <w:rPr>
            <w:rStyle w:val="Hyperlink"/>
          </w:rPr>
          <w:t xml:space="preserve">[21]</w:t>
        </w:r>
      </w:hyperlink>
      <w:r>
        <w:t xml:space="preserve"> </w:t>
      </w:r>
      <w:hyperlink r:id="rId37">
        <w:r>
          <w:rPr>
            <w:rStyle w:val="Hyperlink"/>
          </w:rPr>
          <w:t xml:space="preserve">[22]</w:t>
        </w:r>
      </w:hyperlink>
      <w:r>
        <w:t xml:space="preserve"> </w:t>
      </w:r>
      <w:r>
        <w:t xml:space="preserve">https://sunnah.com/bukhari%3A6011</w:t>
      </w:r>
    </w:p>
    <w:p>
      <w:pPr>
        <w:pStyle w:val="BodyText"/>
      </w:pPr>
      <w:hyperlink r:id="rId37">
        <w:r>
          <w:rPr>
            <w:rStyle w:val="Hyperlink"/>
          </w:rPr>
          <w:t xml:space="preserve">https://sunnah.com/bukhari%3A6011</w:t>
        </w:r>
      </w:hyperlink>
    </w:p>
    <w:p>
      <w:pPr>
        <w:pStyle w:val="BodyText"/>
      </w:pPr>
      <w:hyperlink r:id="rId38">
        <w:r>
          <w:rPr>
            <w:rStyle w:val="Hyperlink"/>
          </w:rPr>
          <w:t xml:space="preserve">[23]</w:t>
        </w:r>
      </w:hyperlink>
      <w:r>
        <w:t xml:space="preserve"> </w:t>
      </w:r>
      <w:hyperlink r:id="rId38">
        <w:r>
          <w:rPr>
            <w:rStyle w:val="Hyperlink"/>
          </w:rPr>
          <w:t xml:space="preserve">[26]</w:t>
        </w:r>
      </w:hyperlink>
      <w:r>
        <w:t xml:space="preserve"> </w:t>
      </w:r>
      <w:r>
        <w:t xml:space="preserve">https://sunnah.com/bukhari%3A6162</w:t>
      </w:r>
    </w:p>
    <w:p>
      <w:pPr>
        <w:pStyle w:val="BodyText"/>
      </w:pPr>
      <w:hyperlink r:id="rId38">
        <w:r>
          <w:rPr>
            <w:rStyle w:val="Hyperlink"/>
          </w:rPr>
          <w:t xml:space="preserve">https://sunnah.com/bukhari%3A6162</w:t>
        </w:r>
      </w:hyperlink>
    </w:p>
    <w:p>
      <w:pPr>
        <w:pStyle w:val="BodyText"/>
      </w:pPr>
      <w:hyperlink r:id="rId39">
        <w:r>
          <w:rPr>
            <w:rStyle w:val="Hyperlink"/>
          </w:rPr>
          <w:t xml:space="preserve">[24]</w:t>
        </w:r>
      </w:hyperlink>
      <w:r>
        <w:t xml:space="preserve"> </w:t>
      </w:r>
      <w:r>
        <w:t xml:space="preserve">https://sunnah.com/muslim%3A3002a</w:t>
      </w:r>
    </w:p>
    <w:p>
      <w:pPr>
        <w:pStyle w:val="BodyText"/>
      </w:pPr>
      <w:hyperlink r:id="rId39">
        <w:r>
          <w:rPr>
            <w:rStyle w:val="Hyperlink"/>
          </w:rPr>
          <w:t xml:space="preserve">https://sunnah.com/muslim%3A3002a</w:t>
        </w:r>
      </w:hyperlink>
    </w:p>
    <w:p>
      <w:pPr>
        <w:pStyle w:val="BodyText"/>
      </w:pPr>
      <w:hyperlink r:id="rId40">
        <w:r>
          <w:rPr>
            <w:rStyle w:val="Hyperlink"/>
          </w:rPr>
          <w:t xml:space="preserve">[25]</w:t>
        </w:r>
      </w:hyperlink>
      <w:r>
        <w:t xml:space="preserve"> </w:t>
      </w:r>
      <w:r>
        <w:t xml:space="preserve">https://quran.com/en/an-najm/32</w:t>
      </w:r>
    </w:p>
    <w:p>
      <w:pPr>
        <w:pStyle w:val="BodyText"/>
      </w:pPr>
      <w:hyperlink r:id="rId40">
        <w:r>
          <w:rPr>
            <w:rStyle w:val="Hyperlink"/>
          </w:rPr>
          <w:t xml:space="preserve">https://quran.com/en/an-najm/32</w:t>
        </w:r>
      </w:hyperlink>
    </w:p>
    <w:p>
      <w:pPr>
        <w:pStyle w:val="BodyText"/>
      </w:pPr>
      <w:hyperlink r:id="rId42">
        <w:r>
          <w:rPr>
            <w:rStyle w:val="Hyperlink"/>
          </w:rPr>
          <w:t xml:space="preserve">[32]</w:t>
        </w:r>
      </w:hyperlink>
      <w:r>
        <w:t xml:space="preserve"> </w:t>
      </w:r>
      <w:hyperlink r:id="rId42">
        <w:r>
          <w:rPr>
            <w:rStyle w:val="Hyperlink"/>
          </w:rPr>
          <w:t xml:space="preserve">[40]</w:t>
        </w:r>
      </w:hyperlink>
      <w:r>
        <w:t xml:space="preserve"> </w:t>
      </w:r>
      <w:r>
        <w:t xml:space="preserve">A. H. Maslow (1943) A Theory of Human Motivation</w:t>
      </w:r>
    </w:p>
    <w:p>
      <w:pPr>
        <w:pStyle w:val="BodyText"/>
      </w:pPr>
      <w:hyperlink r:id="rId42">
        <w:r>
          <w:rPr>
            <w:rStyle w:val="Hyperlink"/>
          </w:rPr>
          <w:t xml:space="preserve">https://psychclassics.yorku.ca/Maslow/motivation.htm?utm_source=chatgpt.com</w:t>
        </w:r>
      </w:hyperlink>
    </w:p>
    <w:p>
      <w:pPr>
        <w:pStyle w:val="BodyText"/>
      </w:pPr>
      <w:hyperlink r:id="rId43">
        <w:r>
          <w:rPr>
            <w:rStyle w:val="Hyperlink"/>
          </w:rPr>
          <w:t xml:space="preserve">[36]</w:t>
        </w:r>
      </w:hyperlink>
      <w:r>
        <w:t xml:space="preserve"> </w:t>
      </w:r>
      <w:hyperlink r:id="rId43">
        <w:r>
          <w:rPr>
            <w:rStyle w:val="Hyperlink"/>
          </w:rPr>
          <w:t xml:space="preserve">[37]</w:t>
        </w:r>
      </w:hyperlink>
      <w:r>
        <w:t xml:space="preserve"> </w:t>
      </w:r>
      <w:r>
        <w:t xml:space="preserve">https://selfdeterminationtheory.org/SDT/documents/2000_RyanDeci_SDT.pdf</w:t>
      </w:r>
    </w:p>
    <w:p>
      <w:pPr>
        <w:pStyle w:val="BodyText"/>
      </w:pPr>
      <w:hyperlink r:id="rId43">
        <w:r>
          <w:rPr>
            <w:rStyle w:val="Hyperlink"/>
          </w:rPr>
          <w:t xml:space="preserve">https://selfdeterminationtheory.org/SDT/documents/2000_RyanDeci_SDT.pdf</w:t>
        </w:r>
      </w:hyperlink>
    </w:p>
    <w:p>
      <w:pPr>
        <w:pStyle w:val="BodyText"/>
      </w:pPr>
      <w:hyperlink r:id="rId44">
        <w:r>
          <w:rPr>
            <w:rStyle w:val="Hyperlink"/>
          </w:rPr>
          <w:t xml:space="preserve">[38]</w:t>
        </w:r>
      </w:hyperlink>
      <w:r>
        <w:t xml:space="preserve"> </w:t>
      </w:r>
      <w:r>
        <w:t xml:space="preserve">https://emmons.faculty.ucdavis.edu/wp-content/uploads/sites/90/2015/08/2003_2-Emmons_McCullough_2003_JPSP.pdf</w:t>
      </w:r>
    </w:p>
    <w:p>
      <w:pPr>
        <w:pStyle w:val="BodyText"/>
      </w:pPr>
      <w:hyperlink r:id="rId44">
        <w:r>
          <w:rPr>
            <w:rStyle w:val="Hyperlink"/>
          </w:rPr>
          <w:t xml:space="preserve">https://emmons.faculty.ucdavis.edu/wp-content/uploads/sites/90/2015/08/2003_2-Emmons_McCullough_2003_JPSP.pdf</w:t>
        </w:r>
      </w:hyperlink>
    </w:p>
    <w:p>
      <w:pPr>
        <w:pStyle w:val="BodyText"/>
      </w:pPr>
      <w:hyperlink r:id="rId45">
        <w:r>
          <w:rPr>
            <w:rStyle w:val="Hyperlink"/>
          </w:rPr>
          <w:t xml:space="preserve">[39]</w:t>
        </w:r>
      </w:hyperlink>
      <w:r>
        <w:t xml:space="preserve"> </w:t>
      </w:r>
      <w:r>
        <w:t xml:space="preserve">Gratitude and Well Being: The Benefits of Appreciation - PMC</w:t>
      </w:r>
    </w:p>
    <w:p>
      <w:pPr>
        <w:pStyle w:val="BodyText"/>
      </w:pPr>
      <w:hyperlink r:id="rId45">
        <w:r>
          <w:rPr>
            <w:rStyle w:val="Hyperlink"/>
          </w:rPr>
          <w:t xml:space="preserve">https://pmc.ncbi.nlm.nih.gov/articles/PMC3010965/?utm_source=chatgpt.com</w:t>
        </w:r>
      </w:hyperlink>
    </w:p>
    <w:p>
      <w:pPr>
        <w:pStyle w:val="BodyText"/>
      </w:pPr>
      <w:hyperlink r:id="rId46">
        <w:r>
          <w:rPr>
            <w:rStyle w:val="Hyperlink"/>
          </w:rPr>
          <w:t xml:space="preserve">[41]</w:t>
        </w:r>
      </w:hyperlink>
      <w:r>
        <w:t xml:space="preserve"> </w:t>
      </w:r>
      <w:r>
        <w:t xml:space="preserve">https://www.humanscience.org/docs/Festinger%20%281954%29%20A%20Theory%20of%20Social%20Comparison%20Processes.pdf</w:t>
      </w:r>
    </w:p>
    <w:p>
      <w:pPr>
        <w:pStyle w:val="BodyText"/>
      </w:pPr>
      <w:hyperlink r:id="rId46">
        <w:r>
          <w:rPr>
            <w:rStyle w:val="Hyperlink"/>
          </w:rPr>
          <w:t xml:space="preserve">https://www.humanscience.org/docs/Festinger%20%281954%29%20A%20Theory%20of%20Social%20Comparison%20Processes.pdf</w:t>
        </w:r>
      </w:hyperlink>
    </w:p>
    <w:p>
      <w:pPr>
        <w:pStyle w:val="BodyText"/>
      </w:pPr>
      <w:hyperlink r:id="rId47">
        <w:r>
          <w:rPr>
            <w:rStyle w:val="Hyperlink"/>
          </w:rPr>
          <w:t xml:space="preserve">[42]</w:t>
        </w:r>
      </w:hyperlink>
      <w:r>
        <w:t xml:space="preserve"> </w:t>
      </w:r>
      <w:r>
        <w:t xml:space="preserve">https://pmc.ncbi.nlm.nih.gov/articles/PMC3153800/</w:t>
      </w:r>
    </w:p>
    <w:p>
      <w:pPr>
        <w:pStyle w:val="BodyText"/>
      </w:pPr>
      <w:hyperlink r:id="rId47">
        <w:r>
          <w:rPr>
            <w:rStyle w:val="Hyperlink"/>
          </w:rPr>
          <w:t xml:space="preserve">https://pmc.ncbi.nlm.nih.gov/articles/PMC3153800/</w:t>
        </w:r>
      </w:hyperlink>
    </w:p>
    <w:p>
      <w:pPr>
        <w:pStyle w:val="BodyText"/>
      </w:pPr>
      <w:hyperlink r:id="rId48">
        <w:r>
          <w:rPr>
            <w:rStyle w:val="Hyperlink"/>
          </w:rPr>
          <w:t xml:space="preserve">[44]</w:t>
        </w:r>
      </w:hyperlink>
      <w:r>
        <w:t xml:space="preserve"> </w:t>
      </w:r>
      <w:r>
        <w:t xml:space="preserve">https://www.frontiersin.org/journals/psychiatry/articles/10.3389/fpsyt.2018.00139/full</w:t>
      </w:r>
    </w:p>
    <w:p>
      <w:pPr>
        <w:pStyle w:val="BodyText"/>
      </w:pPr>
      <w:hyperlink r:id="rId48">
        <w:r>
          <w:rPr>
            <w:rStyle w:val="Hyperlink"/>
          </w:rPr>
          <w:t xml:space="preserve">https://www.frontiersin.org/journals/psychiatry/articles/10.3389/fpsyt.2018.00139/full</w:t>
        </w:r>
      </w:hyperlink>
    </w:p>
    <w:p>
      <w:pPr>
        <w:pStyle w:val="BodyText"/>
      </w:pPr>
      <w:hyperlink r:id="rId49">
        <w:r>
          <w:rPr>
            <w:rStyle w:val="Hyperlink"/>
          </w:rPr>
          <w:t xml:space="preserve">[45]</w:t>
        </w:r>
      </w:hyperlink>
      <w:r>
        <w:t xml:space="preserve"> </w:t>
      </w:r>
      <w:r>
        <w:t xml:space="preserve">https://sunnah.com/bukhari%3A1409</w:t>
      </w:r>
    </w:p>
    <w:p>
      <w:pPr>
        <w:pStyle w:val="BodyText"/>
      </w:pPr>
      <w:hyperlink r:id="rId49">
        <w:r>
          <w:rPr>
            <w:rStyle w:val="Hyperlink"/>
          </w:rPr>
          <w:t xml:space="preserve">https://sunnah.com/bukhari%3A1409</w:t>
        </w:r>
      </w:hyperlink>
    </w:p>
    <w:p>
      <w:pPr>
        <w:pStyle w:val="BodyText"/>
      </w:pPr>
      <w:hyperlink r:id="rId51">
        <w:r>
          <w:rPr>
            <w:rStyle w:val="Hyperlink"/>
          </w:rPr>
          <w:t xml:space="preserve">[48]</w:t>
        </w:r>
      </w:hyperlink>
      <w:r>
        <w:t xml:space="preserve"> </w:t>
      </w:r>
      <w:r>
        <w:t xml:space="preserve">Sahih al-Bukhari 1896 - Fasting - كتاب الصوم</w:t>
      </w:r>
    </w:p>
    <w:p>
      <w:pPr>
        <w:pStyle w:val="BodyText"/>
      </w:pPr>
      <w:hyperlink r:id="rId51">
        <w:r>
          <w:rPr>
            <w:rStyle w:val="Hyperlink"/>
          </w:rPr>
          <w:t xml:space="preserve">https://sunnah.com/bukhari%3A1896?utm_source=chatgpt.com</w:t>
        </w:r>
      </w:hyperlink>
    </w:p>
    <w:p>
      <w:pPr>
        <w:pStyle w:val="BodyText"/>
      </w:pPr>
      <w:hyperlink r:id="rId52">
        <w:r>
          <w:rPr>
            <w:rStyle w:val="Hyperlink"/>
          </w:rPr>
          <w:t xml:space="preserve">[49]</w:t>
        </w:r>
      </w:hyperlink>
      <w:r>
        <w:t xml:space="preserve"> </w:t>
      </w:r>
      <w:r>
        <w:t xml:space="preserve">https://hadeethenc.com/en/browse/hadith/3738</w:t>
      </w:r>
    </w:p>
    <w:p>
      <w:pPr>
        <w:pStyle w:val="BodyText"/>
      </w:pPr>
      <w:hyperlink r:id="rId52">
        <w:r>
          <w:rPr>
            <w:rStyle w:val="Hyperlink"/>
          </w:rPr>
          <w:t xml:space="preserve">https://hadeethenc.com/en/browse/hadith/3738</w:t>
        </w:r>
      </w:hyperlink>
    </w:p>
    <w:p>
      <w:pPr>
        <w:pStyle w:val="BodyText"/>
      </w:pPr>
      <w:hyperlink r:id="rId53">
        <w:r>
          <w:rPr>
            <w:rStyle w:val="Hyperlink"/>
          </w:rPr>
          <w:t xml:space="preserve">[50]</w:t>
        </w:r>
      </w:hyperlink>
      <w:r>
        <w:t xml:space="preserve"> </w:t>
      </w:r>
      <w:r>
        <w:t xml:space="preserve">https://sunnah.com/muslim%3A1152</w:t>
      </w:r>
    </w:p>
    <w:p>
      <w:pPr>
        <w:pStyle w:val="BodyText"/>
      </w:pPr>
      <w:hyperlink r:id="rId53">
        <w:r>
          <w:rPr>
            <w:rStyle w:val="Hyperlink"/>
          </w:rPr>
          <w:t xml:space="preserve">https://sunnah.com/muslim%3A1152</w:t>
        </w:r>
      </w:hyperlink>
    </w:p>
    <w:p>
      <w:pPr>
        <w:pStyle w:val="BodyText"/>
      </w:pPr>
      <w:hyperlink r:id="rId54">
        <w:r>
          <w:rPr>
            <w:rStyle w:val="Hyperlink"/>
          </w:rPr>
          <w:t xml:space="preserve">[51]</w:t>
        </w:r>
      </w:hyperlink>
      <w:r>
        <w:t xml:space="preserve"> </w:t>
      </w:r>
      <w:hyperlink r:id="rId54">
        <w:r>
          <w:rPr>
            <w:rStyle w:val="Hyperlink"/>
          </w:rPr>
          <w:t xml:space="preserve">[52]</w:t>
        </w:r>
      </w:hyperlink>
      <w:r>
        <w:t xml:space="preserve"> </w:t>
      </w:r>
      <w:hyperlink r:id="rId54">
        <w:r>
          <w:rPr>
            <w:rStyle w:val="Hyperlink"/>
          </w:rPr>
          <w:t xml:space="preserve">[53]</w:t>
        </w:r>
      </w:hyperlink>
      <w:r>
        <w:t xml:space="preserve"> </w:t>
      </w:r>
      <w:hyperlink r:id="rId54">
        <w:r>
          <w:rPr>
            <w:rStyle w:val="Hyperlink"/>
          </w:rPr>
          <w:t xml:space="preserve">[60]</w:t>
        </w:r>
      </w:hyperlink>
      <w:r>
        <w:t xml:space="preserve"> </w:t>
      </w:r>
      <w:hyperlink r:id="rId54">
        <w:r>
          <w:rPr>
            <w:rStyle w:val="Hyperlink"/>
          </w:rPr>
          <w:t xml:space="preserve">[62]</w:t>
        </w:r>
      </w:hyperlink>
      <w:r>
        <w:t xml:space="preserve"> </w:t>
      </w:r>
      <w:r>
        <w:t xml:space="preserve">Sahih al-Bukhari 1897 - Fasting - كتاب الصوم</w:t>
      </w:r>
    </w:p>
    <w:p>
      <w:pPr>
        <w:pStyle w:val="BodyText"/>
      </w:pPr>
      <w:hyperlink r:id="rId54">
        <w:r>
          <w:rPr>
            <w:rStyle w:val="Hyperlink"/>
          </w:rPr>
          <w:t xml:space="preserve">https://sunnah.com/bukhari%3A1897?utm_source=chatgpt.com</w:t>
        </w:r>
      </w:hyperlink>
    </w:p>
    <w:p>
      <w:pPr>
        <w:pStyle w:val="BodyText"/>
      </w:pPr>
      <w:hyperlink r:id="rId55">
        <w:r>
          <w:rPr>
            <w:rStyle w:val="Hyperlink"/>
          </w:rPr>
          <w:t xml:space="preserve">[55]</w:t>
        </w:r>
      </w:hyperlink>
      <w:r>
        <w:t xml:space="preserve"> </w:t>
      </w:r>
      <w:hyperlink r:id="rId55">
        <w:r>
          <w:rPr>
            <w:rStyle w:val="Hyperlink"/>
          </w:rPr>
          <w:t xml:space="preserve">[56]</w:t>
        </w:r>
      </w:hyperlink>
      <w:r>
        <w:t xml:space="preserve"> </w:t>
      </w:r>
      <w:hyperlink r:id="rId55">
        <w:r>
          <w:rPr>
            <w:rStyle w:val="Hyperlink"/>
          </w:rPr>
          <w:t xml:space="preserve">[58]</w:t>
        </w:r>
      </w:hyperlink>
      <w:r>
        <w:t xml:space="preserve"> </w:t>
      </w:r>
      <w:r>
        <w:t xml:space="preserve">https://islamqa.info/en/answers/148176</w:t>
      </w:r>
    </w:p>
    <w:p>
      <w:pPr>
        <w:pStyle w:val="BodyText"/>
      </w:pPr>
      <w:hyperlink r:id="rId55">
        <w:r>
          <w:rPr>
            <w:rStyle w:val="Hyperlink"/>
          </w:rPr>
          <w:t xml:space="preserve">https://islamqa.info/en/answers/148176</w:t>
        </w:r>
      </w:hyperlink>
    </w:p>
    <w:p>
      <w:pPr>
        <w:pStyle w:val="BodyText"/>
      </w:pPr>
      <w:hyperlink r:id="rId56">
        <w:r>
          <w:rPr>
            <w:rStyle w:val="Hyperlink"/>
          </w:rPr>
          <w:t xml:space="preserve">[57]</w:t>
        </w:r>
      </w:hyperlink>
      <w:r>
        <w:t xml:space="preserve"> </w:t>
      </w:r>
      <w:hyperlink r:id="rId56">
        <w:r>
          <w:rPr>
            <w:rStyle w:val="Hyperlink"/>
          </w:rPr>
          <w:t xml:space="preserve">[59]</w:t>
        </w:r>
      </w:hyperlink>
      <w:r>
        <w:t xml:space="preserve"> </w:t>
      </w:r>
      <w:r>
        <w:t xml:space="preserve">Sahih Muslim 234a - The Book of Purification - كتاب الطهارة</w:t>
      </w:r>
    </w:p>
    <w:p>
      <w:pPr>
        <w:pStyle w:val="BodyText"/>
      </w:pPr>
      <w:hyperlink r:id="rId56">
        <w:r>
          <w:rPr>
            <w:rStyle w:val="Hyperlink"/>
          </w:rPr>
          <w:t xml:space="preserve">https://sunnah.com/muslim%3A234a?utm_source=chatgpt.com</w:t>
        </w:r>
      </w:hyperlink>
    </w:p>
    <w:p>
      <w:pPr>
        <w:pStyle w:val="BodyText"/>
      </w:pPr>
      <w:hyperlink r:id="rId57">
        <w:r>
          <w:rPr>
            <w:rStyle w:val="Hyperlink"/>
          </w:rPr>
          <w:t xml:space="preserve">[61]</w:t>
        </w:r>
      </w:hyperlink>
      <w:r>
        <w:t xml:space="preserve"> </w:t>
      </w:r>
      <w:r>
        <w:t xml:space="preserve">https://www.islamweb.net/en/fatwa/84473/gates-of-paradise</w:t>
      </w:r>
    </w:p>
    <w:p>
      <w:pPr>
        <w:pStyle w:val="BodyText"/>
      </w:pPr>
      <w:hyperlink r:id="rId57">
        <w:r>
          <w:rPr>
            <w:rStyle w:val="Hyperlink"/>
          </w:rPr>
          <w:t xml:space="preserve">https://www.islamweb.net/en/fatwa/84473/gates-of-paradise</w:t>
        </w:r>
      </w:hyperlink>
    </w:p>
    <w:p>
      <w:pPr>
        <w:pStyle w:val="BodyText"/>
      </w:pPr>
      <w:hyperlink r:id="rId59">
        <w:r>
          <w:rPr>
            <w:rStyle w:val="Hyperlink"/>
          </w:rPr>
          <w:t xml:space="preserve">[68]</w:t>
        </w:r>
      </w:hyperlink>
      <w:r>
        <w:t xml:space="preserve"> </w:t>
      </w:r>
      <w:r>
        <w:t xml:space="preserve">https://quran.com/saba/39</w:t>
      </w:r>
    </w:p>
    <w:p>
      <w:pPr>
        <w:pStyle w:val="BodyText"/>
      </w:pPr>
      <w:hyperlink r:id="rId59">
        <w:r>
          <w:rPr>
            <w:rStyle w:val="Hyperlink"/>
          </w:rPr>
          <w:t xml:space="preserve">https://quran.com/saba/39</w:t>
        </w:r>
      </w:hyperlink>
    </w:p>
    <w:bookmarkEnd w:id="6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4" Target="https://emmons.faculty.ucdavis.edu/wp-content/uploads/sites/90/2015/08/2003_2-Emmons_McCullough_2003_JPSP.pdf" TargetMode="External" /><Relationship Type="http://schemas.openxmlformats.org/officeDocument/2006/relationships/hyperlink" Id="rId52" Target="https://hadeethenc.com/en/browse/hadith/3738" TargetMode="External" /><Relationship Type="http://schemas.openxmlformats.org/officeDocument/2006/relationships/hyperlink" Id="rId55" Target="https://islamqa.info/en/answers/148176" TargetMode="External" /><Relationship Type="http://schemas.openxmlformats.org/officeDocument/2006/relationships/hyperlink" Id="rId45" Target="https://pmc.ncbi.nlm.nih.gov/articles/PMC3010965/?utm_source=chatgpt.com" TargetMode="External" /><Relationship Type="http://schemas.openxmlformats.org/officeDocument/2006/relationships/hyperlink" Id="rId47" Target="https://pmc.ncbi.nlm.nih.gov/articles/PMC3153800/" TargetMode="External" /><Relationship Type="http://schemas.openxmlformats.org/officeDocument/2006/relationships/hyperlink" Id="rId42" Target="https://psychclassics.yorku.ca/Maslow/motivation.htm?utm_source=chatgpt.com" TargetMode="External" /><Relationship Type="http://schemas.openxmlformats.org/officeDocument/2006/relationships/hyperlink" Id="rId23" Target="https://pubmed.ncbi.nlm.nih.gov/7777651/?utm_source=chatgpt.com" TargetMode="External" /><Relationship Type="http://schemas.openxmlformats.org/officeDocument/2006/relationships/hyperlink" Id="rId30" Target="https://quran.com/al-baqarah/148-150" TargetMode="External" /><Relationship Type="http://schemas.openxmlformats.org/officeDocument/2006/relationships/hyperlink" Id="rId34" Target="https://quran.com/en/al-hujurat/11-12" TargetMode="External" /><Relationship Type="http://schemas.openxmlformats.org/officeDocument/2006/relationships/hyperlink" Id="rId35" Target="https://quran.com/en/al-hujurat/12" TargetMode="External" /><Relationship Type="http://schemas.openxmlformats.org/officeDocument/2006/relationships/hyperlink" Id="rId36" Target="https://quran.com/en/al-hujurat/13" TargetMode="External" /><Relationship Type="http://schemas.openxmlformats.org/officeDocument/2006/relationships/hyperlink" Id="rId31" Target="https://quran.com/en/al-maidah/2" TargetMode="External" /><Relationship Type="http://schemas.openxmlformats.org/officeDocument/2006/relationships/hyperlink" Id="rId40" Target="https://quran.com/en/an-najm/32" TargetMode="External" /><Relationship Type="http://schemas.openxmlformats.org/officeDocument/2006/relationships/hyperlink" Id="rId29" Target="https://quran.com/en/an-nisa/32" TargetMode="External" /><Relationship Type="http://schemas.openxmlformats.org/officeDocument/2006/relationships/hyperlink" Id="rId22" Target="https://quran.com/en/an-nur/38" TargetMode="External" /><Relationship Type="http://schemas.openxmlformats.org/officeDocument/2006/relationships/hyperlink" Id="rId27" Target="https://quran.com/en/az-zumar/10" TargetMode="External" /><Relationship Type="http://schemas.openxmlformats.org/officeDocument/2006/relationships/hyperlink" Id="rId59" Target="https://quran.com/saba/39" TargetMode="External" /><Relationship Type="http://schemas.openxmlformats.org/officeDocument/2006/relationships/hyperlink" Id="rId43" Target="https://selfdeterminationtheory.org/SDT/documents/2000_RyanDeci_SDT.pdf" TargetMode="External" /><Relationship Type="http://schemas.openxmlformats.org/officeDocument/2006/relationships/hyperlink" Id="rId33" Target="https://sunnah.com/adab%3A215" TargetMode="External" /><Relationship Type="http://schemas.openxmlformats.org/officeDocument/2006/relationships/hyperlink" Id="rId49" Target="https://sunnah.com/bukhari%3A1409" TargetMode="External" /><Relationship Type="http://schemas.openxmlformats.org/officeDocument/2006/relationships/hyperlink" Id="rId51" Target="https://sunnah.com/bukhari%3A1896?utm_source=chatgpt.com" TargetMode="External" /><Relationship Type="http://schemas.openxmlformats.org/officeDocument/2006/relationships/hyperlink" Id="rId54" Target="https://sunnah.com/bukhari%3A1897?utm_source=chatgpt.com" TargetMode="External" /><Relationship Type="http://schemas.openxmlformats.org/officeDocument/2006/relationships/hyperlink" Id="rId25" Target="https://sunnah.com/bukhari%3A3257?utm_source=chatgpt.com" TargetMode="External" /><Relationship Type="http://schemas.openxmlformats.org/officeDocument/2006/relationships/hyperlink" Id="rId37" Target="https://sunnah.com/bukhari%3A6011" TargetMode="External" /><Relationship Type="http://schemas.openxmlformats.org/officeDocument/2006/relationships/hyperlink" Id="rId38" Target="https://sunnah.com/bukhari%3A6162" TargetMode="External" /><Relationship Type="http://schemas.openxmlformats.org/officeDocument/2006/relationships/hyperlink" Id="rId53" Target="https://sunnah.com/muslim%3A1152" TargetMode="External" /><Relationship Type="http://schemas.openxmlformats.org/officeDocument/2006/relationships/hyperlink" Id="rId28" Target="https://sunnah.com/muslim%3A186a" TargetMode="External" /><Relationship Type="http://schemas.openxmlformats.org/officeDocument/2006/relationships/hyperlink" Id="rId56" Target="https://sunnah.com/muslim%3A234a?utm_source=chatgpt.com" TargetMode="External" /><Relationship Type="http://schemas.openxmlformats.org/officeDocument/2006/relationships/hyperlink" Id="rId21" Target="https://sunnah.com/muslim%3A2577a" TargetMode="External" /><Relationship Type="http://schemas.openxmlformats.org/officeDocument/2006/relationships/hyperlink" Id="rId39" Target="https://sunnah.com/muslim%3A3002a" TargetMode="External" /><Relationship Type="http://schemas.openxmlformats.org/officeDocument/2006/relationships/hyperlink" Id="rId24" Target="https://sunnah.com/tirmidhi%3A1954" TargetMode="External" /><Relationship Type="http://schemas.openxmlformats.org/officeDocument/2006/relationships/hyperlink" Id="rId48" Target="https://www.frontiersin.org/journals/psychiatry/articles/10.3389/fpsyt.2018.00139/full" TargetMode="External" /><Relationship Type="http://schemas.openxmlformats.org/officeDocument/2006/relationships/hyperlink" Id="rId46" Target="https://www.humanscience.org/docs/Festinger%20%281954%29%20A%20Theory%20of%20Social%20Comparison%20Processes.pdf" TargetMode="External" /><Relationship Type="http://schemas.openxmlformats.org/officeDocument/2006/relationships/hyperlink" Id="rId57" Target="https://www.islamweb.net/en/fatwa/84473/gates-of-paradise" TargetMode="External" /></Relationships>
</file>

<file path=word/_rels/footnotes.xml.rels><?xml version="1.0" encoding="UTF-8"?><Relationships xmlns="http://schemas.openxmlformats.org/package/2006/relationships"><Relationship Type="http://schemas.openxmlformats.org/officeDocument/2006/relationships/hyperlink" Id="rId44" Target="https://emmons.faculty.ucdavis.edu/wp-content/uploads/sites/90/2015/08/2003_2-Emmons_McCullough_2003_JPSP.pdf" TargetMode="External" /><Relationship Type="http://schemas.openxmlformats.org/officeDocument/2006/relationships/hyperlink" Id="rId52" Target="https://hadeethenc.com/en/browse/hadith/3738" TargetMode="External" /><Relationship Type="http://schemas.openxmlformats.org/officeDocument/2006/relationships/hyperlink" Id="rId55" Target="https://islamqa.info/en/answers/148176" TargetMode="External" /><Relationship Type="http://schemas.openxmlformats.org/officeDocument/2006/relationships/hyperlink" Id="rId45" Target="https://pmc.ncbi.nlm.nih.gov/articles/PMC3010965/?utm_source=chatgpt.com" TargetMode="External" /><Relationship Type="http://schemas.openxmlformats.org/officeDocument/2006/relationships/hyperlink" Id="rId47" Target="https://pmc.ncbi.nlm.nih.gov/articles/PMC3153800/" TargetMode="External" /><Relationship Type="http://schemas.openxmlformats.org/officeDocument/2006/relationships/hyperlink" Id="rId42" Target="https://psychclassics.yorku.ca/Maslow/motivation.htm?utm_source=chatgpt.com" TargetMode="External" /><Relationship Type="http://schemas.openxmlformats.org/officeDocument/2006/relationships/hyperlink" Id="rId23" Target="https://pubmed.ncbi.nlm.nih.gov/7777651/?utm_source=chatgpt.com" TargetMode="External" /><Relationship Type="http://schemas.openxmlformats.org/officeDocument/2006/relationships/hyperlink" Id="rId30" Target="https://quran.com/al-baqarah/148-150" TargetMode="External" /><Relationship Type="http://schemas.openxmlformats.org/officeDocument/2006/relationships/hyperlink" Id="rId34" Target="https://quran.com/en/al-hujurat/11-12" TargetMode="External" /><Relationship Type="http://schemas.openxmlformats.org/officeDocument/2006/relationships/hyperlink" Id="rId35" Target="https://quran.com/en/al-hujurat/12" TargetMode="External" /><Relationship Type="http://schemas.openxmlformats.org/officeDocument/2006/relationships/hyperlink" Id="rId36" Target="https://quran.com/en/al-hujurat/13" TargetMode="External" /><Relationship Type="http://schemas.openxmlformats.org/officeDocument/2006/relationships/hyperlink" Id="rId31" Target="https://quran.com/en/al-maidah/2" TargetMode="External" /><Relationship Type="http://schemas.openxmlformats.org/officeDocument/2006/relationships/hyperlink" Id="rId40" Target="https://quran.com/en/an-najm/32" TargetMode="External" /><Relationship Type="http://schemas.openxmlformats.org/officeDocument/2006/relationships/hyperlink" Id="rId29" Target="https://quran.com/en/an-nisa/32" TargetMode="External" /><Relationship Type="http://schemas.openxmlformats.org/officeDocument/2006/relationships/hyperlink" Id="rId22" Target="https://quran.com/en/an-nur/38" TargetMode="External" /><Relationship Type="http://schemas.openxmlformats.org/officeDocument/2006/relationships/hyperlink" Id="rId27" Target="https://quran.com/en/az-zumar/10" TargetMode="External" /><Relationship Type="http://schemas.openxmlformats.org/officeDocument/2006/relationships/hyperlink" Id="rId59" Target="https://quran.com/saba/39" TargetMode="External" /><Relationship Type="http://schemas.openxmlformats.org/officeDocument/2006/relationships/hyperlink" Id="rId43" Target="https://selfdeterminationtheory.org/SDT/documents/2000_RyanDeci_SDT.pdf" TargetMode="External" /><Relationship Type="http://schemas.openxmlformats.org/officeDocument/2006/relationships/hyperlink" Id="rId33" Target="https://sunnah.com/adab%3A215" TargetMode="External" /><Relationship Type="http://schemas.openxmlformats.org/officeDocument/2006/relationships/hyperlink" Id="rId49" Target="https://sunnah.com/bukhari%3A1409" TargetMode="External" /><Relationship Type="http://schemas.openxmlformats.org/officeDocument/2006/relationships/hyperlink" Id="rId51" Target="https://sunnah.com/bukhari%3A1896?utm_source=chatgpt.com" TargetMode="External" /><Relationship Type="http://schemas.openxmlformats.org/officeDocument/2006/relationships/hyperlink" Id="rId54" Target="https://sunnah.com/bukhari%3A1897?utm_source=chatgpt.com" TargetMode="External" /><Relationship Type="http://schemas.openxmlformats.org/officeDocument/2006/relationships/hyperlink" Id="rId25" Target="https://sunnah.com/bukhari%3A3257?utm_source=chatgpt.com" TargetMode="External" /><Relationship Type="http://schemas.openxmlformats.org/officeDocument/2006/relationships/hyperlink" Id="rId37" Target="https://sunnah.com/bukhari%3A6011" TargetMode="External" /><Relationship Type="http://schemas.openxmlformats.org/officeDocument/2006/relationships/hyperlink" Id="rId38" Target="https://sunnah.com/bukhari%3A6162" TargetMode="External" /><Relationship Type="http://schemas.openxmlformats.org/officeDocument/2006/relationships/hyperlink" Id="rId53" Target="https://sunnah.com/muslim%3A1152" TargetMode="External" /><Relationship Type="http://schemas.openxmlformats.org/officeDocument/2006/relationships/hyperlink" Id="rId28" Target="https://sunnah.com/muslim%3A186a" TargetMode="External" /><Relationship Type="http://schemas.openxmlformats.org/officeDocument/2006/relationships/hyperlink" Id="rId56" Target="https://sunnah.com/muslim%3A234a?utm_source=chatgpt.com" TargetMode="External" /><Relationship Type="http://schemas.openxmlformats.org/officeDocument/2006/relationships/hyperlink" Id="rId21" Target="https://sunnah.com/muslim%3A2577a" TargetMode="External" /><Relationship Type="http://schemas.openxmlformats.org/officeDocument/2006/relationships/hyperlink" Id="rId39" Target="https://sunnah.com/muslim%3A3002a" TargetMode="External" /><Relationship Type="http://schemas.openxmlformats.org/officeDocument/2006/relationships/hyperlink" Id="rId24" Target="https://sunnah.com/tirmidhi%3A1954" TargetMode="External" /><Relationship Type="http://schemas.openxmlformats.org/officeDocument/2006/relationships/hyperlink" Id="rId48" Target="https://www.frontiersin.org/journals/psychiatry/articles/10.3389/fpsyt.2018.00139/full" TargetMode="External" /><Relationship Type="http://schemas.openxmlformats.org/officeDocument/2006/relationships/hyperlink" Id="rId46" Target="https://www.humanscience.org/docs/Festinger%20%281954%29%20A%20Theory%20of%20Social%20Comparison%20Processes.pdf" TargetMode="External" /><Relationship Type="http://schemas.openxmlformats.org/officeDocument/2006/relationships/hyperlink" Id="rId57" Target="https://www.islamweb.net/en/fatwa/84473/gates-of-paradis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2026-02-23T11:04:05Z</dcterms:created>
  <dcterms:modified xsi:type="dcterms:W3CDTF">2026-02-23T11:04:05Z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