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4" w:name="content"/>
    <w:bookmarkStart w:id="53" w:name="X386572094fa1a648ab68ee32648d8274129d0b7"/>
    <w:p>
      <w:pPr>
        <w:pStyle w:val="Heading1"/>
      </w:pPr>
      <w:r>
        <w:t xml:space="preserve">Arabic Root Architecture and the Case for Premeditated Revelation</w:t>
      </w:r>
    </w:p>
    <w:bookmarkStart w:id="23" w:name="abstract"/>
    <w:p>
      <w:pPr>
        <w:pStyle w:val="Heading2"/>
      </w:pPr>
      <w:r>
        <w:t xml:space="preserve">Abstract</w:t>
      </w:r>
    </w:p>
    <w:p>
      <w:pPr>
        <w:pStyle w:val="FirstParagraph"/>
      </w:pPr>
      <w:r>
        <w:t xml:space="preserve">A common philosophical inference is that robust</w:t>
      </w:r>
      <w:r>
        <w:t xml:space="preserve"> </w:t>
      </w:r>
      <w:r>
        <w:rPr>
          <w:i/>
          <w:iCs/>
        </w:rPr>
        <w:t xml:space="preserve">systematicity</w:t>
      </w:r>
      <w:r>
        <w:t xml:space="preserve">—especially when it spans many domains and is productive rather than merely decorative—often suggests prior “architecture,” not mere happenstance. Two recent essays by Zia H Shah</w:t>
      </w:r>
      <w:hyperlink r:id="rId21">
        <w:r>
          <w:rPr>
            <w:rStyle w:val="Hyperlink"/>
          </w:rPr>
          <w:t xml:space="preserve">[1]</w:t>
        </w:r>
      </w:hyperlink>
      <w:r>
        <w:t xml:space="preserve"> </w:t>
      </w:r>
      <w:r>
        <w:t xml:space="preserve">argue that Arabic’s root-and-pattern morphology (the tri-consonantal root system and its predictable derivations across verbs and nouns) looks less like blind linguistic drift and more like an intentional blueprint, analogous to how scientific communities deliberately impose naming standards to prevent ambiguity.</w:t>
      </w:r>
      <w:r>
        <w:t xml:space="preserve"> </w:t>
      </w:r>
      <w:hyperlink r:id="rId21">
        <w:r>
          <w:rPr>
            <w:rStyle w:val="Hyperlink"/>
          </w:rPr>
          <w:t xml:space="preserve">[2]</w:t>
        </w:r>
      </w:hyperlink>
    </w:p>
    <w:p>
      <w:pPr>
        <w:pStyle w:val="BodyText"/>
      </w:pPr>
      <w:r>
        <w:t xml:space="preserve">This report reconstructs that argument in a logically explicit form, situates it within philosophy of language (including the long-standing “divine bestowal vs. human convention” debate), and supports key premises with linguistic scholarship on Arabic morphology and Semitic nonconcatenative structure. It also addresses a strong counterpoint: modern research in cultural evolution shows that “design-like” structure can emerge without central planning or a designer. The result is not a deductive proof, but an abductive (inference-to-best-explanation) case whose plausibility depends on what one takes to be</w:t>
      </w:r>
      <w:r>
        <w:t xml:space="preserve"> </w:t>
      </w:r>
      <w:r>
        <w:rPr>
          <w:i/>
          <w:iCs/>
        </w:rPr>
        <w:t xml:space="preserve">expected</w:t>
      </w:r>
      <w:r>
        <w:t xml:space="preserve"> </w:t>
      </w:r>
      <w:r>
        <w:t xml:space="preserve">under blind incrementalism versus what one takes to be adequately explained by known mechanisms of language change and standardization.</w:t>
      </w:r>
      <w:r>
        <w:t xml:space="preserve"> </w:t>
      </w:r>
      <w:hyperlink r:id="rId22">
        <w:r>
          <w:rPr>
            <w:rStyle w:val="Hyperlink"/>
          </w:rPr>
          <w:t xml:space="preserve">[3]</w:t>
        </w:r>
      </w:hyperlink>
    </w:p>
    <w:bookmarkEnd w:id="23"/>
    <w:bookmarkStart w:id="27" w:name="the-claim-and-its-conceptual-stakes"/>
    <w:p>
      <w:pPr>
        <w:pStyle w:val="Heading2"/>
      </w:pPr>
      <w:r>
        <w:t xml:space="preserve">The claim and its conceptual stakes</w:t>
      </w:r>
    </w:p>
    <w:p>
      <w:pPr>
        <w:pStyle w:val="FirstParagraph"/>
      </w:pPr>
      <w:r>
        <w:t xml:space="preserve">The core thesis you asked to defend can be stated cleanly:</w:t>
      </w:r>
    </w:p>
    <w:p>
      <w:pPr>
        <w:pStyle w:val="BodyText"/>
      </w:pPr>
      <w:r>
        <w:t xml:space="preserve">1) If languages arise and evolve “incrementally and blindly” (i.e., without overarching foresight, central planning, or teleology), there is no</w:t>
      </w:r>
      <w:r>
        <w:t xml:space="preserve"> </w:t>
      </w:r>
      <w:r>
        <w:rPr>
          <w:i/>
          <w:iCs/>
        </w:rPr>
        <w:t xml:space="preserve">logical necessity</w:t>
      </w:r>
      <w:r>
        <w:t xml:space="preserve"> </w:t>
      </w:r>
      <w:r>
        <w:t xml:space="preserve">that nouns should be systematically tied to verbs through compact generative cores (such as triliteral roots), nor that large swaths of the lexicon should participate in a relatively predictable derivational calculus.</w:t>
      </w:r>
      <w:r>
        <w:br/>
      </w:r>
      <w:r>
        <w:t xml:space="preserve">2) Arabic does display a far-reaching system in which a consonantal root recurrently anchors families of verbs, verbal nouns, nouns, participles, and more, often with recognizable semantic relatedness.</w:t>
      </w:r>
      <w:r>
        <w:t xml:space="preserve"> </w:t>
      </w:r>
      <w:hyperlink r:id="rId22">
        <w:r>
          <w:rPr>
            <w:rStyle w:val="Hyperlink"/>
          </w:rPr>
          <w:t xml:space="preserve">[4]</w:t>
        </w:r>
      </w:hyperlink>
      <w:r>
        <w:br/>
      </w:r>
      <w:r>
        <w:t xml:space="preserve">3) Therefore, Arabic’s architecture is more plausibly explained by a premeditated, “all-knowing” source (revelation or divinely guided inception), perhaps subsequently extended incrementally by human speakers inside an already-laid framework.</w:t>
      </w:r>
      <w:r>
        <w:t xml:space="preserve"> </w:t>
      </w:r>
      <w:hyperlink r:id="rId21">
        <w:r>
          <w:rPr>
            <w:rStyle w:val="Hyperlink"/>
          </w:rPr>
          <w:t xml:space="preserve">[5]</w:t>
        </w:r>
      </w:hyperlink>
    </w:p>
    <w:p>
      <w:pPr>
        <w:pStyle w:val="BodyText"/>
      </w:pPr>
      <w:r>
        <w:t xml:space="preserve">Philosophically, the argument is not “systematicity implies God” (which would be too quick), but an abductive claim about</w:t>
      </w:r>
      <w:r>
        <w:t xml:space="preserve"> </w:t>
      </w:r>
      <w:r>
        <w:rPr>
          <w:i/>
          <w:iCs/>
        </w:rPr>
        <w:t xml:space="preserve">relative expectedness</w:t>
      </w:r>
      <w:r>
        <w:t xml:space="preserve">: that the observed level and style of systematic interlock is more expected under a design/revelation hypothesis than under a blind incremental hypothesis.</w:t>
      </w:r>
      <w:r>
        <w:t xml:space="preserve"> </w:t>
      </w:r>
      <w:hyperlink r:id="rId21">
        <w:r>
          <w:rPr>
            <w:rStyle w:val="Hyperlink"/>
          </w:rPr>
          <w:t xml:space="preserve">[6]</w:t>
        </w:r>
      </w:hyperlink>
    </w:p>
    <w:p>
      <w:pPr>
        <w:pStyle w:val="BodyText"/>
      </w:pPr>
      <w:r>
        <w:t xml:space="preserve">There are two older, deeply relevant debates behind the scenes:</w:t>
      </w:r>
    </w:p>
    <w:p>
      <w:pPr>
        <w:pStyle w:val="Compact"/>
        <w:numPr>
          <w:ilvl w:val="0"/>
          <w:numId w:val="1001"/>
        </w:numPr>
      </w:pPr>
      <w:r>
        <w:rPr>
          <w:b/>
          <w:bCs/>
        </w:rPr>
        <w:t xml:space="preserve">Theological / juristic</w:t>
      </w:r>
      <w:r>
        <w:t xml:space="preserve">: the Islamic dispute between</w:t>
      </w:r>
      <w:r>
        <w:t xml:space="preserve"> </w:t>
      </w:r>
      <w:r>
        <w:rPr>
          <w:b/>
          <w:bCs/>
        </w:rPr>
        <w:t xml:space="preserve">tawqīf</w:t>
      </w:r>
      <w:r>
        <w:t xml:space="preserve"> </w:t>
      </w:r>
      <w:r>
        <w:t xml:space="preserve">(language originates from divine bestowal) and</w:t>
      </w:r>
      <w:r>
        <w:t xml:space="preserve"> </w:t>
      </w:r>
      <w:r>
        <w:rPr>
          <w:b/>
          <w:bCs/>
        </w:rPr>
        <w:t xml:space="preserve">iṣṭilāḥ</w:t>
      </w:r>
      <w:r>
        <w:t xml:space="preserve"> </w:t>
      </w:r>
      <w:r>
        <w:t xml:space="preserve">(language originates by human convention). A modern academic overview of Ibn Hazm</w:t>
      </w:r>
      <w:hyperlink r:id="rId24">
        <w:r>
          <w:rPr>
            <w:rStyle w:val="Hyperlink"/>
          </w:rPr>
          <w:t xml:space="preserve">[7]</w:t>
        </w:r>
      </w:hyperlink>
      <w:r>
        <w:t xml:space="preserve">, for example, summarizes his pro-tawqīf argument in explicitly “chicken-and-egg” terms: if language were merely convention, people would need language to</w:t>
      </w:r>
      <w:r>
        <w:t xml:space="preserve"> </w:t>
      </w:r>
      <w:r>
        <w:rPr>
          <w:i/>
          <w:iCs/>
        </w:rPr>
        <w:t xml:space="preserve">reach</w:t>
      </w:r>
      <w:r>
        <w:t xml:space="preserve"> </w:t>
      </w:r>
      <w:r>
        <w:t xml:space="preserve">the convention.</w:t>
      </w:r>
      <w:r>
        <w:t xml:space="preserve"> </w:t>
      </w:r>
      <w:hyperlink r:id="rId25">
        <w:r>
          <w:rPr>
            <w:rStyle w:val="Hyperlink"/>
          </w:rPr>
          <w:t xml:space="preserve">[8]</w:t>
        </w:r>
      </w:hyperlink>
    </w:p>
    <w:p>
      <w:pPr>
        <w:pStyle w:val="Compact"/>
        <w:numPr>
          <w:ilvl w:val="0"/>
          <w:numId w:val="1001"/>
        </w:numPr>
      </w:pPr>
      <w:r>
        <w:rPr>
          <w:b/>
          <w:bCs/>
        </w:rPr>
        <w:t xml:space="preserve">Philosophy of language and signs</w:t>
      </w:r>
      <w:r>
        <w:t xml:space="preserve">: many modern language sciences treat the word–meaning association as largely conventional/arbitrary in the Saussurean tradition. The Stanford Encyclopedia calls this a long-standing “principle of the ‘arbitrary sign’” and notes that, with few exceptions, word forms offer little reliable guidance to meaning.</w:t>
      </w:r>
      <w:r>
        <w:t xml:space="preserve"> </w:t>
      </w:r>
      <w:hyperlink r:id="rId26">
        <w:r>
          <w:rPr>
            <w:rStyle w:val="Hyperlink"/>
          </w:rPr>
          <w:t xml:space="preserve">[9]</w:t>
        </w:r>
      </w:hyperlink>
    </w:p>
    <w:p>
      <w:pPr>
        <w:pStyle w:val="FirstParagraph"/>
      </w:pPr>
      <w:r>
        <w:t xml:space="preserve">Against that background, Arabic morphology is salient because it offers a conspicuous form–meaning</w:t>
      </w:r>
      <w:r>
        <w:t xml:space="preserve"> </w:t>
      </w:r>
      <w:r>
        <w:rPr>
          <w:i/>
          <w:iCs/>
        </w:rPr>
        <w:t xml:space="preserve">patterning</w:t>
      </w:r>
      <w:r>
        <w:t xml:space="preserve"> </w:t>
      </w:r>
      <w:r>
        <w:t xml:space="preserve">at the level of derivational families (root + template), which can reasonably feel “architectural” rather than purely idiomatic.</w:t>
      </w:r>
      <w:r>
        <w:t xml:space="preserve"> </w:t>
      </w:r>
      <w:hyperlink r:id="rId22">
        <w:r>
          <w:rPr>
            <w:rStyle w:val="Hyperlink"/>
          </w:rPr>
          <w:t xml:space="preserve">[10]</w:t>
        </w:r>
      </w:hyperlink>
    </w:p>
    <w:bookmarkEnd w:id="27"/>
    <w:bookmarkStart w:id="30" w:name="X2f015bb4ca91702f1e1f98be5b2c6eb41485aaf"/>
    <w:p>
      <w:pPr>
        <w:pStyle w:val="Heading2"/>
      </w:pPr>
      <w:r>
        <w:t xml:space="preserve">What the Arabic root-and-pattern system actually is</w:t>
      </w:r>
    </w:p>
    <w:p>
      <w:pPr>
        <w:pStyle w:val="FirstParagraph"/>
      </w:pPr>
      <w:r>
        <w:t xml:space="preserve">Mainstream linguistics describes Arabic morphology as</w:t>
      </w:r>
      <w:r>
        <w:t xml:space="preserve"> </w:t>
      </w:r>
      <w:r>
        <w:rPr>
          <w:b/>
          <w:bCs/>
        </w:rPr>
        <w:t xml:space="preserve">nonconcatenative</w:t>
      </w:r>
      <w:r>
        <w:t xml:space="preserve"> </w:t>
      </w:r>
      <w:r>
        <w:t xml:space="preserve">(or “root-and-pattern”) morphology: the word is not built purely by linear prefix/suffix stringing, but by interlocking a</w:t>
      </w:r>
      <w:r>
        <w:t xml:space="preserve"> </w:t>
      </w:r>
      <w:r>
        <w:rPr>
          <w:b/>
          <w:bCs/>
        </w:rPr>
        <w:t xml:space="preserve">consonantal root</w:t>
      </w:r>
      <w:r>
        <w:t xml:space="preserve"> </w:t>
      </w:r>
      <w:r>
        <w:t xml:space="preserve">(often three consonants) with a</w:t>
      </w:r>
      <w:r>
        <w:t xml:space="preserve"> </w:t>
      </w:r>
      <w:r>
        <w:rPr>
          <w:b/>
          <w:bCs/>
        </w:rPr>
        <w:t xml:space="preserve">vocalic/morphological template</w:t>
      </w:r>
      <w:r>
        <w:t xml:space="preserve">.</w:t>
      </w:r>
      <w:r>
        <w:t xml:space="preserve"> </w:t>
      </w:r>
      <w:hyperlink r:id="rId22">
        <w:r>
          <w:rPr>
            <w:rStyle w:val="Hyperlink"/>
          </w:rPr>
          <w:t xml:space="preserve">[11]</w:t>
        </w:r>
      </w:hyperlink>
    </w:p>
    <w:p>
      <w:pPr>
        <w:pStyle w:val="BodyText"/>
      </w:pPr>
      <w:r>
        <w:t xml:space="preserve">A widely used reference grammar by Karin C. Ryding</w:t>
      </w:r>
      <w:hyperlink r:id="rId26">
        <w:r>
          <w:rPr>
            <w:rStyle w:val="Hyperlink"/>
          </w:rPr>
          <w:t xml:space="preserve">[12]</w:t>
        </w:r>
      </w:hyperlink>
      <w:r>
        <w:t xml:space="preserve"> </w:t>
      </w:r>
      <w:r>
        <w:t xml:space="preserve">makes the point starkly:</w:t>
      </w:r>
    </w:p>
    <w:p>
      <w:pPr>
        <w:pStyle w:val="BlockText"/>
      </w:pPr>
      <w:r>
        <w:t xml:space="preserve">“Arabic morphology exhibits rigorous and elegant logic.”</w:t>
      </w:r>
      <w:r>
        <w:t xml:space="preserve"> </w:t>
      </w:r>
      <w:hyperlink r:id="rId22">
        <w:r>
          <w:rPr>
            <w:rStyle w:val="Hyperlink"/>
          </w:rPr>
          <w:t xml:space="preserve">[13]</w:t>
        </w:r>
      </w:hyperlink>
    </w:p>
    <w:p>
      <w:pPr>
        <w:pStyle w:val="FirstParagraph"/>
      </w:pPr>
      <w:r>
        <w:t xml:space="preserve">She immediately specifies what that “logic” consists in: discontinuous morphemes (roots) interlocking with vowel patterns (and sometimes additional consonants) to form stems.</w:t>
      </w:r>
      <w:r>
        <w:t xml:space="preserve"> </w:t>
      </w:r>
      <w:hyperlink r:id="rId22">
        <w:r>
          <w:rPr>
            <w:rStyle w:val="Hyperlink"/>
          </w:rPr>
          <w:t xml:space="preserve">[14]</w:t>
        </w:r>
      </w:hyperlink>
    </w:p>
    <w:p>
      <w:pPr>
        <w:pStyle w:val="BodyText"/>
      </w:pPr>
      <w:r>
        <w:t xml:space="preserve">A classic technical paper by John J. McCarthy</w:t>
      </w:r>
      <w:hyperlink r:id="rId25">
        <w:r>
          <w:rPr>
            <w:rStyle w:val="Hyperlink"/>
          </w:rPr>
          <w:t xml:space="preserve">[15]</w:t>
        </w:r>
      </w:hyperlink>
      <w:r>
        <w:t xml:space="preserve"> </w:t>
      </w:r>
      <w:r>
        <w:t xml:space="preserve">highlights why this is analytically striking: in Arabic “there is a clear sense” that many forms are morphologically related even when they do not share a continuous substring in the way English affixes do; he illustrates with a writing-family set (kataba/kattaba/kaataba/…/kitaabun/maktabun, etc.).</w:t>
      </w:r>
      <w:r>
        <w:t xml:space="preserve"> </w:t>
      </w:r>
      <w:hyperlink r:id="rId28">
        <w:r>
          <w:rPr>
            <w:rStyle w:val="Hyperlink"/>
          </w:rPr>
          <w:t xml:space="preserve">[16]</w:t>
        </w:r>
      </w:hyperlink>
    </w:p>
    <w:p>
      <w:pPr>
        <w:pStyle w:val="BodyText"/>
      </w:pPr>
      <w:r>
        <w:t xml:space="preserve">Ryding offers the same family in a learner-facing way, explicitly showing how one semantic field (“writing”) fans out into verbs, nouns, plural patterns, and imperatives through template changes.</w:t>
      </w:r>
      <w:r>
        <w:t xml:space="preserve"> </w:t>
      </w:r>
      <w:hyperlink r:id="rId22">
        <w:r>
          <w:rPr>
            <w:rStyle w:val="Hyperlink"/>
          </w:rPr>
          <w:t xml:space="preserve">[17]</w:t>
        </w:r>
      </w:hyperlink>
    </w:p>
    <w:p>
      <w:pPr>
        <w:pStyle w:val="BodyText"/>
      </w:pPr>
      <w:r>
        <w:t xml:space="preserve">Because the system is productive, it does not merely</w:t>
      </w:r>
      <w:r>
        <w:t xml:space="preserve"> </w:t>
      </w:r>
      <w:r>
        <w:rPr>
          <w:i/>
          <w:iCs/>
        </w:rPr>
        <w:t xml:space="preserve">link</w:t>
      </w:r>
      <w:r>
        <w:t xml:space="preserve"> </w:t>
      </w:r>
      <w:r>
        <w:t xml:space="preserve">existing words; it functions like a generative design space. Ryding states that understanding root–pattern composition lets learners “wisely guess” meanings and “lightens the load” of vocabulary learning by compositional semantics (root meaning + pattern meaning).</w:t>
      </w:r>
      <w:r>
        <w:t xml:space="preserve"> </w:t>
      </w:r>
      <w:hyperlink r:id="rId22">
        <w:r>
          <w:rPr>
            <w:rStyle w:val="Hyperlink"/>
          </w:rPr>
          <w:t xml:space="preserve">[18]</w:t>
        </w:r>
      </w:hyperlink>
    </w:p>
    <w:p>
      <w:pPr>
        <w:pStyle w:val="BodyText"/>
      </w:pPr>
      <w:r>
        <w:t xml:space="preserve">One more crucial point for your argument is that Arabic’s architecture is not only a modern linguist’s abstraction; it was also central to the classical grammatical tradition. In a historical survey, Kees Versteegh</w:t>
      </w:r>
      <w:hyperlink r:id="rId22">
        <w:r>
          <w:rPr>
            <w:rStyle w:val="Hyperlink"/>
          </w:rPr>
          <w:t xml:space="preserve">[19]</w:t>
        </w:r>
      </w:hyperlink>
      <w:r>
        <w:t xml:space="preserve"> </w:t>
      </w:r>
      <w:r>
        <w:t xml:space="preserve">describes how Arabic grammarians formulated</w:t>
      </w:r>
      <w:r>
        <w:t xml:space="preserve"> </w:t>
      </w:r>
      <w:r>
        <w:rPr>
          <w:i/>
          <w:iCs/>
        </w:rPr>
        <w:t xml:space="preserve">constraints</w:t>
      </w:r>
      <w:r>
        <w:t xml:space="preserve"> </w:t>
      </w:r>
      <w:r>
        <w:t xml:space="preserve">on root formation (e.g., restrictions on co-occurrence of similar consonants), using articulatory classes—evidence that the “root” is not a purely modern construct but part of the analytic and normative self-understanding of the language tradition.</w:t>
      </w:r>
      <w:r>
        <w:t xml:space="preserve"> </w:t>
      </w:r>
      <w:hyperlink r:id="rId29">
        <w:r>
          <w:rPr>
            <w:rStyle w:val="Hyperlink"/>
          </w:rPr>
          <w:t xml:space="preserve">[20]</w:t>
        </w:r>
      </w:hyperlink>
    </w:p>
    <w:bookmarkEnd w:id="30"/>
    <w:bookmarkStart w:id="37" w:name="X0c825ee74b54ba9711764b97c11617d1bdd0c1f"/>
    <w:p>
      <w:pPr>
        <w:pStyle w:val="Heading2"/>
      </w:pPr>
      <w:r>
        <w:t xml:space="preserve">A philosophical argument for premeditated architecture</w:t>
      </w:r>
    </w:p>
    <w:p>
      <w:pPr>
        <w:pStyle w:val="FirstParagraph"/>
      </w:pPr>
      <w:r>
        <w:t xml:space="preserve">The strongest version of the “premeditation” argument is not that Arabic has rules—many languages do—but that Arabic’s</w:t>
      </w:r>
      <w:r>
        <w:t xml:space="preserve"> </w:t>
      </w:r>
      <w:r>
        <w:rPr>
          <w:b/>
          <w:bCs/>
        </w:rPr>
        <w:t xml:space="preserve">lexical architecture</w:t>
      </w:r>
      <w:r>
        <w:t xml:space="preserve"> </w:t>
      </w:r>
      <w:r>
        <w:t xml:space="preserve">behaves like a compact</w:t>
      </w:r>
      <w:r>
        <w:t xml:space="preserve"> </w:t>
      </w:r>
      <w:r>
        <w:rPr>
          <w:i/>
          <w:iCs/>
        </w:rPr>
        <w:t xml:space="preserve">codebook</w:t>
      </w:r>
      <w:r>
        <w:t xml:space="preserve"> </w:t>
      </w:r>
      <w:r>
        <w:t xml:space="preserve">in which (a) semantic domains cluster around roots and (b) grammatical/semantic nuances are mapped by reusable templates with high regularity.</w:t>
      </w:r>
      <w:r>
        <w:t xml:space="preserve"> </w:t>
      </w:r>
      <w:hyperlink r:id="rId22">
        <w:r>
          <w:rPr>
            <w:rStyle w:val="Hyperlink"/>
          </w:rPr>
          <w:t xml:space="preserve">[21]</w:t>
        </w:r>
      </w:hyperlink>
    </w:p>
    <w:p>
      <w:pPr>
        <w:pStyle w:val="BodyText"/>
      </w:pPr>
      <w:r>
        <w:t xml:space="preserve">A clean logical-philosophical reconstruction looks like this.</w:t>
      </w:r>
    </w:p>
    <w:p>
      <w:pPr>
        <w:pStyle w:val="BodyText"/>
      </w:pPr>
      <w:r>
        <w:t xml:space="preserve">First, define two explanatory hypotheses:</w:t>
      </w:r>
    </w:p>
    <w:p>
      <w:pPr>
        <w:pStyle w:val="Compact"/>
        <w:numPr>
          <w:ilvl w:val="0"/>
          <w:numId w:val="1002"/>
        </w:numPr>
      </w:pPr>
      <w:r>
        <w:rPr>
          <w:b/>
          <w:bCs/>
        </w:rPr>
        <w:t xml:space="preserve">Blind incrementalism (BI):</w:t>
      </w:r>
      <w:r>
        <w:t xml:space="preserve"> </w:t>
      </w:r>
      <w:r>
        <w:t xml:space="preserve">language structure is the cumulative byproduct of local interactions, learning, analogy, and drift, without overarching foresight (even if speakers are intelligent, the system itself is not centrally planned across generations).</w:t>
      </w:r>
      <w:r>
        <w:t xml:space="preserve"> </w:t>
      </w:r>
      <w:hyperlink r:id="rId31">
        <w:r>
          <w:rPr>
            <w:rStyle w:val="Hyperlink"/>
          </w:rPr>
          <w:t xml:space="preserve">[22]</w:t>
        </w:r>
      </w:hyperlink>
    </w:p>
    <w:p>
      <w:pPr>
        <w:pStyle w:val="Compact"/>
        <w:numPr>
          <w:ilvl w:val="0"/>
          <w:numId w:val="1002"/>
        </w:numPr>
      </w:pPr>
      <w:r>
        <w:rPr>
          <w:b/>
          <w:bCs/>
        </w:rPr>
        <w:t xml:space="preserve">Premeditated architecture (PA):</w:t>
      </w:r>
      <w:r>
        <w:t xml:space="preserve"> </w:t>
      </w:r>
      <w:r>
        <w:t xml:space="preserve">a core generative framework (roots + templates + systematic relations) is intentionally laid down early (whether by divine revelation directly or by divinely guided establishment), and later human usage largely expands vocabulary</w:t>
      </w:r>
      <w:r>
        <w:t xml:space="preserve"> </w:t>
      </w:r>
      <w:r>
        <w:rPr>
          <w:i/>
          <w:iCs/>
        </w:rPr>
        <w:t xml:space="preserve">inside</w:t>
      </w:r>
      <w:r>
        <w:t xml:space="preserve"> </w:t>
      </w:r>
      <w:r>
        <w:t xml:space="preserve">that framework.</w:t>
      </w:r>
      <w:r>
        <w:t xml:space="preserve"> </w:t>
      </w:r>
      <w:hyperlink r:id="rId21">
        <w:r>
          <w:rPr>
            <w:rStyle w:val="Hyperlink"/>
          </w:rPr>
          <w:t xml:space="preserve">[5]</w:t>
        </w:r>
      </w:hyperlink>
    </w:p>
    <w:p>
      <w:pPr>
        <w:pStyle w:val="FirstParagraph"/>
      </w:pPr>
      <w:r>
        <w:t xml:space="preserve">Then argue via inference to best explanation:</w:t>
      </w:r>
    </w:p>
    <w:bookmarkStart w:id="32" w:name="Xc78575960d141ddbc194dbc8a8e57856a59da36"/>
    <w:p>
      <w:pPr>
        <w:pStyle w:val="Heading3"/>
      </w:pPr>
      <w:r>
        <w:t xml:space="preserve">Structural compression as a “signature” of architecture</w:t>
      </w:r>
    </w:p>
    <w:p>
      <w:pPr>
        <w:pStyle w:val="FirstParagraph"/>
      </w:pPr>
      <w:r>
        <w:t xml:space="preserve">Arabic’s root–pattern system is</w:t>
      </w:r>
      <w:r>
        <w:t xml:space="preserve"> </w:t>
      </w:r>
      <w:r>
        <w:rPr>
          <w:b/>
          <w:bCs/>
        </w:rPr>
        <w:t xml:space="preserve">compressive</w:t>
      </w:r>
      <w:r>
        <w:t xml:space="preserve">: once the learner has grasped a root and a set of common templates, a large family of related words becomes more learnable than if each word were opaque. Ryding explicitly emphasizes this “deduce/guess” benefit and vocabulary reduction effect.</w:t>
      </w:r>
      <w:r>
        <w:t xml:space="preserve"> </w:t>
      </w:r>
      <w:hyperlink r:id="rId22">
        <w:r>
          <w:rPr>
            <w:rStyle w:val="Hyperlink"/>
          </w:rPr>
          <w:t xml:space="preserve">[23]</w:t>
        </w:r>
      </w:hyperlink>
    </w:p>
    <w:p>
      <w:pPr>
        <w:pStyle w:val="BodyText"/>
      </w:pPr>
      <w:r>
        <w:t xml:space="preserve">From a philosophy-of-mind angle, compressive design is exactly what we expect when a system is built for</w:t>
      </w:r>
      <w:r>
        <w:t xml:space="preserve"> </w:t>
      </w:r>
      <w:r>
        <w:rPr>
          <w:i/>
          <w:iCs/>
        </w:rPr>
        <w:t xml:space="preserve">teachable generalization</w:t>
      </w:r>
      <w:r>
        <w:t xml:space="preserve">: a small number of reusable generative principles yields wide coverage. That is one sense in which the system resembles engineered naming frameworks: it reduces ambiguity and cognitive load by enforcing stable reusable patterns.</w:t>
      </w:r>
      <w:r>
        <w:t xml:space="preserve"> </w:t>
      </w:r>
      <w:hyperlink r:id="rId22">
        <w:r>
          <w:rPr>
            <w:rStyle w:val="Hyperlink"/>
          </w:rPr>
          <w:t xml:space="preserve">[24]</w:t>
        </w:r>
      </w:hyperlink>
    </w:p>
    <w:bookmarkEnd w:id="32"/>
    <w:bookmarkStart w:id="34" w:name="Xdaa04f7f59d5359ff36741367eb07587a6e8d79"/>
    <w:p>
      <w:pPr>
        <w:pStyle w:val="Heading3"/>
      </w:pPr>
      <w:r>
        <w:t xml:space="preserve">The analogy to explicit human standard setting</w:t>
      </w:r>
    </w:p>
    <w:p>
      <w:pPr>
        <w:pStyle w:val="FirstParagraph"/>
      </w:pPr>
      <w:r>
        <w:t xml:space="preserve">Shah’s “architecture” essay foregrounds an analogy: where humans require committees and formal review to maintain naming consistency in complex domains, Arabic appears to supply internal consistency</w:t>
      </w:r>
      <w:r>
        <w:t xml:space="preserve"> </w:t>
      </w:r>
      <w:r>
        <w:rPr>
          <w:i/>
          <w:iCs/>
        </w:rPr>
        <w:t xml:space="preserve">as a native feature of the language</w:t>
      </w:r>
      <w:r>
        <w:t xml:space="preserve">, not as a late overlay.</w:t>
      </w:r>
      <w:r>
        <w:t xml:space="preserve"> </w:t>
      </w:r>
      <w:hyperlink r:id="rId21">
        <w:r>
          <w:rPr>
            <w:rStyle w:val="Hyperlink"/>
          </w:rPr>
          <w:t xml:space="preserve">[2]</w:t>
        </w:r>
      </w:hyperlink>
    </w:p>
    <w:p>
      <w:pPr>
        <w:pStyle w:val="BodyText"/>
      </w:pPr>
      <w:r>
        <w:t xml:space="preserve">As one concrete benchmark for what deliberate standardization looks like, the International Union of Pure and Applied Chemistry</w:t>
      </w:r>
      <w:hyperlink r:id="rId29">
        <w:r>
          <w:rPr>
            <w:rStyle w:val="Hyperlink"/>
          </w:rPr>
          <w:t xml:space="preserve">[25]</w:t>
        </w:r>
      </w:hyperlink>
      <w:r>
        <w:t xml:space="preserve"> </w:t>
      </w:r>
      <w:r>
        <w:t xml:space="preserve">describes how draft nomenclature recommendations are publicly released for “four months” of comment before final publication.</w:t>
      </w:r>
      <w:r>
        <w:t xml:space="preserve"> </w:t>
      </w:r>
      <w:hyperlink r:id="rId33">
        <w:r>
          <w:rPr>
            <w:rStyle w:val="Hyperlink"/>
          </w:rPr>
          <w:t xml:space="preserve">[26]</w:t>
        </w:r>
      </w:hyperlink>
    </w:p>
    <w:p>
      <w:pPr>
        <w:pStyle w:val="BodyText"/>
      </w:pPr>
      <w:r>
        <w:t xml:space="preserve">The philosophical pressure point of the analogy is: if even modern global scientific communities struggle to maintain stable naming coherence without explicit, slow governance, how plausible is it that a massively productive lexical “grid” could arise without any top-down premeditation?</w:t>
      </w:r>
    </w:p>
    <w:p>
      <w:pPr>
        <w:pStyle w:val="BodyText"/>
      </w:pPr>
      <w:r>
        <w:t xml:space="preserve">This analogy doesn’t prove PA, but it supports a weaker claim:</w:t>
      </w:r>
      <w:r>
        <w:t xml:space="preserve"> </w:t>
      </w:r>
      <w:r>
        <w:rPr>
          <w:b/>
          <w:bCs/>
        </w:rPr>
        <w:t xml:space="preserve">highly governed-looking consistency is at least evidence that raises the plausibility of intentional architecture</w:t>
      </w:r>
      <w:r>
        <w:t xml:space="preserve">, unless BI can supply comparably strong mechanisms for producing and maintaining that level of system-wide coherence.</w:t>
      </w:r>
      <w:r>
        <w:t xml:space="preserve"> </w:t>
      </w:r>
      <w:hyperlink r:id="rId33">
        <w:r>
          <w:rPr>
            <w:rStyle w:val="Hyperlink"/>
          </w:rPr>
          <w:t xml:space="preserve">[27]</w:t>
        </w:r>
      </w:hyperlink>
    </w:p>
    <w:bookmarkEnd w:id="34"/>
    <w:bookmarkStart w:id="36" w:name="the-role-of-preservation-and-stability"/>
    <w:p>
      <w:pPr>
        <w:pStyle w:val="Heading3"/>
      </w:pPr>
      <w:r>
        <w:t xml:space="preserve">The role of preservation and stability</w:t>
      </w:r>
    </w:p>
    <w:p>
      <w:pPr>
        <w:pStyle w:val="FirstParagraph"/>
      </w:pPr>
      <w:r>
        <w:t xml:space="preserve">A second support for PA is the perception that Classical Arabic has exhibited unusual stability in its formal register. A key sociolinguistic explanation, however, is</w:t>
      </w:r>
      <w:r>
        <w:t xml:space="preserve"> </w:t>
      </w:r>
      <w:r>
        <w:rPr>
          <w:b/>
          <w:bCs/>
        </w:rPr>
        <w:t xml:space="preserve">diglossia</w:t>
      </w:r>
      <w:r>
        <w:t xml:space="preserve">: a “high” literary/sacral variety remains stable because it is anchored in a respected body of written literature and taught through formal education.</w:t>
      </w:r>
    </w:p>
    <w:p>
      <w:pPr>
        <w:pStyle w:val="BodyText"/>
      </w:pPr>
      <w:r>
        <w:t xml:space="preserve">In his seminal account, Charles A. Ferguson</w:t>
      </w:r>
      <w:hyperlink r:id="rId35">
        <w:r>
          <w:rPr>
            <w:rStyle w:val="Hyperlink"/>
          </w:rPr>
          <w:t xml:space="preserve">[28]</w:t>
        </w:r>
      </w:hyperlink>
      <w:r>
        <w:t xml:space="preserve"> </w:t>
      </w:r>
      <w:r>
        <w:t xml:space="preserve">writes that Arabic diglossia “seems to reach as far back as our knowledge of Arabic goes,” and that the superposed classical variety “has remained relatively stable.”</w:t>
      </w:r>
      <w:r>
        <w:t xml:space="preserve"> </w:t>
      </w:r>
      <w:hyperlink r:id="rId35">
        <w:r>
          <w:rPr>
            <w:rStyle w:val="Hyperlink"/>
          </w:rPr>
          <w:t xml:space="preserve">[29]</w:t>
        </w:r>
      </w:hyperlink>
    </w:p>
    <w:p>
      <w:pPr>
        <w:pStyle w:val="BodyText"/>
      </w:pPr>
      <w:r>
        <w:t xml:space="preserve">That observation can be deployed</w:t>
      </w:r>
      <w:r>
        <w:t xml:space="preserve"> </w:t>
      </w:r>
      <w:r>
        <w:rPr>
          <w:i/>
          <w:iCs/>
        </w:rPr>
        <w:t xml:space="preserve">either way</w:t>
      </w:r>
      <w:r>
        <w:t xml:space="preserve">:</w:t>
      </w:r>
    </w:p>
    <w:p>
      <w:pPr>
        <w:pStyle w:val="Compact"/>
        <w:numPr>
          <w:ilvl w:val="0"/>
          <w:numId w:val="1003"/>
        </w:numPr>
      </w:pPr>
      <w:r>
        <w:t xml:space="preserve">In favor of PA: stability of the formal system across centuries is “counter-entropic” in the intuitive sense that it resists drift. Shah explicitly leans on this intuition, contrasting the “tortuous” path of human nomenclature-building with the apparent coherence of Arabic’s internal taxonomy.</w:t>
      </w:r>
      <w:r>
        <w:t xml:space="preserve"> </w:t>
      </w:r>
      <w:hyperlink r:id="rId21">
        <w:r>
          <w:rPr>
            <w:rStyle w:val="Hyperlink"/>
          </w:rPr>
          <w:t xml:space="preserve">[30]</w:t>
        </w:r>
      </w:hyperlink>
    </w:p>
    <w:p>
      <w:pPr>
        <w:pStyle w:val="Compact"/>
        <w:numPr>
          <w:ilvl w:val="0"/>
          <w:numId w:val="1003"/>
        </w:numPr>
      </w:pPr>
      <w:r>
        <w:t xml:space="preserve">Against PA (as BI-friendly): Ferguson also explicitly notes that diglossia can be stabilized by revered literature, including as a “source (e.g., divine revelation).” That is, a sacred text can sociologically</w:t>
      </w:r>
      <w:r>
        <w:t xml:space="preserve"> </w:t>
      </w:r>
      <w:r>
        <w:rPr>
          <w:i/>
          <w:iCs/>
        </w:rPr>
        <w:t xml:space="preserve">explain</w:t>
      </w:r>
      <w:r>
        <w:t xml:space="preserve"> </w:t>
      </w:r>
      <w:r>
        <w:t xml:space="preserve">long-term stability without requiring the language’s morphology to be divinely engineered in the first place.</w:t>
      </w:r>
      <w:r>
        <w:t xml:space="preserve"> </w:t>
      </w:r>
      <w:hyperlink r:id="rId35">
        <w:r>
          <w:rPr>
            <w:rStyle w:val="Hyperlink"/>
          </w:rPr>
          <w:t xml:space="preserve">[31]</w:t>
        </w:r>
      </w:hyperlink>
    </w:p>
    <w:p>
      <w:pPr>
        <w:pStyle w:val="FirstParagraph"/>
      </w:pPr>
      <w:r>
        <w:t xml:space="preserve">Your requested “hybrid” model—premeditation first, then incremental expansion—becomes philosophically attractive here because it can absorb both facts: (a) Arabic morphology is strikingly generative and teachable; (b) long-run stability is plausibly reinforced by institutionalization around scripture and education.</w:t>
      </w:r>
      <w:r>
        <w:t xml:space="preserve"> </w:t>
      </w:r>
      <w:hyperlink r:id="rId22">
        <w:r>
          <w:rPr>
            <w:rStyle w:val="Hyperlink"/>
          </w:rPr>
          <w:t xml:space="preserve">[32]</w:t>
        </w:r>
      </w:hyperlink>
    </w:p>
    <w:bookmarkEnd w:id="36"/>
    <w:bookmarkEnd w:id="37"/>
    <w:bookmarkStart w:id="45" w:name="Xbf38d872ceb8eea8220a729e6b65ebecf0d8f13"/>
    <w:p>
      <w:pPr>
        <w:pStyle w:val="Heading2"/>
      </w:pPr>
      <w:r>
        <w:t xml:space="preserve">Voices aligned with divine bestowal and linguistic design</w:t>
      </w:r>
    </w:p>
    <w:p>
      <w:pPr>
        <w:pStyle w:val="FirstParagraph"/>
      </w:pPr>
      <w:r>
        <w:t xml:space="preserve">This theme has both classical-Islamic and early-modern European articulations, and the overlap is instructive: both traditions frequently deploy “reason needs language; language needs reason” as a motivator for divine bestowal.</w:t>
      </w:r>
    </w:p>
    <w:bookmarkStart w:id="39" w:name="the-quranic-anchor-for-tawqīf"/>
    <w:p>
      <w:pPr>
        <w:pStyle w:val="Heading3"/>
      </w:pPr>
      <w:r>
        <w:t xml:space="preserve">The Qur’anic anchor for tawqīf</w:t>
      </w:r>
    </w:p>
    <w:p>
      <w:pPr>
        <w:pStyle w:val="FirstParagraph"/>
      </w:pPr>
      <w:r>
        <w:t xml:space="preserve">A key textual anchor for tawqīf arguments is the statement that God taught Adam “the names”:</w:t>
      </w:r>
    </w:p>
    <w:p>
      <w:pPr>
        <w:pStyle w:val="BlockText"/>
      </w:pPr>
      <w:r>
        <w:t xml:space="preserve">“He taught Adam the names of all things …”</w:t>
      </w:r>
      <w:r>
        <w:t xml:space="preserve"> </w:t>
      </w:r>
      <w:hyperlink r:id="rId38">
        <w:r>
          <w:rPr>
            <w:rStyle w:val="Hyperlink"/>
          </w:rPr>
          <w:t xml:space="preserve">[33]</w:t>
        </w:r>
      </w:hyperlink>
    </w:p>
    <w:p>
      <w:pPr>
        <w:pStyle w:val="FirstParagraph"/>
      </w:pPr>
      <w:r>
        <w:t xml:space="preserve">For defenders of PA, this functions not merely as a theological claim but as a philosophical premise: language (or at least a foundational lexicon/semantic mapping) is</w:t>
      </w:r>
      <w:r>
        <w:t xml:space="preserve"> </w:t>
      </w:r>
      <w:r>
        <w:rPr>
          <w:i/>
          <w:iCs/>
        </w:rPr>
        <w:t xml:space="preserve">given</w:t>
      </w:r>
      <w:r>
        <w:t xml:space="preserve">, not merely invented.</w:t>
      </w:r>
      <w:r>
        <w:t xml:space="preserve"> </w:t>
      </w:r>
      <w:hyperlink r:id="rId38">
        <w:r>
          <w:rPr>
            <w:rStyle w:val="Hyperlink"/>
          </w:rPr>
          <w:t xml:space="preserve">[34]</w:t>
        </w:r>
      </w:hyperlink>
    </w:p>
    <w:bookmarkEnd w:id="39"/>
    <w:bookmarkStart w:id="41" w:name="X82f741117a023894d641c1050ccd744c3e95795"/>
    <w:p>
      <w:pPr>
        <w:pStyle w:val="Heading3"/>
      </w:pPr>
      <w:r>
        <w:t xml:space="preserve">Ibn Hazm’s “agreement requires language” dilemma</w:t>
      </w:r>
    </w:p>
    <w:p>
      <w:pPr>
        <w:pStyle w:val="FirstParagraph"/>
      </w:pPr>
      <w:r>
        <w:t xml:space="preserve">In the modern study summarized by Zidat, Ibn Hazm</w:t>
      </w:r>
      <w:hyperlink r:id="rId24">
        <w:r>
          <w:rPr>
            <w:rStyle w:val="Hyperlink"/>
          </w:rPr>
          <w:t xml:space="preserve">[7]</w:t>
        </w:r>
      </w:hyperlink>
      <w:r>
        <w:t xml:space="preserve"> </w:t>
      </w:r>
      <w:r>
        <w:t xml:space="preserve">is presented as arguing that language is tawqīf from God, and that if speech were mere convention (iṣṭilāḥ), humans could not reach the initial agreement because that agreement itself presupposes communicative tools; the paper explicitly frames this as a “necessary proof” line of reasoning.</w:t>
      </w:r>
      <w:r>
        <w:t xml:space="preserve"> </w:t>
      </w:r>
      <w:hyperlink r:id="rId25">
        <w:r>
          <w:rPr>
            <w:rStyle w:val="Hyperlink"/>
          </w:rPr>
          <w:t xml:space="preserve">[35]</w:t>
        </w:r>
      </w:hyperlink>
    </w:p>
    <w:p>
      <w:pPr>
        <w:pStyle w:val="BodyText"/>
      </w:pPr>
      <w:r>
        <w:t xml:space="preserve">This is philosophically aligned with later European “chicken-and-egg” arguments: to invent a system of arbitrary signs, one needs the conceptual capacities that language itself enables and stabilizes.</w:t>
      </w:r>
      <w:r>
        <w:t xml:space="preserve"> </w:t>
      </w:r>
      <w:hyperlink r:id="rId40">
        <w:r>
          <w:rPr>
            <w:rStyle w:val="Hyperlink"/>
          </w:rPr>
          <w:t xml:space="preserve">[36]</w:t>
        </w:r>
      </w:hyperlink>
    </w:p>
    <w:bookmarkEnd w:id="41"/>
    <w:bookmarkStart w:id="42" w:name="Xcaef95f0bc4172a46e46c4af0624e61adb07ed3"/>
    <w:p>
      <w:pPr>
        <w:pStyle w:val="Heading3"/>
      </w:pPr>
      <w:r>
        <w:t xml:space="preserve">A comparable early-modern design inference</w:t>
      </w:r>
    </w:p>
    <w:p>
      <w:pPr>
        <w:pStyle w:val="FirstParagraph"/>
      </w:pPr>
      <w:r>
        <w:t xml:space="preserve">In 18th-century German debates on language origin, Johann Peter Süßmilch</w:t>
      </w:r>
      <w:hyperlink r:id="rId31">
        <w:r>
          <w:rPr>
            <w:rStyle w:val="Hyperlink"/>
          </w:rPr>
          <w:t xml:space="preserve">[37]</w:t>
        </w:r>
      </w:hyperlink>
      <w:r>
        <w:t xml:space="preserve"> </w:t>
      </w:r>
      <w:r>
        <w:t xml:space="preserve">is discussed in contemporary scholarship as countering “natural unfolding” accounts by stressing the immense complexity of human language, which “could only be explained by reference to a divine teaching.”</w:t>
      </w:r>
      <w:r>
        <w:t xml:space="preserve"> </w:t>
      </w:r>
      <w:hyperlink r:id="rId40">
        <w:r>
          <w:rPr>
            <w:rStyle w:val="Hyperlink"/>
          </w:rPr>
          <w:t xml:space="preserve">[38]</w:t>
        </w:r>
      </w:hyperlink>
    </w:p>
    <w:p>
      <w:pPr>
        <w:pStyle w:val="BodyText"/>
      </w:pPr>
      <w:r>
        <w:t xml:space="preserve">His own text (in German) makes the anti-“blind drift” instinct explicit: he presents it as implausible that humans could produce “so orderly and artificial” a language “from itself … merely by chance.”</w:t>
      </w:r>
      <w:r>
        <w:t xml:space="preserve"> </w:t>
      </w:r>
      <w:hyperlink r:id="rId24">
        <w:r>
          <w:rPr>
            <w:rStyle w:val="Hyperlink"/>
          </w:rPr>
          <w:t xml:space="preserve">[39]</w:t>
        </w:r>
      </w:hyperlink>
    </w:p>
    <w:p>
      <w:pPr>
        <w:pStyle w:val="BodyText"/>
      </w:pPr>
      <w:r>
        <w:t xml:space="preserve">That rhetorical move parallels the claim you want to defend about Arabic: the</w:t>
      </w:r>
      <w:r>
        <w:t xml:space="preserve"> </w:t>
      </w:r>
      <w:r>
        <w:rPr>
          <w:i/>
          <w:iCs/>
        </w:rPr>
        <w:t xml:space="preserve">orderliness</w:t>
      </w:r>
      <w:r>
        <w:t xml:space="preserve"> </w:t>
      </w:r>
      <w:r>
        <w:t xml:space="preserve">and cross-domain coherence is treated as a fingerprint of intellect rather than unguided accretion.</w:t>
      </w:r>
      <w:r>
        <w:t xml:space="preserve"> </w:t>
      </w:r>
      <w:hyperlink r:id="rId21">
        <w:r>
          <w:rPr>
            <w:rStyle w:val="Hyperlink"/>
          </w:rPr>
          <w:t xml:space="preserve">[6]</w:t>
        </w:r>
      </w:hyperlink>
    </w:p>
    <w:bookmarkEnd w:id="42"/>
    <w:bookmarkStart w:id="43" w:name="Xc64d7b62de473b860837a0f88ad06acc78c367c"/>
    <w:p>
      <w:pPr>
        <w:pStyle w:val="Heading3"/>
      </w:pPr>
      <w:r>
        <w:t xml:space="preserve">A philological humility claim tied to prophetic perfection</w:t>
      </w:r>
    </w:p>
    <w:p>
      <w:pPr>
        <w:pStyle w:val="FirstParagraph"/>
      </w:pPr>
      <w:r>
        <w:t xml:space="preserve">In a historical overview, Versteegh quotes a statement attributed (via a legal scholar and Ibn Faris</w:t>
      </w:r>
      <w:hyperlink r:id="rId22">
        <w:r>
          <w:rPr>
            <w:rStyle w:val="Hyperlink"/>
          </w:rPr>
          <w:t xml:space="preserve">[40]</w:t>
        </w:r>
      </w:hyperlink>
      <w:r>
        <w:t xml:space="preserve">) to the effect that:</w:t>
      </w:r>
    </w:p>
    <w:p>
      <w:pPr>
        <w:pStyle w:val="BlockText"/>
      </w:pPr>
      <w:r>
        <w:t xml:space="preserve">“Only a prophet is able to have perfect command of the Arabic language.”</w:t>
      </w:r>
      <w:r>
        <w:t xml:space="preserve"> </w:t>
      </w:r>
      <w:hyperlink r:id="rId29">
        <w:r>
          <w:rPr>
            <w:rStyle w:val="Hyperlink"/>
          </w:rPr>
          <w:t xml:space="preserve">[41]</w:t>
        </w:r>
      </w:hyperlink>
    </w:p>
    <w:p>
      <w:pPr>
        <w:pStyle w:val="FirstParagraph"/>
      </w:pPr>
      <w:r>
        <w:t xml:space="preserve">Even if taken as rhetorical reverence rather than strict epistemology, it aligns naturally with the PA intuition: a language so vast, systematic, and semantically dense that total mastery seems superhuman suggests to devotees a prophetic—or revealed—relation to its fullness.</w:t>
      </w:r>
      <w:r>
        <w:t xml:space="preserve"> </w:t>
      </w:r>
      <w:hyperlink r:id="rId29">
        <w:r>
          <w:rPr>
            <w:rStyle w:val="Hyperlink"/>
          </w:rPr>
          <w:t xml:space="preserve">[42]</w:t>
        </w:r>
      </w:hyperlink>
    </w:p>
    <w:bookmarkEnd w:id="43"/>
    <w:bookmarkStart w:id="44" w:name="the-modern-apologetic-framing"/>
    <w:p>
      <w:pPr>
        <w:pStyle w:val="Heading3"/>
      </w:pPr>
      <w:r>
        <w:t xml:space="preserve">The modern apologetic framing</w:t>
      </w:r>
    </w:p>
    <w:p>
      <w:pPr>
        <w:pStyle w:val="FirstParagraph"/>
      </w:pPr>
      <w:r>
        <w:t xml:space="preserve">Shah’s “premeditated linguistic architecture” section explicitly connects Arabic morphology with a “divine blueprint,” asserting that the coherence is difficult to reconcile with “accidental or random linguistic drift.”</w:t>
      </w:r>
      <w:r>
        <w:t xml:space="preserve"> </w:t>
      </w:r>
      <w:hyperlink r:id="rId21">
        <w:r>
          <w:rPr>
            <w:rStyle w:val="Hyperlink"/>
          </w:rPr>
          <w:t xml:space="preserve">[2]</w:t>
        </w:r>
      </w:hyperlink>
    </w:p>
    <w:p>
      <w:pPr>
        <w:pStyle w:val="BodyText"/>
      </w:pPr>
      <w:r>
        <w:t xml:space="preserve">That claim is not itself a scholarly consensus, but it is an explicit contemporary articulation aligned with the theme you requested:</w:t>
      </w:r>
      <w:r>
        <w:t xml:space="preserve"> </w:t>
      </w:r>
      <w:r>
        <w:rPr>
          <w:i/>
          <w:iCs/>
        </w:rPr>
        <w:t xml:space="preserve">architecture points to an architect</w:t>
      </w:r>
      <w:r>
        <w:t xml:space="preserve">.</w:t>
      </w:r>
      <w:r>
        <w:t xml:space="preserve"> </w:t>
      </w:r>
      <w:hyperlink r:id="rId21">
        <w:r>
          <w:rPr>
            <w:rStyle w:val="Hyperlink"/>
          </w:rPr>
          <w:t xml:space="preserve">[30]</w:t>
        </w:r>
      </w:hyperlink>
    </w:p>
    <w:bookmarkEnd w:id="44"/>
    <w:bookmarkEnd w:id="45"/>
    <w:bookmarkStart w:id="51" w:name="Xcf3600604d7bc1e135ba8d816f56ba2a8a0e5da"/>
    <w:p>
      <w:pPr>
        <w:pStyle w:val="Heading2"/>
      </w:pPr>
      <w:r>
        <w:t xml:space="preserve">Leading naturalistic alternatives and what they explain</w:t>
      </w:r>
    </w:p>
    <w:p>
      <w:pPr>
        <w:pStyle w:val="FirstParagraph"/>
      </w:pPr>
      <w:r>
        <w:t xml:space="preserve">A deep argument must confront the strongest alternative explanation: that design-like structure can be an</w:t>
      </w:r>
      <w:r>
        <w:t xml:space="preserve"> </w:t>
      </w:r>
      <w:r>
        <w:rPr>
          <w:b/>
          <w:bCs/>
        </w:rPr>
        <w:t xml:space="preserve">emergent outcome</w:t>
      </w:r>
      <w:r>
        <w:t xml:space="preserve"> </w:t>
      </w:r>
      <w:r>
        <w:t xml:space="preserve">of cultural transmission, learning biases, and stabilizing institutions—without requiring a premeditating mind that planned the morphology itself.</w:t>
      </w:r>
    </w:p>
    <w:bookmarkStart w:id="47" w:name="X75b842500590d36437ebb8fd4927441e8415a7e"/>
    <w:p>
      <w:pPr>
        <w:pStyle w:val="Heading3"/>
      </w:pPr>
      <w:r>
        <w:t xml:space="preserve">Structured language can emerge without intentional design</w:t>
      </w:r>
    </w:p>
    <w:p>
      <w:pPr>
        <w:pStyle w:val="FirstParagraph"/>
      </w:pPr>
      <w:r>
        <w:t xml:space="preserve">A major modern challenge to “system ⇒ designer” inference comes from experimental cultural evolution. Simon Kirby</w:t>
      </w:r>
      <w:hyperlink r:id="rId22">
        <w:r>
          <w:rPr>
            <w:rStyle w:val="Hyperlink"/>
          </w:rPr>
          <w:t xml:space="preserve">[43]</w:t>
        </w:r>
      </w:hyperlink>
      <w:r>
        <w:t xml:space="preserve"> </w:t>
      </w:r>
      <w:r>
        <w:t xml:space="preserve">and colleagues report “experimental validation” that cultural transmission can yield “the appearance of design without a designer,” with languages becoming easier to learn and more structured over generations, “without any intentional design on the part of individual language learners.”</w:t>
      </w:r>
      <w:r>
        <w:t xml:space="preserve"> </w:t>
      </w:r>
      <w:hyperlink r:id="rId46">
        <w:r>
          <w:rPr>
            <w:rStyle w:val="Hyperlink"/>
          </w:rPr>
          <w:t xml:space="preserve">[44]</w:t>
        </w:r>
      </w:hyperlink>
    </w:p>
    <w:p>
      <w:pPr>
        <w:pStyle w:val="BodyText"/>
      </w:pPr>
      <w:r>
        <w:t xml:space="preserve">This result matters philosophically because it undercuts the inference form “architecture implies architect” as a general rule: architecture-like order can be a known product of iterated learning.</w:t>
      </w:r>
      <w:r>
        <w:t xml:space="preserve"> </w:t>
      </w:r>
      <w:hyperlink r:id="rId31">
        <w:r>
          <w:rPr>
            <w:rStyle w:val="Hyperlink"/>
          </w:rPr>
          <w:t xml:space="preserve">[45]</w:t>
        </w:r>
      </w:hyperlink>
    </w:p>
    <w:bookmarkEnd w:id="47"/>
    <w:bookmarkStart w:id="48" w:name="X75c37793a4d8c65b1fbfeb426ea9a474eebd47e"/>
    <w:p>
      <w:pPr>
        <w:pStyle w:val="Heading3"/>
      </w:pPr>
      <w:r>
        <w:t xml:space="preserve">Arabic is “typically Semitic,” not a unique anomaly</w:t>
      </w:r>
    </w:p>
    <w:p>
      <w:pPr>
        <w:pStyle w:val="FirstParagraph"/>
      </w:pPr>
      <w:r>
        <w:t xml:space="preserve">Ryding explicitly calls the root–pattern process “a typically Semitic morphological system,” and McCarthy frames nonconcatenative morphology as prevailing in “most members of the Semitic language family.”</w:t>
      </w:r>
      <w:r>
        <w:t xml:space="preserve"> </w:t>
      </w:r>
      <w:hyperlink r:id="rId22">
        <w:r>
          <w:rPr>
            <w:rStyle w:val="Hyperlink"/>
          </w:rPr>
          <w:t xml:space="preserve">[46]</w:t>
        </w:r>
      </w:hyperlink>
    </w:p>
    <w:p>
      <w:pPr>
        <w:pStyle w:val="BodyText"/>
      </w:pPr>
      <w:r>
        <w:t xml:space="preserve">That means a naturalistic account has a ready pathway: Arabic inherited a Semitic-type system and elaborated it. This does not refute PA, but it shifts the burden: the phenomenon is not isolated to Arabic alone, so arguing from Arabic’s structure to a uniquely Arabic revelation requires additional steps (why Arabic rather than Semitic generally, why this entails an all-knowing mind, etc.).</w:t>
      </w:r>
      <w:r>
        <w:t xml:space="preserve"> </w:t>
      </w:r>
      <w:hyperlink r:id="rId22">
        <w:r>
          <w:rPr>
            <w:rStyle w:val="Hyperlink"/>
          </w:rPr>
          <w:t xml:space="preserve">[47]</w:t>
        </w:r>
      </w:hyperlink>
    </w:p>
    <w:bookmarkEnd w:id="48"/>
    <w:bookmarkStart w:id="49" w:name="Xec20405bef0ce17e1f736d5ae45c7fe65f2f708"/>
    <w:p>
      <w:pPr>
        <w:pStyle w:val="Heading3"/>
      </w:pPr>
      <w:r>
        <w:t xml:space="preserve">Stability can be sociologically explained by diglossia and sacred anchoring</w:t>
      </w:r>
    </w:p>
    <w:p>
      <w:pPr>
        <w:pStyle w:val="FirstParagraph"/>
      </w:pPr>
      <w:r>
        <w:t xml:space="preserve">Ferguson not only notes stability; he also describes the social mechanics of diglossia: a highly codified “H” variety is sustained by education and by a “large and respected body of written literature,” and he explicitly lists “divine revelation” as one way literature can be treated as a foundational source.</w:t>
      </w:r>
      <w:r>
        <w:t xml:space="preserve"> </w:t>
      </w:r>
      <w:hyperlink r:id="rId35">
        <w:r>
          <w:rPr>
            <w:rStyle w:val="Hyperlink"/>
          </w:rPr>
          <w:t xml:space="preserve">[48]</w:t>
        </w:r>
      </w:hyperlink>
    </w:p>
    <w:p>
      <w:pPr>
        <w:pStyle w:val="BodyText"/>
      </w:pPr>
      <w:r>
        <w:t xml:space="preserve">So even if one grants that scripture strongly stabilizes Classical Arabic, that does not strictly entail that Arabic morphology was designed; it entails that</w:t>
      </w:r>
      <w:r>
        <w:t xml:space="preserve"> </w:t>
      </w:r>
      <w:r>
        <w:rPr>
          <w:i/>
          <w:iCs/>
        </w:rPr>
        <w:t xml:space="preserve">once</w:t>
      </w:r>
      <w:r>
        <w:t xml:space="preserve"> </w:t>
      </w:r>
      <w:r>
        <w:t xml:space="preserve">a prestigious register is canonized, it can remain stable for a very long time.</w:t>
      </w:r>
      <w:r>
        <w:t xml:space="preserve"> </w:t>
      </w:r>
      <w:hyperlink r:id="rId35">
        <w:r>
          <w:rPr>
            <w:rStyle w:val="Hyperlink"/>
          </w:rPr>
          <w:t xml:space="preserve">[49]</w:t>
        </w:r>
      </w:hyperlink>
    </w:p>
    <w:bookmarkEnd w:id="49"/>
    <w:bookmarkStart w:id="50" w:name="X93e8cf12aa70ba9318f5f493d64792aa06309b8"/>
    <w:p>
      <w:pPr>
        <w:pStyle w:val="Heading3"/>
      </w:pPr>
      <w:r>
        <w:t xml:space="preserve">The philosophical bottom line of the counter-case</w:t>
      </w:r>
    </w:p>
    <w:p>
      <w:pPr>
        <w:pStyle w:val="FirstParagraph"/>
      </w:pPr>
      <w:r>
        <w:t xml:space="preserve">Putting these points together yields a serious BI-friendly reply:</w:t>
      </w:r>
    </w:p>
    <w:p>
      <w:pPr>
        <w:pStyle w:val="Compact"/>
        <w:numPr>
          <w:ilvl w:val="0"/>
          <w:numId w:val="1004"/>
        </w:numPr>
      </w:pPr>
      <w:r>
        <w:t xml:space="preserve">Root-and-pattern morphology is real, systematic, and powerful.</w:t>
      </w:r>
      <w:r>
        <w:t xml:space="preserve"> </w:t>
      </w:r>
      <w:hyperlink r:id="rId22">
        <w:r>
          <w:rPr>
            <w:rStyle w:val="Hyperlink"/>
          </w:rPr>
          <w:t xml:space="preserve">[50]</w:t>
        </w:r>
      </w:hyperlink>
    </w:p>
    <w:p>
      <w:pPr>
        <w:pStyle w:val="Compact"/>
        <w:numPr>
          <w:ilvl w:val="0"/>
          <w:numId w:val="1004"/>
        </w:numPr>
      </w:pPr>
      <w:r>
        <w:t xml:space="preserve">But “powerful structure” is not diagnostic of intentional design, because cultural evolution can generate structured systems that</w:t>
      </w:r>
      <w:r>
        <w:t xml:space="preserve"> </w:t>
      </w:r>
      <w:r>
        <w:rPr>
          <w:i/>
          <w:iCs/>
        </w:rPr>
        <w:t xml:space="preserve">look</w:t>
      </w:r>
      <w:r>
        <w:t xml:space="preserve"> </w:t>
      </w:r>
      <w:r>
        <w:t xml:space="preserve">designed.</w:t>
      </w:r>
      <w:r>
        <w:t xml:space="preserve"> </w:t>
      </w:r>
      <w:hyperlink r:id="rId31">
        <w:r>
          <w:rPr>
            <w:rStyle w:val="Hyperlink"/>
          </w:rPr>
          <w:t xml:space="preserve">[22]</w:t>
        </w:r>
      </w:hyperlink>
    </w:p>
    <w:p>
      <w:pPr>
        <w:pStyle w:val="Compact"/>
        <w:numPr>
          <w:ilvl w:val="0"/>
          <w:numId w:val="1004"/>
        </w:numPr>
      </w:pPr>
      <w:r>
        <w:t xml:space="preserve">And Arabic’s centuries-long stability in formal registers can be largely explained by diglossia plus the sociocultural authority of a sacred literary standard.</w:t>
      </w:r>
      <w:r>
        <w:t xml:space="preserve"> </w:t>
      </w:r>
      <w:hyperlink r:id="rId35">
        <w:r>
          <w:rPr>
            <w:rStyle w:val="Hyperlink"/>
          </w:rPr>
          <w:t xml:space="preserve">[49]</w:t>
        </w:r>
      </w:hyperlink>
    </w:p>
    <w:p>
      <w:pPr>
        <w:pStyle w:val="FirstParagraph"/>
      </w:pPr>
      <w:r>
        <w:t xml:space="preserve">This does not make PA irrational. It simply means PA is best understood as a</w:t>
      </w:r>
      <w:r>
        <w:t xml:space="preserve"> </w:t>
      </w:r>
      <w:r>
        <w:rPr>
          <w:b/>
          <w:bCs/>
        </w:rPr>
        <w:t xml:space="preserve">worldview-consistent interpretation</w:t>
      </w:r>
      <w:r>
        <w:t xml:space="preserve"> </w:t>
      </w:r>
      <w:r>
        <w:t xml:space="preserve">rather than a strict inference forced by the linguistic data alone.</w:t>
      </w:r>
    </w:p>
    <w:p>
      <w:pPr>
        <w:pStyle w:val="BodyText"/>
      </w:pPr>
      <w:r>
        <w:t xml:space="preserve">A common reconciliatory position (and one consistent with your “premeditation + incremental development” framing) is to treat BI mechanisms as</w:t>
      </w:r>
      <w:r>
        <w:t xml:space="preserve"> </w:t>
      </w:r>
      <w:r>
        <w:rPr>
          <w:b/>
          <w:bCs/>
        </w:rPr>
        <w:t xml:space="preserve">how</w:t>
      </w:r>
      <w:r>
        <w:t xml:space="preserve"> </w:t>
      </w:r>
      <w:r>
        <w:t xml:space="preserve">structure accumulates, while treating divine providence as</w:t>
      </w:r>
      <w:r>
        <w:t xml:space="preserve"> </w:t>
      </w:r>
      <w:r>
        <w:rPr>
          <w:b/>
          <w:bCs/>
        </w:rPr>
        <w:t xml:space="preserve">why</w:t>
      </w:r>
      <w:r>
        <w:t xml:space="preserve"> </w:t>
      </w:r>
      <w:r>
        <w:t xml:space="preserve">such a learnable, compressive architecture exists at all. That is, the BI story becomes compatible with revelation by being absorbed into a theistic meta-explanation.</w:t>
      </w:r>
      <w:r>
        <w:t xml:space="preserve"> </w:t>
      </w:r>
      <w:hyperlink r:id="rId40">
        <w:r>
          <w:rPr>
            <w:rStyle w:val="Hyperlink"/>
          </w:rPr>
          <w:t xml:space="preserve">[51]</w:t>
        </w:r>
      </w:hyperlink>
    </w:p>
    <w:bookmarkEnd w:id="50"/>
    <w:bookmarkEnd w:id="51"/>
    <w:bookmarkStart w:id="52" w:name="thematic-epilogue"/>
    <w:p>
      <w:pPr>
        <w:pStyle w:val="Heading2"/>
      </w:pPr>
      <w:r>
        <w:t xml:space="preserve">Thematic epilogue</w:t>
      </w:r>
    </w:p>
    <w:p>
      <w:pPr>
        <w:pStyle w:val="FirstParagraph"/>
      </w:pPr>
      <w:r>
        <w:t xml:space="preserve">Is Arabic’s root architecture an accident of history, a triumph of emergent order, or a trace of premeditated bestowal?</w:t>
      </w:r>
    </w:p>
    <w:p>
      <w:pPr>
        <w:pStyle w:val="BodyText"/>
      </w:pPr>
      <w:r>
        <w:t xml:space="preserve">On one reading, Arabic’s morphology feels like a “semantic loom”: a finite set of consonantal threads interwoven by templates into an expansive textile of verbs, nouns, participles, and abstractions—so coherent that learners can often</w:t>
      </w:r>
      <w:r>
        <w:t xml:space="preserve"> </w:t>
      </w:r>
      <w:r>
        <w:rPr>
          <w:i/>
          <w:iCs/>
        </w:rPr>
        <w:t xml:space="preserve">infer</w:t>
      </w:r>
      <w:r>
        <w:t xml:space="preserve"> </w:t>
      </w:r>
      <w:r>
        <w:t xml:space="preserve">meaning from form.</w:t>
      </w:r>
      <w:r>
        <w:t xml:space="preserve"> </w:t>
      </w:r>
      <w:hyperlink r:id="rId22">
        <w:r>
          <w:rPr>
            <w:rStyle w:val="Hyperlink"/>
          </w:rPr>
          <w:t xml:space="preserve">[52]</w:t>
        </w:r>
      </w:hyperlink>
    </w:p>
    <w:p>
      <w:pPr>
        <w:pStyle w:val="BodyText"/>
      </w:pPr>
      <w:r>
        <w:t xml:space="preserve">On another reading, the very fact that such coherence can arise through transmission—yielding the</w:t>
      </w:r>
      <w:r>
        <w:t xml:space="preserve"> </w:t>
      </w:r>
      <w:r>
        <w:rPr>
          <w:i/>
          <w:iCs/>
        </w:rPr>
        <w:t xml:space="preserve">appearance of design without a designer</w:t>
      </w:r>
      <w:r>
        <w:t xml:space="preserve">—warns against overconfident metaphysical conclusions from structure alone.</w:t>
      </w:r>
      <w:r>
        <w:t xml:space="preserve"> </w:t>
      </w:r>
      <w:hyperlink r:id="rId31">
        <w:r>
          <w:rPr>
            <w:rStyle w:val="Hyperlink"/>
          </w:rPr>
          <w:t xml:space="preserve">[45]</w:t>
        </w:r>
      </w:hyperlink>
    </w:p>
    <w:p>
      <w:pPr>
        <w:pStyle w:val="BodyText"/>
      </w:pPr>
      <w:r>
        <w:t xml:space="preserve">Yet the argument you asked to develop remains philosophically intelligible: if one grants even a modest prior openness to tawqīf, then a language whose morphology systematically binds nouns to verbs through compact roots can be seen as “fitting” the scriptural motif: that God “taught Adam the names,” placing language not merely as a human tool, but as an endowed bridge between mind, world, and meaning.</w:t>
      </w:r>
      <w:r>
        <w:t xml:space="preserve"> </w:t>
      </w:r>
      <w:hyperlink r:id="rId38">
        <w:r>
          <w:rPr>
            <w:rStyle w:val="Hyperlink"/>
          </w:rPr>
          <w:t xml:space="preserve">[53]</w:t>
        </w:r>
      </w:hyperlink>
    </w:p>
    <w:p>
      <w:pPr>
        <w:pStyle w:val="BodyText"/>
      </w:pPr>
      <w:r>
        <w:t xml:space="preserve">In that sense, Arabic’s architecture functions less like a laboratory proof and more like a sign: not coercing belief, but inviting a contemplation in which structure, learnability, and long memory become coherent with the picture of an All-Knowing mind behind the gift of speech.</w:t>
      </w:r>
      <w:r>
        <w:t xml:space="preserve"> </w:t>
      </w:r>
      <w:hyperlink r:id="rId21">
        <w:r>
          <w:rPr>
            <w:rStyle w:val="Hyperlink"/>
          </w:rPr>
          <w:t xml:space="preserve">[54]</w:t>
        </w:r>
      </w:hyperlink>
    </w:p>
    <w:bookmarkEnd w:id="52"/>
    <w:bookmarkEnd w:id="53"/>
    <w:bookmarkEnd w:id="54"/>
    <w:p>
      <w:r>
        <w:pict>
          <v:rect style="width:0;height:1.5pt" o:hralign="center" o:hrstd="t" o:hr="t"/>
        </w:pict>
      </w:r>
    </w:p>
    <w:bookmarkStart w:id="55" w:name="citations"/>
    <w:p>
      <w:pPr>
        <w:pStyle w:val="FirstParagraph"/>
      </w:pPr>
      <w:hyperlink r:id="rId21">
        <w:r>
          <w:rPr>
            <w:rStyle w:val="Hyperlink"/>
          </w:rPr>
          <w:t xml:space="preserve">[1]</w:t>
        </w:r>
      </w:hyperlink>
      <w:r>
        <w:t xml:space="preserve"> </w:t>
      </w:r>
      <w:hyperlink r:id="rId21">
        <w:r>
          <w:rPr>
            <w:rStyle w:val="Hyperlink"/>
          </w:rPr>
          <w:t xml:space="preserve">[2]</w:t>
        </w:r>
      </w:hyperlink>
      <w:r>
        <w:t xml:space="preserve"> </w:t>
      </w:r>
      <w:hyperlink r:id="rId21">
        <w:r>
          <w:rPr>
            <w:rStyle w:val="Hyperlink"/>
          </w:rPr>
          <w:t xml:space="preserve">[5]</w:t>
        </w:r>
      </w:hyperlink>
      <w:r>
        <w:t xml:space="preserve"> </w:t>
      </w:r>
      <w:hyperlink r:id="rId21">
        <w:r>
          <w:rPr>
            <w:rStyle w:val="Hyperlink"/>
          </w:rPr>
          <w:t xml:space="preserve">[6]</w:t>
        </w:r>
      </w:hyperlink>
      <w:r>
        <w:t xml:space="preserve"> </w:t>
      </w:r>
      <w:hyperlink r:id="rId21">
        <w:r>
          <w:rPr>
            <w:rStyle w:val="Hyperlink"/>
          </w:rPr>
          <w:t xml:space="preserve">[30]</w:t>
        </w:r>
      </w:hyperlink>
      <w:r>
        <w:t xml:space="preserve"> </w:t>
      </w:r>
      <w:hyperlink r:id="rId21">
        <w:r>
          <w:rPr>
            <w:rStyle w:val="Hyperlink"/>
          </w:rPr>
          <w:t xml:space="preserve">[54]</w:t>
        </w:r>
      </w:hyperlink>
      <w:r>
        <w:t xml:space="preserve"> </w:t>
      </w:r>
      <w:r>
        <w:t xml:space="preserve">https://thequran.love/2026/02/25/the-architecture-of-systematic-order-from-human-consensus-in-science-to-the-divine-blueprint-of-the-arabic-language/</w:t>
      </w:r>
    </w:p>
    <w:p>
      <w:pPr>
        <w:pStyle w:val="BodyText"/>
      </w:pPr>
      <w:hyperlink r:id="rId21">
        <w:r>
          <w:rPr>
            <w:rStyle w:val="Hyperlink"/>
          </w:rPr>
          <w:t xml:space="preserve">https://thequran.love/2026/02/25/the-architecture-of-systematic-order-from-human-consensus-in-science-to-the-divine-blueprint-of-the-arabic-language/</w:t>
        </w:r>
      </w:hyperlink>
    </w:p>
    <w:p>
      <w:pPr>
        <w:pStyle w:val="BodyText"/>
      </w:pPr>
      <w:hyperlink r:id="rId22">
        <w:r>
          <w:rPr>
            <w:rStyle w:val="Hyperlink"/>
          </w:rPr>
          <w:t xml:space="preserve">[3]</w:t>
        </w:r>
      </w:hyperlink>
      <w:r>
        <w:t xml:space="preserve"> </w:t>
      </w:r>
      <w:hyperlink r:id="rId22">
        <w:r>
          <w:rPr>
            <w:rStyle w:val="Hyperlink"/>
          </w:rPr>
          <w:t xml:space="preserve">[4]</w:t>
        </w:r>
      </w:hyperlink>
      <w:r>
        <w:t xml:space="preserve"> </w:t>
      </w:r>
      <w:hyperlink r:id="rId22">
        <w:r>
          <w:rPr>
            <w:rStyle w:val="Hyperlink"/>
          </w:rPr>
          <w:t xml:space="preserve">[10]</w:t>
        </w:r>
      </w:hyperlink>
      <w:r>
        <w:t xml:space="preserve"> </w:t>
      </w:r>
      <w:hyperlink r:id="rId22">
        <w:r>
          <w:rPr>
            <w:rStyle w:val="Hyperlink"/>
          </w:rPr>
          <w:t xml:space="preserve">[11]</w:t>
        </w:r>
      </w:hyperlink>
      <w:r>
        <w:t xml:space="preserve"> </w:t>
      </w:r>
      <w:hyperlink r:id="rId22">
        <w:r>
          <w:rPr>
            <w:rStyle w:val="Hyperlink"/>
          </w:rPr>
          <w:t xml:space="preserve">[13]</w:t>
        </w:r>
      </w:hyperlink>
      <w:r>
        <w:t xml:space="preserve"> </w:t>
      </w:r>
      <w:hyperlink r:id="rId22">
        <w:r>
          <w:rPr>
            <w:rStyle w:val="Hyperlink"/>
          </w:rPr>
          <w:t xml:space="preserve">[14]</w:t>
        </w:r>
      </w:hyperlink>
      <w:r>
        <w:t xml:space="preserve"> </w:t>
      </w:r>
      <w:hyperlink r:id="rId22">
        <w:r>
          <w:rPr>
            <w:rStyle w:val="Hyperlink"/>
          </w:rPr>
          <w:t xml:space="preserve">[17]</w:t>
        </w:r>
      </w:hyperlink>
      <w:r>
        <w:t xml:space="preserve"> </w:t>
      </w:r>
      <w:hyperlink r:id="rId22">
        <w:r>
          <w:rPr>
            <w:rStyle w:val="Hyperlink"/>
          </w:rPr>
          <w:t xml:space="preserve">[18]</w:t>
        </w:r>
      </w:hyperlink>
      <w:r>
        <w:t xml:space="preserve"> </w:t>
      </w:r>
      <w:hyperlink r:id="rId22">
        <w:r>
          <w:rPr>
            <w:rStyle w:val="Hyperlink"/>
          </w:rPr>
          <w:t xml:space="preserve">[19]</w:t>
        </w:r>
      </w:hyperlink>
      <w:r>
        <w:t xml:space="preserve"> </w:t>
      </w:r>
      <w:hyperlink r:id="rId22">
        <w:r>
          <w:rPr>
            <w:rStyle w:val="Hyperlink"/>
          </w:rPr>
          <w:t xml:space="preserve">[21]</w:t>
        </w:r>
      </w:hyperlink>
      <w:r>
        <w:t xml:space="preserve"> </w:t>
      </w:r>
      <w:hyperlink r:id="rId22">
        <w:r>
          <w:rPr>
            <w:rStyle w:val="Hyperlink"/>
          </w:rPr>
          <w:t xml:space="preserve">[23]</w:t>
        </w:r>
      </w:hyperlink>
      <w:r>
        <w:t xml:space="preserve"> </w:t>
      </w:r>
      <w:hyperlink r:id="rId22">
        <w:r>
          <w:rPr>
            <w:rStyle w:val="Hyperlink"/>
          </w:rPr>
          <w:t xml:space="preserve">[24]</w:t>
        </w:r>
      </w:hyperlink>
      <w:r>
        <w:t xml:space="preserve"> </w:t>
      </w:r>
      <w:hyperlink r:id="rId22">
        <w:r>
          <w:rPr>
            <w:rStyle w:val="Hyperlink"/>
          </w:rPr>
          <w:t xml:space="preserve">[32]</w:t>
        </w:r>
      </w:hyperlink>
      <w:r>
        <w:t xml:space="preserve"> </w:t>
      </w:r>
      <w:hyperlink r:id="rId22">
        <w:r>
          <w:rPr>
            <w:rStyle w:val="Hyperlink"/>
          </w:rPr>
          <w:t xml:space="preserve">[40]</w:t>
        </w:r>
      </w:hyperlink>
      <w:r>
        <w:t xml:space="preserve"> </w:t>
      </w:r>
      <w:hyperlink r:id="rId22">
        <w:r>
          <w:rPr>
            <w:rStyle w:val="Hyperlink"/>
          </w:rPr>
          <w:t xml:space="preserve">[43]</w:t>
        </w:r>
      </w:hyperlink>
      <w:r>
        <w:t xml:space="preserve"> </w:t>
      </w:r>
      <w:hyperlink r:id="rId22">
        <w:r>
          <w:rPr>
            <w:rStyle w:val="Hyperlink"/>
          </w:rPr>
          <w:t xml:space="preserve">[46]</w:t>
        </w:r>
      </w:hyperlink>
      <w:r>
        <w:t xml:space="preserve"> </w:t>
      </w:r>
      <w:hyperlink r:id="rId22">
        <w:r>
          <w:rPr>
            <w:rStyle w:val="Hyperlink"/>
          </w:rPr>
          <w:t xml:space="preserve">[47]</w:t>
        </w:r>
      </w:hyperlink>
      <w:r>
        <w:t xml:space="preserve"> </w:t>
      </w:r>
      <w:hyperlink r:id="rId22">
        <w:r>
          <w:rPr>
            <w:rStyle w:val="Hyperlink"/>
          </w:rPr>
          <w:t xml:space="preserve">[50]</w:t>
        </w:r>
      </w:hyperlink>
      <w:r>
        <w:t xml:space="preserve"> </w:t>
      </w:r>
      <w:hyperlink r:id="rId22">
        <w:r>
          <w:rPr>
            <w:rStyle w:val="Hyperlink"/>
          </w:rPr>
          <w:t xml:space="preserve">[52]</w:t>
        </w:r>
      </w:hyperlink>
      <w:r>
        <w:t xml:space="preserve"> </w:t>
      </w:r>
      <w:r>
        <w:t xml:space="preserve">https://imamhamzatcoed.edu.ng/library/ebooks/resources/Modern_Standard_Arabic_Reference_Grammar.pdf</w:t>
      </w:r>
    </w:p>
    <w:p>
      <w:pPr>
        <w:pStyle w:val="BodyText"/>
      </w:pPr>
      <w:hyperlink r:id="rId22">
        <w:r>
          <w:rPr>
            <w:rStyle w:val="Hyperlink"/>
          </w:rPr>
          <w:t xml:space="preserve">https://imamhamzatcoed.edu.ng/library/ebooks/resources/Modern_Standard_Arabic_Reference_Grammar.pdf</w:t>
        </w:r>
      </w:hyperlink>
    </w:p>
    <w:p>
      <w:pPr>
        <w:pStyle w:val="BodyText"/>
      </w:pPr>
      <w:hyperlink r:id="rId24">
        <w:r>
          <w:rPr>
            <w:rStyle w:val="Hyperlink"/>
          </w:rPr>
          <w:t xml:space="preserve">[7]</w:t>
        </w:r>
      </w:hyperlink>
      <w:r>
        <w:t xml:space="preserve"> </w:t>
      </w:r>
      <w:hyperlink r:id="rId24">
        <w:r>
          <w:rPr>
            <w:rStyle w:val="Hyperlink"/>
          </w:rPr>
          <w:t xml:space="preserve">[39]</w:t>
        </w:r>
      </w:hyperlink>
      <w:r>
        <w:t xml:space="preserve"> </w:t>
      </w:r>
      <w:r>
        <w:t xml:space="preserve">https://web.mit.edu/lulich/www/Suessmilch.pdf</w:t>
      </w:r>
    </w:p>
    <w:p>
      <w:pPr>
        <w:pStyle w:val="BodyText"/>
      </w:pPr>
      <w:hyperlink r:id="rId24">
        <w:r>
          <w:rPr>
            <w:rStyle w:val="Hyperlink"/>
          </w:rPr>
          <w:t xml:space="preserve">https://web.mit.edu/lulich/www/Suessmilch.pdf</w:t>
        </w:r>
      </w:hyperlink>
    </w:p>
    <w:p>
      <w:pPr>
        <w:pStyle w:val="BodyText"/>
      </w:pPr>
      <w:hyperlink r:id="rId25">
        <w:r>
          <w:rPr>
            <w:rStyle w:val="Hyperlink"/>
          </w:rPr>
          <w:t xml:space="preserve">[8]</w:t>
        </w:r>
      </w:hyperlink>
      <w:r>
        <w:t xml:space="preserve"> </w:t>
      </w:r>
      <w:hyperlink r:id="rId25">
        <w:r>
          <w:rPr>
            <w:rStyle w:val="Hyperlink"/>
          </w:rPr>
          <w:t xml:space="preserve">[15]</w:t>
        </w:r>
      </w:hyperlink>
      <w:r>
        <w:t xml:space="preserve"> </w:t>
      </w:r>
      <w:hyperlink r:id="rId25">
        <w:r>
          <w:rPr>
            <w:rStyle w:val="Hyperlink"/>
          </w:rPr>
          <w:t xml:space="preserve">[35]</w:t>
        </w:r>
      </w:hyperlink>
      <w:r>
        <w:t xml:space="preserve"> </w:t>
      </w:r>
      <w:r>
        <w:t xml:space="preserve">https://archive.qsm.ac.il/ISJournal/Files/vol6_is2_2022/2%3D%3Deng%3DOday_Zidat.pdf</w:t>
      </w:r>
    </w:p>
    <w:p>
      <w:pPr>
        <w:pStyle w:val="BodyText"/>
      </w:pPr>
      <w:hyperlink r:id="rId25">
        <w:r>
          <w:rPr>
            <w:rStyle w:val="Hyperlink"/>
          </w:rPr>
          <w:t xml:space="preserve">https://archive.qsm.ac.il/ISJournal/Files/vol6_is2_2022/2%3D%3Deng%3DOday_Zidat.pdf</w:t>
        </w:r>
      </w:hyperlink>
    </w:p>
    <w:p>
      <w:pPr>
        <w:pStyle w:val="BodyText"/>
      </w:pPr>
      <w:hyperlink r:id="rId26">
        <w:r>
          <w:rPr>
            <w:rStyle w:val="Hyperlink"/>
          </w:rPr>
          <w:t xml:space="preserve">[9]</w:t>
        </w:r>
      </w:hyperlink>
      <w:r>
        <w:t xml:space="preserve"> </w:t>
      </w:r>
      <w:hyperlink r:id="rId26">
        <w:r>
          <w:rPr>
            <w:rStyle w:val="Hyperlink"/>
          </w:rPr>
          <w:t xml:space="preserve">[12]</w:t>
        </w:r>
      </w:hyperlink>
      <w:r>
        <w:t xml:space="preserve"> </w:t>
      </w:r>
      <w:r>
        <w:t xml:space="preserve">https://plato.stanford.edu/entries/word-meaning/</w:t>
      </w:r>
    </w:p>
    <w:p>
      <w:pPr>
        <w:pStyle w:val="BodyText"/>
      </w:pPr>
      <w:hyperlink r:id="rId26">
        <w:r>
          <w:rPr>
            <w:rStyle w:val="Hyperlink"/>
          </w:rPr>
          <w:t xml:space="preserve">https://plato.stanford.edu/entries/word-meaning/</w:t>
        </w:r>
      </w:hyperlink>
    </w:p>
    <w:p>
      <w:pPr>
        <w:pStyle w:val="BodyText"/>
      </w:pPr>
      <w:hyperlink r:id="rId28">
        <w:r>
          <w:rPr>
            <w:rStyle w:val="Hyperlink"/>
          </w:rPr>
          <w:t xml:space="preserve">[16]</w:t>
        </w:r>
      </w:hyperlink>
      <w:r>
        <w:t xml:space="preserve"> </w:t>
      </w:r>
      <w:r>
        <w:t xml:space="preserve">https://www.asc.ohio-state.edu/levine.1/pdf/non-601/McCarthy.pdf</w:t>
      </w:r>
    </w:p>
    <w:p>
      <w:pPr>
        <w:pStyle w:val="BodyText"/>
      </w:pPr>
      <w:hyperlink r:id="rId28">
        <w:r>
          <w:rPr>
            <w:rStyle w:val="Hyperlink"/>
          </w:rPr>
          <w:t xml:space="preserve">https://www.asc.ohio-state.edu/levine.1/pdf/non-601/McCarthy.pdf</w:t>
        </w:r>
      </w:hyperlink>
    </w:p>
    <w:p>
      <w:pPr>
        <w:pStyle w:val="BodyText"/>
      </w:pPr>
      <w:hyperlink r:id="rId29">
        <w:r>
          <w:rPr>
            <w:rStyle w:val="Hyperlink"/>
          </w:rPr>
          <w:t xml:space="preserve">[20]</w:t>
        </w:r>
      </w:hyperlink>
      <w:r>
        <w:t xml:space="preserve"> </w:t>
      </w:r>
      <w:hyperlink r:id="rId29">
        <w:r>
          <w:rPr>
            <w:rStyle w:val="Hyperlink"/>
          </w:rPr>
          <w:t xml:space="preserve">[25]</w:t>
        </w:r>
      </w:hyperlink>
      <w:r>
        <w:t xml:space="preserve"> </w:t>
      </w:r>
      <w:hyperlink r:id="rId29">
        <w:r>
          <w:rPr>
            <w:rStyle w:val="Hyperlink"/>
          </w:rPr>
          <w:t xml:space="preserve">[41]</w:t>
        </w:r>
      </w:hyperlink>
      <w:r>
        <w:t xml:space="preserve"> </w:t>
      </w:r>
      <w:hyperlink r:id="rId29">
        <w:r>
          <w:rPr>
            <w:rStyle w:val="Hyperlink"/>
          </w:rPr>
          <w:t xml:space="preserve">[42]</w:t>
        </w:r>
      </w:hyperlink>
      <w:r>
        <w:t xml:space="preserve"> </w:t>
      </w:r>
      <w:r>
        <w:t xml:space="preserve">https://bayanbox.ir/view/6133325835753565412/Versteegh-1997-The-Arabic-language.pdf</w:t>
      </w:r>
    </w:p>
    <w:p>
      <w:pPr>
        <w:pStyle w:val="BodyText"/>
      </w:pPr>
      <w:hyperlink r:id="rId29">
        <w:r>
          <w:rPr>
            <w:rStyle w:val="Hyperlink"/>
          </w:rPr>
          <w:t xml:space="preserve">https://bayanbox.ir/view/6133325835753565412/Versteegh-1997-The-Arabic-language.pdf</w:t>
        </w:r>
      </w:hyperlink>
    </w:p>
    <w:p>
      <w:pPr>
        <w:pStyle w:val="BodyText"/>
      </w:pPr>
      <w:hyperlink r:id="rId31">
        <w:r>
          <w:rPr>
            <w:rStyle w:val="Hyperlink"/>
          </w:rPr>
          <w:t xml:space="preserve">[22]</w:t>
        </w:r>
      </w:hyperlink>
      <w:r>
        <w:t xml:space="preserve"> </w:t>
      </w:r>
      <w:hyperlink r:id="rId31">
        <w:r>
          <w:rPr>
            <w:rStyle w:val="Hyperlink"/>
          </w:rPr>
          <w:t xml:space="preserve">[37]</w:t>
        </w:r>
      </w:hyperlink>
      <w:r>
        <w:t xml:space="preserve"> </w:t>
      </w:r>
      <w:hyperlink r:id="rId31">
        <w:r>
          <w:rPr>
            <w:rStyle w:val="Hyperlink"/>
          </w:rPr>
          <w:t xml:space="preserve">[45]</w:t>
        </w:r>
      </w:hyperlink>
      <w:r>
        <w:t xml:space="preserve"> </w:t>
      </w:r>
      <w:r>
        <w:t xml:space="preserve">https://pmc.ncbi.nlm.nih.gov/articles/PMC2504810/</w:t>
      </w:r>
    </w:p>
    <w:p>
      <w:pPr>
        <w:pStyle w:val="BodyText"/>
      </w:pPr>
      <w:hyperlink r:id="rId31">
        <w:r>
          <w:rPr>
            <w:rStyle w:val="Hyperlink"/>
          </w:rPr>
          <w:t xml:space="preserve">https://pmc.ncbi.nlm.nih.gov/articles/PMC2504810/</w:t>
        </w:r>
      </w:hyperlink>
    </w:p>
    <w:p>
      <w:pPr>
        <w:pStyle w:val="BodyText"/>
      </w:pPr>
      <w:hyperlink r:id="rId33">
        <w:r>
          <w:rPr>
            <w:rStyle w:val="Hyperlink"/>
          </w:rPr>
          <w:t xml:space="preserve">[26]</w:t>
        </w:r>
      </w:hyperlink>
      <w:r>
        <w:t xml:space="preserve"> </w:t>
      </w:r>
      <w:hyperlink r:id="rId33">
        <w:r>
          <w:rPr>
            <w:rStyle w:val="Hyperlink"/>
          </w:rPr>
          <w:t xml:space="preserve">[27]</w:t>
        </w:r>
      </w:hyperlink>
      <w:r>
        <w:t xml:space="preserve"> </w:t>
      </w:r>
      <w:r>
        <w:t xml:space="preserve">https://iupac.org/what-we-do/recommendations/provisional-recommendations/</w:t>
      </w:r>
    </w:p>
    <w:p>
      <w:pPr>
        <w:pStyle w:val="BodyText"/>
      </w:pPr>
      <w:hyperlink r:id="rId33">
        <w:r>
          <w:rPr>
            <w:rStyle w:val="Hyperlink"/>
          </w:rPr>
          <w:t xml:space="preserve">https://iupac.org/what-we-do/recommendations/provisional-recommendations/</w:t>
        </w:r>
      </w:hyperlink>
    </w:p>
    <w:p>
      <w:pPr>
        <w:pStyle w:val="BodyText"/>
      </w:pPr>
      <w:hyperlink r:id="rId35">
        <w:r>
          <w:rPr>
            <w:rStyle w:val="Hyperlink"/>
          </w:rPr>
          <w:t xml:space="preserve">[28]</w:t>
        </w:r>
      </w:hyperlink>
      <w:r>
        <w:t xml:space="preserve"> </w:t>
      </w:r>
      <w:hyperlink r:id="rId35">
        <w:r>
          <w:rPr>
            <w:rStyle w:val="Hyperlink"/>
          </w:rPr>
          <w:t xml:space="preserve">[29]</w:t>
        </w:r>
      </w:hyperlink>
      <w:r>
        <w:t xml:space="preserve"> </w:t>
      </w:r>
      <w:hyperlink r:id="rId35">
        <w:r>
          <w:rPr>
            <w:rStyle w:val="Hyperlink"/>
          </w:rPr>
          <w:t xml:space="preserve">[31]</w:t>
        </w:r>
      </w:hyperlink>
      <w:r>
        <w:t xml:space="preserve"> </w:t>
      </w:r>
      <w:hyperlink r:id="rId35">
        <w:r>
          <w:rPr>
            <w:rStyle w:val="Hyperlink"/>
          </w:rPr>
          <w:t xml:space="preserve">[48]</w:t>
        </w:r>
      </w:hyperlink>
      <w:r>
        <w:t xml:space="preserve"> </w:t>
      </w:r>
      <w:hyperlink r:id="rId35">
        <w:r>
          <w:rPr>
            <w:rStyle w:val="Hyperlink"/>
          </w:rPr>
          <w:t xml:space="preserve">[49]</w:t>
        </w:r>
      </w:hyperlink>
      <w:r>
        <w:t xml:space="preserve"> </w:t>
      </w:r>
      <w:r>
        <w:t xml:space="preserve">https://dl1.cuni.cz/pluginfile.php/510606/mod_resource/content/3/Ferguson_Diglossia.pdf</w:t>
      </w:r>
    </w:p>
    <w:p>
      <w:pPr>
        <w:pStyle w:val="BodyText"/>
      </w:pPr>
      <w:hyperlink r:id="rId35">
        <w:r>
          <w:rPr>
            <w:rStyle w:val="Hyperlink"/>
          </w:rPr>
          <w:t xml:space="preserve">https://dl1.cuni.cz/pluginfile.php/510606/mod_resource/content/3/Ferguson_Diglossia.pdf</w:t>
        </w:r>
      </w:hyperlink>
    </w:p>
    <w:p>
      <w:pPr>
        <w:pStyle w:val="BodyText"/>
      </w:pPr>
      <w:hyperlink r:id="rId38">
        <w:r>
          <w:rPr>
            <w:rStyle w:val="Hyperlink"/>
          </w:rPr>
          <w:t xml:space="preserve">[33]</w:t>
        </w:r>
      </w:hyperlink>
      <w:r>
        <w:t xml:space="preserve"> </w:t>
      </w:r>
      <w:hyperlink r:id="rId38">
        <w:r>
          <w:rPr>
            <w:rStyle w:val="Hyperlink"/>
          </w:rPr>
          <w:t xml:space="preserve">[34]</w:t>
        </w:r>
      </w:hyperlink>
      <w:r>
        <w:t xml:space="preserve"> </w:t>
      </w:r>
      <w:hyperlink r:id="rId38">
        <w:r>
          <w:rPr>
            <w:rStyle w:val="Hyperlink"/>
          </w:rPr>
          <w:t xml:space="preserve">[53]</w:t>
        </w:r>
      </w:hyperlink>
      <w:r>
        <w:t xml:space="preserve"> </w:t>
      </w:r>
      <w:r>
        <w:t xml:space="preserve">https://quran.com/en/al-baqarah/31-33</w:t>
      </w:r>
    </w:p>
    <w:p>
      <w:pPr>
        <w:pStyle w:val="BodyText"/>
      </w:pPr>
      <w:hyperlink r:id="rId38">
        <w:r>
          <w:rPr>
            <w:rStyle w:val="Hyperlink"/>
          </w:rPr>
          <w:t xml:space="preserve">https://quran.com/en/al-baqarah/31-33</w:t>
        </w:r>
      </w:hyperlink>
    </w:p>
    <w:p>
      <w:pPr>
        <w:pStyle w:val="BodyText"/>
      </w:pPr>
      <w:hyperlink r:id="rId40">
        <w:r>
          <w:rPr>
            <w:rStyle w:val="Hyperlink"/>
          </w:rPr>
          <w:t xml:space="preserve">[36]</w:t>
        </w:r>
      </w:hyperlink>
      <w:r>
        <w:t xml:space="preserve"> </w:t>
      </w:r>
      <w:hyperlink r:id="rId40">
        <w:r>
          <w:rPr>
            <w:rStyle w:val="Hyperlink"/>
          </w:rPr>
          <w:t xml:space="preserve">[38]</w:t>
        </w:r>
      </w:hyperlink>
      <w:r>
        <w:t xml:space="preserve"> </w:t>
      </w:r>
      <w:hyperlink r:id="rId40">
        <w:r>
          <w:rPr>
            <w:rStyle w:val="Hyperlink"/>
          </w:rPr>
          <w:t xml:space="preserve">[51]</w:t>
        </w:r>
      </w:hyperlink>
      <w:r>
        <w:t xml:space="preserve"> </w:t>
      </w:r>
      <w:r>
        <w:t xml:space="preserve">https://www.cambridge.org/core/services/aop-cambridge-core/content/view/5BF0F1255D39BB5D11DA788643262256/S1369415424000499a.pdf/kant_and_herder_on_reasons_relation_to_language.pdf</w:t>
      </w:r>
    </w:p>
    <w:p>
      <w:pPr>
        <w:pStyle w:val="BodyText"/>
      </w:pPr>
      <w:hyperlink r:id="rId40">
        <w:r>
          <w:rPr>
            <w:rStyle w:val="Hyperlink"/>
          </w:rPr>
          <w:t xml:space="preserve">https://www.cambridge.org/core/services/aop-cambridge-core/content/view/5BF0F1255D39BB5D11DA788643262256/S1369415424000499a.pdf/kant_and_herder_on_reasons_relation_to_language.pdf</w:t>
        </w:r>
      </w:hyperlink>
    </w:p>
    <w:p>
      <w:pPr>
        <w:pStyle w:val="BodyText"/>
      </w:pPr>
      <w:hyperlink r:id="rId46">
        <w:r>
          <w:rPr>
            <w:rStyle w:val="Hyperlink"/>
          </w:rPr>
          <w:t xml:space="preserve">[44]</w:t>
        </w:r>
      </w:hyperlink>
      <w:r>
        <w:t xml:space="preserve"> </w:t>
      </w:r>
      <w:r>
        <w:t xml:space="preserve">https://pubmed.ncbi.nlm.nih.gov/18667697/</w:t>
      </w:r>
    </w:p>
    <w:p>
      <w:pPr>
        <w:pStyle w:val="BodyText"/>
      </w:pPr>
      <w:hyperlink r:id="rId46">
        <w:r>
          <w:rPr>
            <w:rStyle w:val="Hyperlink"/>
          </w:rPr>
          <w:t xml:space="preserve">https://pubmed.ncbi.nlm.nih.gov/18667697/</w:t>
        </w:r>
      </w:hyperlink>
    </w:p>
    <w:bookmarkEnd w:id="55"/>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 w:numId="1004">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25" Target="https://archive.qsm.ac.il/ISJournal/Files/vol6_is2_2022/2%3D%3Deng%3DOday_Zidat.pdf" TargetMode="External" /><Relationship Type="http://schemas.openxmlformats.org/officeDocument/2006/relationships/hyperlink" Id="rId29" Target="https://bayanbox.ir/view/6133325835753565412/Versteegh-1997-The-Arabic-language.pdf" TargetMode="External" /><Relationship Type="http://schemas.openxmlformats.org/officeDocument/2006/relationships/hyperlink" Id="rId35" Target="https://dl1.cuni.cz/pluginfile.php/510606/mod_resource/content/3/Ferguson_Diglossia.pdf" TargetMode="External" /><Relationship Type="http://schemas.openxmlformats.org/officeDocument/2006/relationships/hyperlink" Id="rId22" Target="https://imamhamzatcoed.edu.ng/library/ebooks/resources/Modern_Standard_Arabic_Reference_Grammar.pdf" TargetMode="External" /><Relationship Type="http://schemas.openxmlformats.org/officeDocument/2006/relationships/hyperlink" Id="rId33" Target="https://iupac.org/what-we-do/recommendations/provisional-recommendations/" TargetMode="External" /><Relationship Type="http://schemas.openxmlformats.org/officeDocument/2006/relationships/hyperlink" Id="rId26" Target="https://plato.stanford.edu/entries/word-meaning/" TargetMode="External" /><Relationship Type="http://schemas.openxmlformats.org/officeDocument/2006/relationships/hyperlink" Id="rId31" Target="https://pmc.ncbi.nlm.nih.gov/articles/PMC2504810/" TargetMode="External" /><Relationship Type="http://schemas.openxmlformats.org/officeDocument/2006/relationships/hyperlink" Id="rId46" Target="https://pubmed.ncbi.nlm.nih.gov/18667697/" TargetMode="External" /><Relationship Type="http://schemas.openxmlformats.org/officeDocument/2006/relationships/hyperlink" Id="rId38" Target="https://quran.com/en/al-baqarah/31-33" TargetMode="External" /><Relationship Type="http://schemas.openxmlformats.org/officeDocument/2006/relationships/hyperlink" Id="rId21" Target="https://thequran.love/2026/02/25/the-architecture-of-systematic-order-from-human-consensus-in-science-to-the-divine-blueprint-of-the-arabic-language/" TargetMode="External" /><Relationship Type="http://schemas.openxmlformats.org/officeDocument/2006/relationships/hyperlink" Id="rId24" Target="https://web.mit.edu/lulich/www/Suessmilch.pdf" TargetMode="External" /><Relationship Type="http://schemas.openxmlformats.org/officeDocument/2006/relationships/hyperlink" Id="rId28" Target="https://www.asc.ohio-state.edu/levine.1/pdf/non-601/McCarthy.pdf" TargetMode="External" /><Relationship Type="http://schemas.openxmlformats.org/officeDocument/2006/relationships/hyperlink" Id="rId40" Target="https://www.cambridge.org/core/services/aop-cambridge-core/content/view/5BF0F1255D39BB5D11DA788643262256/S1369415424000499a.pdf/kant_and_herder_on_reasons_relation_to_language.pdf" TargetMode="External" /></Relationships>
</file>

<file path=word/_rels/footnotes.xml.rels><?xml version="1.0" encoding="UTF-8"?><Relationships xmlns="http://schemas.openxmlformats.org/package/2006/relationships"><Relationship Type="http://schemas.openxmlformats.org/officeDocument/2006/relationships/hyperlink" Id="rId25" Target="https://archive.qsm.ac.il/ISJournal/Files/vol6_is2_2022/2%3D%3Deng%3DOday_Zidat.pdf" TargetMode="External" /><Relationship Type="http://schemas.openxmlformats.org/officeDocument/2006/relationships/hyperlink" Id="rId29" Target="https://bayanbox.ir/view/6133325835753565412/Versteegh-1997-The-Arabic-language.pdf" TargetMode="External" /><Relationship Type="http://schemas.openxmlformats.org/officeDocument/2006/relationships/hyperlink" Id="rId35" Target="https://dl1.cuni.cz/pluginfile.php/510606/mod_resource/content/3/Ferguson_Diglossia.pdf" TargetMode="External" /><Relationship Type="http://schemas.openxmlformats.org/officeDocument/2006/relationships/hyperlink" Id="rId22" Target="https://imamhamzatcoed.edu.ng/library/ebooks/resources/Modern_Standard_Arabic_Reference_Grammar.pdf" TargetMode="External" /><Relationship Type="http://schemas.openxmlformats.org/officeDocument/2006/relationships/hyperlink" Id="rId33" Target="https://iupac.org/what-we-do/recommendations/provisional-recommendations/" TargetMode="External" /><Relationship Type="http://schemas.openxmlformats.org/officeDocument/2006/relationships/hyperlink" Id="rId26" Target="https://plato.stanford.edu/entries/word-meaning/" TargetMode="External" /><Relationship Type="http://schemas.openxmlformats.org/officeDocument/2006/relationships/hyperlink" Id="rId31" Target="https://pmc.ncbi.nlm.nih.gov/articles/PMC2504810/" TargetMode="External" /><Relationship Type="http://schemas.openxmlformats.org/officeDocument/2006/relationships/hyperlink" Id="rId46" Target="https://pubmed.ncbi.nlm.nih.gov/18667697/" TargetMode="External" /><Relationship Type="http://schemas.openxmlformats.org/officeDocument/2006/relationships/hyperlink" Id="rId38" Target="https://quran.com/en/al-baqarah/31-33" TargetMode="External" /><Relationship Type="http://schemas.openxmlformats.org/officeDocument/2006/relationships/hyperlink" Id="rId21" Target="https://thequran.love/2026/02/25/the-architecture-of-systematic-order-from-human-consensus-in-science-to-the-divine-blueprint-of-the-arabic-language/" TargetMode="External" /><Relationship Type="http://schemas.openxmlformats.org/officeDocument/2006/relationships/hyperlink" Id="rId24" Target="https://web.mit.edu/lulich/www/Suessmilch.pdf" TargetMode="External" /><Relationship Type="http://schemas.openxmlformats.org/officeDocument/2006/relationships/hyperlink" Id="rId28" Target="https://www.asc.ohio-state.edu/levine.1/pdf/non-601/McCarthy.pdf" TargetMode="External" /><Relationship Type="http://schemas.openxmlformats.org/officeDocument/2006/relationships/hyperlink" Id="rId40" Target="https://www.cambridge.org/core/services/aop-cambridge-core/content/view/5BF0F1255D39BB5D11DA788643262256/S1369415424000499a.pdf/kant_and_herder_on_reasons_relation_to_language.pdf"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2026-02-26T12:08:15Z</dcterms:created>
  <dcterms:modified xsi:type="dcterms:W3CDTF">2026-02-26T12:08:15Z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