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90880" w:rsidRPr="00590880" w:rsidRDefault="00590880" w:rsidP="00590880">
      <w:pPr>
        <w:pStyle w:val="Bibliography"/>
        <w:rPr>
          <w:sz w:val="40"/>
          <w:szCs w:val="40"/>
        </w:rPr>
      </w:pPr>
      <w:bookmarkStart w:id="0" w:name="header"/>
      <w:bookmarkStart w:id="1" w:name="content"/>
      <w:bookmarkStart w:id="2" w:name="_GoBack"/>
      <w:bookmarkEnd w:id="0"/>
      <w:r w:rsidRPr="00590880">
        <w:rPr>
          <w:sz w:val="40"/>
          <w:szCs w:val="40"/>
        </w:rPr>
        <w:t xml:space="preserve">A Critical Review of Shia Doctrines in Light of </w:t>
      </w:r>
      <w:proofErr w:type="spellStart"/>
      <w:r w:rsidRPr="00590880">
        <w:rPr>
          <w:sz w:val="40"/>
          <w:szCs w:val="40"/>
        </w:rPr>
        <w:t>Javed</w:t>
      </w:r>
      <w:proofErr w:type="spellEnd"/>
      <w:r w:rsidRPr="00590880">
        <w:rPr>
          <w:sz w:val="40"/>
          <w:szCs w:val="40"/>
        </w:rPr>
        <w:t xml:space="preserve"> Ahmed </w:t>
      </w:r>
      <w:proofErr w:type="spellStart"/>
      <w:r w:rsidRPr="00590880">
        <w:rPr>
          <w:sz w:val="40"/>
          <w:szCs w:val="40"/>
        </w:rPr>
        <w:t>Ghamidi’s</w:t>
      </w:r>
      <w:proofErr w:type="spellEnd"/>
      <w:r w:rsidRPr="00590880">
        <w:rPr>
          <w:sz w:val="40"/>
          <w:szCs w:val="40"/>
        </w:rPr>
        <w:t xml:space="preserve"> Discourse</w:t>
      </w:r>
    </w:p>
    <w:bookmarkEnd w:id="2"/>
    <w:p w:rsidR="00590880" w:rsidRDefault="00590880">
      <w:pPr>
        <w:pStyle w:val="FirstParagraph"/>
        <w:rPr>
          <w:b/>
          <w:bCs/>
        </w:rPr>
      </w:pPr>
      <w:r>
        <w:rPr>
          <w:b/>
          <w:bCs/>
        </w:rPr>
        <w:t>Presented by Zia H Shah MD</w:t>
      </w:r>
    </w:p>
    <w:p w:rsidR="00F06E50" w:rsidRDefault="00590880">
      <w:pPr>
        <w:pStyle w:val="FirstParagraph"/>
      </w:pPr>
      <w:r>
        <w:rPr>
          <w:b/>
          <w:bCs/>
        </w:rPr>
        <w:t>Abstract:</w:t>
      </w:r>
      <w:r>
        <w:br/>
      </w:r>
      <w:r>
        <w:t>This essay summarizes and analyzes an Urdu lecture by Javed Ahmad Ghamidi – a contemporary Sunni scholar – in which he critiques certain Shiʿi theological positions regarding the status of the Prophet’s family (Ahl al-Bayt) and the concept of Imamate (divi</w:t>
      </w:r>
      <w:r>
        <w:t xml:space="preserve">nely-guided leadership). Ghamidi’s arguments are presented with supporting evidence from the Qur’an and Hadith, juxtaposed against Shiʿi interpretations, in a neutral and academic tone. The discussion covers the Quranic context of </w:t>
      </w:r>
      <w:r>
        <w:rPr>
          <w:i/>
          <w:iCs/>
        </w:rPr>
        <w:t>Ahl al-Bayt</w:t>
      </w:r>
      <w:r>
        <w:t xml:space="preserve"> (the “People </w:t>
      </w:r>
      <w:r>
        <w:t xml:space="preserve">of the House”) and how Sunni and Shiʿi scholars differ on its meaning and implications. Key prophetic narrations – such as the </w:t>
      </w:r>
      <w:r>
        <w:rPr>
          <w:b/>
          <w:bCs/>
        </w:rPr>
        <w:t>Hadith of the Cloak (Hadith al-Kisā)</w:t>
      </w:r>
      <w:r>
        <w:t xml:space="preserve">, </w:t>
      </w:r>
      <w:r>
        <w:rPr>
          <w:b/>
          <w:bCs/>
        </w:rPr>
        <w:t>Hadith al-Thaqalayn (“the Two Weighty Things”)</w:t>
      </w:r>
      <w:r>
        <w:t xml:space="preserve">, and the proclamation at </w:t>
      </w:r>
      <w:r>
        <w:rPr>
          <w:b/>
          <w:bCs/>
        </w:rPr>
        <w:t>Ghadīr Khumm</w:t>
      </w:r>
      <w:r>
        <w:t xml:space="preserve"> – are </w:t>
      </w:r>
      <w:r>
        <w:t>examined with Ghamidi’s explanations and those of other Sunni scholars, to clarify why Sunnis do not see these as endorsing Shiʿi claims of ʿAli’s exclusive succession or the infallibility of Imams. The essay also discusses the Sunni perspective on the Rig</w:t>
      </w:r>
      <w:r>
        <w:t xml:space="preserve">htly-Guided Caliphs chosen by the community, the Quranic emphasis on consultative leadership, and the </w:t>
      </w:r>
      <w:r>
        <w:rPr>
          <w:i/>
          <w:iCs/>
        </w:rPr>
        <w:t>status</w:t>
      </w:r>
      <w:r>
        <w:t xml:space="preserve"> of the Prophet’s Companions (</w:t>
      </w:r>
      <w:r>
        <w:rPr>
          <w:i/>
          <w:iCs/>
        </w:rPr>
        <w:t>Ṣ</w:t>
      </w:r>
      <w:r>
        <w:rPr>
          <w:i/>
          <w:iCs/>
        </w:rPr>
        <w:t>a</w:t>
      </w:r>
      <w:r>
        <w:rPr>
          <w:i/>
          <w:iCs/>
        </w:rPr>
        <w:t>ḥ</w:t>
      </w:r>
      <w:r>
        <w:rPr>
          <w:i/>
          <w:iCs/>
        </w:rPr>
        <w:t>ābah</w:t>
      </w:r>
      <w:r>
        <w:t>) and wives. Throughout, Ghamidi’s own translated words are included to illustrate his stance – for example, hi</w:t>
      </w:r>
      <w:r>
        <w:t>s assertion that invoking ʿAli for help (“</w:t>
      </w:r>
      <w:r>
        <w:rPr>
          <w:i/>
          <w:iCs/>
        </w:rPr>
        <w:t>Yā ʿAli madad</w:t>
      </w:r>
      <w:r>
        <w:t>”) constitutes shirk (polytheism). Contributions from classical and contemporary Sunni scholarship are incorporated to show that Ghamidi’s views align with a broader scholarly tradition. In conclusion,</w:t>
      </w:r>
      <w:r>
        <w:t xml:space="preserve"> a thematic epilogue reflects on the importance of grounding religious beliefs in the Qur’an’s clear guidance and maintaining a balanced reverence for the Prophet’s family without veering into sectarian excess. This comparative analysis aims to foster unde</w:t>
      </w:r>
      <w:r>
        <w:t xml:space="preserve">rstanding of how Sunni thought (as represented by Ghamidi and others) academically addresses Shiʿi interpretations, underlining both areas of agreement (such as love for the Prophet’s family) and divergence (such as the nature of religious leadership), in </w:t>
      </w:r>
      <w:r>
        <w:t>hopes of promoting informed and respectful dialogue.</w:t>
      </w:r>
    </w:p>
    <w:p w:rsidR="00F06E50" w:rsidRDefault="00590880">
      <w:pPr>
        <w:pStyle w:val="Heading2"/>
      </w:pPr>
      <w:bookmarkStart w:id="3" w:name="introduction"/>
      <w:r>
        <w:t>Introduction</w:t>
      </w:r>
    </w:p>
    <w:p w:rsidR="00F06E50" w:rsidRDefault="00590880">
      <w:pPr>
        <w:pStyle w:val="FirstParagraph"/>
      </w:pPr>
      <w:r>
        <w:t>Javed Ahmad Ghamidi is a well-known Pakistani Islamic scholar who often engages with intra-Muslim theological debates in a scholarly manner. In the referenced Urdu lecture (YouTube video), G</w:t>
      </w:r>
      <w:r>
        <w:t xml:space="preserve">hamidi addresses several contentions raised by Shiʿa Muslims regarding the special status of </w:t>
      </w:r>
      <w:r>
        <w:rPr>
          <w:b/>
          <w:bCs/>
        </w:rPr>
        <w:t>Ahl al-Bayt</w:t>
      </w:r>
      <w:r>
        <w:t xml:space="preserve"> (the household of the Prophet) and the doctrine of </w:t>
      </w:r>
      <w:r>
        <w:rPr>
          <w:b/>
          <w:bCs/>
        </w:rPr>
        <w:t>Imamate</w:t>
      </w:r>
      <w:r>
        <w:t xml:space="preserve"> (the Shiʿi belief in divinely-appointed, infallible leaders from the Prophet’s family after </w:t>
      </w:r>
      <w:r>
        <w:t xml:space="preserve">his demise). Speaking from a Sunni perspective, Ghamidi examines Qur’anic verses and Prophetic hadith reports that are commonly cited in support of Shiʿi claims. He argues that a careful, contextual reading of these sources does not substantiate the Shiʿi </w:t>
      </w:r>
      <w:r>
        <w:t xml:space="preserve">positions; rather, Sunni interpretations emerge more coherently when the Qur’anic context and the </w:t>
      </w:r>
      <w:r>
        <w:rPr>
          <w:b/>
          <w:bCs/>
        </w:rPr>
        <w:t>consensus of the Prophet’s Companions</w:t>
      </w:r>
      <w:r>
        <w:t xml:space="preserve"> are taken into account. In his analysis, Ghamidi also invokes the </w:t>
      </w:r>
      <w:r>
        <w:lastRenderedPageBreak/>
        <w:t>viewpoints of earlier scholars and general Sunni schol</w:t>
      </w:r>
      <w:r>
        <w:t xml:space="preserve">arly consensus. This essay will systematically present Ghamidi’s arguments – </w:t>
      </w:r>
      <w:r>
        <w:rPr>
          <w:i/>
          <w:iCs/>
        </w:rPr>
        <w:t>with direct English translations of his key statements</w:t>
      </w:r>
      <w:r>
        <w:t xml:space="preserve"> – alongside Qur’anic and hadith evidence. In addition, it will include insights from other classical and modern Sunni schola</w:t>
      </w:r>
      <w:r>
        <w:t>rs on these themes to provide a comprehensive, academically rigorous comparison of Sunni and Shiʿi viewpoints. The tone throughout remains neutral and analytical, focusing on evidence and reasoning rather than polemics.</w:t>
      </w:r>
    </w:p>
    <w:p w:rsidR="00F06E50" w:rsidRDefault="00590880">
      <w:pPr>
        <w:pStyle w:val="Heading2"/>
      </w:pPr>
      <w:bookmarkStart w:id="4" w:name="Xc4f866e8e6136b2a64ff5dc72654017b1886265"/>
      <w:bookmarkEnd w:id="3"/>
      <w:r>
        <w:t>Ahl al-Bayt in Qur’ān and Hadith: Co</w:t>
      </w:r>
      <w:r>
        <w:t>ntext vs. Interpretation</w:t>
      </w:r>
    </w:p>
    <w:p w:rsidR="00F06E50" w:rsidRDefault="00590880">
      <w:pPr>
        <w:pStyle w:val="FirstParagraph"/>
      </w:pPr>
      <w:r>
        <w:rPr>
          <w:b/>
          <w:bCs/>
        </w:rPr>
        <w:t xml:space="preserve">Defining </w:t>
      </w:r>
      <w:r>
        <w:rPr>
          <w:b/>
          <w:bCs/>
          <w:i/>
          <w:iCs/>
        </w:rPr>
        <w:t>Ahl al-Bayt</w:t>
      </w:r>
      <w:r>
        <w:rPr>
          <w:b/>
          <w:bCs/>
        </w:rPr>
        <w:t xml:space="preserve"> (the Household of the Prophet):</w:t>
      </w:r>
      <w:r>
        <w:t xml:space="preserve"> A central point of contention is the identity and scope of </w:t>
      </w:r>
      <w:r>
        <w:rPr>
          <w:i/>
          <w:iCs/>
        </w:rPr>
        <w:t>Ahl al-Bayt</w:t>
      </w:r>
      <w:r>
        <w:t xml:space="preserve">. Shiʿi theology typically restricts </w:t>
      </w:r>
      <w:r>
        <w:rPr>
          <w:i/>
          <w:iCs/>
        </w:rPr>
        <w:t>Ahl al-Bayt</w:t>
      </w:r>
      <w:r>
        <w:t xml:space="preserve"> to the Prophet’s immediate family – most prominently </w:t>
      </w:r>
      <w:r>
        <w:rPr>
          <w:b/>
          <w:bCs/>
        </w:rPr>
        <w:t>ʿ</w:t>
      </w:r>
      <w:r>
        <w:rPr>
          <w:b/>
          <w:bCs/>
        </w:rPr>
        <w:t>Ali i</w:t>
      </w:r>
      <w:r>
        <w:rPr>
          <w:b/>
          <w:bCs/>
        </w:rPr>
        <w:t>bn Abi Tālib</w:t>
      </w:r>
      <w:r>
        <w:t xml:space="preserve"> (his cousin and son-in-law), </w:t>
      </w:r>
      <w:r>
        <w:rPr>
          <w:b/>
          <w:bCs/>
        </w:rPr>
        <w:t>Fā</w:t>
      </w:r>
      <w:r>
        <w:rPr>
          <w:b/>
          <w:bCs/>
        </w:rPr>
        <w:t>ṭ</w:t>
      </w:r>
      <w:r>
        <w:rPr>
          <w:b/>
          <w:bCs/>
        </w:rPr>
        <w:t>ima</w:t>
      </w:r>
      <w:r>
        <w:t xml:space="preserve"> (his daughter), and their sons </w:t>
      </w:r>
      <w:r>
        <w:rPr>
          <w:b/>
          <w:bCs/>
        </w:rPr>
        <w:t>Ḥ</w:t>
      </w:r>
      <w:r>
        <w:rPr>
          <w:b/>
          <w:bCs/>
        </w:rPr>
        <w:t>asan</w:t>
      </w:r>
      <w:r>
        <w:t xml:space="preserve"> and </w:t>
      </w:r>
      <w:r>
        <w:rPr>
          <w:b/>
          <w:bCs/>
        </w:rPr>
        <w:t>Ḥ</w:t>
      </w:r>
      <w:r>
        <w:rPr>
          <w:b/>
          <w:bCs/>
        </w:rPr>
        <w:t>usayn</w:t>
      </w:r>
      <w:r>
        <w:t xml:space="preserve">, along with the line of Imams descended from </w:t>
      </w:r>
      <w:r>
        <w:t>Ḥ</w:t>
      </w:r>
      <w:r>
        <w:t xml:space="preserve">usayn. Sunni tradition, by contrast, understands </w:t>
      </w:r>
      <w:r>
        <w:rPr>
          <w:i/>
          <w:iCs/>
        </w:rPr>
        <w:t>Ahl al-Bayt</w:t>
      </w:r>
      <w:r>
        <w:t xml:space="preserve"> in a broader (and more literal) sense, usually inclu</w:t>
      </w:r>
      <w:r>
        <w:t xml:space="preserve">ding the Prophet’s </w:t>
      </w:r>
      <w:r>
        <w:rPr>
          <w:b/>
          <w:bCs/>
        </w:rPr>
        <w:t>wives</w:t>
      </w:r>
      <w:r>
        <w:t xml:space="preserve"> as well as his immediate blood relatives. Ghamidi emphasizes that the phrase </w:t>
      </w:r>
      <w:r>
        <w:rPr>
          <w:i/>
          <w:iCs/>
        </w:rPr>
        <w:t>ahl al-bayt</w:t>
      </w:r>
      <w:r>
        <w:t xml:space="preserve"> is an Arabic term meaning “the people of the house,” which in common usage </w:t>
      </w:r>
      <w:r>
        <w:rPr>
          <w:b/>
          <w:bCs/>
        </w:rPr>
        <w:t>naturally includes a man’s wife(s)</w:t>
      </w:r>
      <w:r>
        <w:t xml:space="preserve"> and current household members</w:t>
      </w:r>
      <w:hyperlink r:id="rId6" w:anchor=":~:text=,This">
        <w:r>
          <w:rPr>
            <w:rStyle w:val="Hyperlink"/>
          </w:rPr>
          <w:t>[1]</w:t>
        </w:r>
      </w:hyperlink>
      <w:hyperlink r:id="rId7" w:anchor=":~:text=,to%20confuse%20or%20misguide%20people">
        <w:r>
          <w:rPr>
            <w:rStyle w:val="Hyperlink"/>
          </w:rPr>
          <w:t>[2]</w:t>
        </w:r>
      </w:hyperlink>
      <w:r>
        <w:t xml:space="preserve">. He notes that in </w:t>
      </w:r>
      <w:r>
        <w:rPr>
          <w:b/>
          <w:bCs/>
        </w:rPr>
        <w:t>Arabic language and in the Qur’an itself</w:t>
      </w:r>
      <w:r>
        <w:t xml:space="preserve">, the “default” meaning of </w:t>
      </w:r>
      <w:r>
        <w:rPr>
          <w:i/>
          <w:iCs/>
        </w:rPr>
        <w:t>ahl al-bayt</w:t>
      </w:r>
      <w:r>
        <w:t xml:space="preserve"> includes the spouse – for example, the Qur’an uses this term for the wife of Abraham in Q.11:73</w:t>
      </w:r>
      <w:hyperlink r:id="rId8" w:anchor=":~:text=,of%20the%20Qur%E2%80%99an%20that%20all">
        <w:r>
          <w:rPr>
            <w:rStyle w:val="Hyperlink"/>
          </w:rPr>
          <w:t>[3]</w:t>
        </w:r>
      </w:hyperlink>
      <w:r>
        <w:t xml:space="preserve">. Ghamidi argues that </w:t>
      </w:r>
      <w:r>
        <w:rPr>
          <w:i/>
          <w:iCs/>
        </w:rPr>
        <w:t>the Qur’an was revealed in clear Arabic</w:t>
      </w:r>
      <w:r>
        <w:t>, so its words must be understood as the contemporary Arab audience would understand them</w:t>
      </w:r>
      <w:hyperlink r:id="rId9" w:anchor=":~:text=,This">
        <w:r>
          <w:rPr>
            <w:rStyle w:val="Hyperlink"/>
          </w:rPr>
          <w:t>[1]</w:t>
        </w:r>
      </w:hyperlink>
      <w:r>
        <w:t xml:space="preserve">. This means one cannot simply redefine </w:t>
      </w:r>
      <w:r>
        <w:rPr>
          <w:i/>
          <w:iCs/>
        </w:rPr>
        <w:t>ahl al-bayt</w:t>
      </w:r>
      <w:r>
        <w:t xml:space="preserve"> to exclude the wives </w:t>
      </w:r>
      <w:r>
        <w:rPr>
          <w:i/>
          <w:iCs/>
        </w:rPr>
        <w:t>unless</w:t>
      </w:r>
      <w:r>
        <w:t xml:space="preserve"> the Qur’anic context itself explicitly indicates such a change in meaning</w:t>
      </w:r>
      <w:hyperlink r:id="rId10" w:anchor=":~:text=,as%20I">
        <w:r>
          <w:rPr>
            <w:rStyle w:val="Hyperlink"/>
          </w:rPr>
          <w:t>[4]</w:t>
        </w:r>
      </w:hyperlink>
      <w:r>
        <w:t xml:space="preserve">. In the case of the oft-cited </w:t>
      </w:r>
      <w:r>
        <w:rPr>
          <w:b/>
          <w:bCs/>
        </w:rPr>
        <w:t>“Verse of Purification”</w:t>
      </w:r>
      <w:r>
        <w:t xml:space="preserve"> </w:t>
      </w:r>
      <w:r>
        <w:t xml:space="preserve">in the Qur’an (33:33), he points out that the verse occurs amid direct addresses to the Prophet’s wives (using feminine pronouns in 33:28–34). Thus, contextually </w:t>
      </w:r>
      <w:r>
        <w:rPr>
          <w:b/>
          <w:bCs/>
        </w:rPr>
        <w:t xml:space="preserve">“the phrase </w:t>
      </w:r>
      <w:r>
        <w:rPr>
          <w:b/>
          <w:bCs/>
          <w:i/>
          <w:iCs/>
        </w:rPr>
        <w:t>Ahl al-Bayt</w:t>
      </w:r>
      <w:r>
        <w:rPr>
          <w:b/>
          <w:bCs/>
        </w:rPr>
        <w:t xml:space="preserve"> is used in its generally understood meaning and leaves no room for dis</w:t>
      </w:r>
      <w:r>
        <w:rPr>
          <w:b/>
          <w:bCs/>
        </w:rPr>
        <w:t>cussion”</w:t>
      </w:r>
      <w:r>
        <w:t xml:space="preserve"> that it primarily addressed the Prophet’s wives</w:t>
      </w:r>
      <w:hyperlink r:id="rId11" w:anchor=":~:text=religious%20concepts,">
        <w:r>
          <w:rPr>
            <w:rStyle w:val="Hyperlink"/>
          </w:rPr>
          <w:t>[5]</w:t>
        </w:r>
      </w:hyperlink>
      <w:hyperlink r:id="rId12" w:anchor=":~:text=,is%20inline%20with%20its%20context">
        <w:r>
          <w:rPr>
            <w:rStyle w:val="Hyperlink"/>
          </w:rPr>
          <w:t>[6]</w:t>
        </w:r>
      </w:hyperlink>
      <w:r>
        <w:t xml:space="preserve">. Ghamidi’s stance aligns with the wider Sunni scholarly position: classical exegetes like </w:t>
      </w:r>
      <w:r>
        <w:rPr>
          <w:i/>
          <w:iCs/>
        </w:rPr>
        <w:t>al-</w:t>
      </w:r>
      <w:r>
        <w:rPr>
          <w:i/>
          <w:iCs/>
        </w:rPr>
        <w:t>Ṭ</w:t>
      </w:r>
      <w:r>
        <w:rPr>
          <w:i/>
          <w:iCs/>
        </w:rPr>
        <w:t>abarī</w:t>
      </w:r>
      <w:r>
        <w:t xml:space="preserve"> and </w:t>
      </w:r>
      <w:r>
        <w:rPr>
          <w:i/>
          <w:iCs/>
        </w:rPr>
        <w:t>Ibn Kathīr</w:t>
      </w:r>
      <w:r>
        <w:t xml:space="preserve"> record that while some reports (mostly narrated by early autho</w:t>
      </w:r>
      <w:r>
        <w:t xml:space="preserve">rities influenced by Shiʿi veneration) limit </w:t>
      </w:r>
      <w:r>
        <w:rPr>
          <w:i/>
          <w:iCs/>
        </w:rPr>
        <w:t>ahl al-bayt</w:t>
      </w:r>
      <w:r>
        <w:t xml:space="preserve"> to the famous five (Muhammad, ʿAli, Fā</w:t>
      </w:r>
      <w:r>
        <w:t>ṭ</w:t>
      </w:r>
      <w:r>
        <w:t xml:space="preserve">ima, </w:t>
      </w:r>
      <w:r>
        <w:t>Ḥ</w:t>
      </w:r>
      <w:r>
        <w:t xml:space="preserve">asan, </w:t>
      </w:r>
      <w:r>
        <w:t>Ḥ</w:t>
      </w:r>
      <w:r>
        <w:t xml:space="preserve">usayn), </w:t>
      </w:r>
      <w:r>
        <w:rPr>
          <w:b/>
          <w:bCs/>
        </w:rPr>
        <w:t xml:space="preserve">the plain Qur’anic context and language include </w:t>
      </w:r>
      <w:r>
        <w:rPr>
          <w:b/>
          <w:bCs/>
          <w:i/>
          <w:iCs/>
        </w:rPr>
        <w:t>all</w:t>
      </w:r>
      <w:r>
        <w:rPr>
          <w:b/>
          <w:bCs/>
        </w:rPr>
        <w:t xml:space="preserve"> of the Prophet’s household, notably his wives</w:t>
      </w:r>
      <w:hyperlink r:id="rId13" w:anchor=":~:text=,to%20confuse%20or%20misguide%20people">
        <w:r>
          <w:rPr>
            <w:rStyle w:val="Hyperlink"/>
          </w:rPr>
          <w:t>[2]</w:t>
        </w:r>
      </w:hyperlink>
      <w:hyperlink r:id="rId14" w:anchor=":~:text=,is%20inline%20with%20its%20context">
        <w:r>
          <w:rPr>
            <w:rStyle w:val="Hyperlink"/>
          </w:rPr>
          <w:t>[6]</w:t>
        </w:r>
      </w:hyperlink>
      <w:r>
        <w:t>. T</w:t>
      </w:r>
      <w:r>
        <w:t xml:space="preserve">his inclusive interpretation is further supported by other hadith: Ghamidi cites that even in some narrations transmitted in Shīʿī collections, the Prophet’s wives </w:t>
      </w:r>
      <w:r>
        <w:rPr>
          <w:i/>
          <w:iCs/>
        </w:rPr>
        <w:t>themselves</w:t>
      </w:r>
      <w:r>
        <w:t xml:space="preserve"> are referred to as </w:t>
      </w:r>
      <w:r>
        <w:rPr>
          <w:i/>
          <w:iCs/>
        </w:rPr>
        <w:t>Ahl al-Bayt</w:t>
      </w:r>
      <w:hyperlink r:id="rId15" w:anchor=":~:text=,then%20try%20to%20understand%20the">
        <w:r>
          <w:rPr>
            <w:rStyle w:val="Hyperlink"/>
          </w:rPr>
          <w:t>[7]</w:t>
        </w:r>
      </w:hyperlink>
      <w:r>
        <w:t>.</w:t>
      </w:r>
    </w:p>
    <w:p w:rsidR="00F06E50" w:rsidRDefault="00590880">
      <w:pPr>
        <w:pStyle w:val="BodyText"/>
      </w:pPr>
      <w:r>
        <w:rPr>
          <w:b/>
          <w:bCs/>
        </w:rPr>
        <w:t>The Verse of Purification (Q.33:33) – Does it Prove Infallibility?</w:t>
      </w:r>
      <w:r>
        <w:t xml:space="preserve"> Shiʿa theologians often argue that Qur’an 33:33 (“Verily, God only wishes to remove all impu</w:t>
      </w:r>
      <w:r>
        <w:t>rity from you, O People of the Household, and purify you thoroughly”) indicates a kind of divine purification or infallibility (</w:t>
      </w:r>
      <w:r>
        <w:rPr>
          <w:i/>
          <w:iCs/>
        </w:rPr>
        <w:t>ʿ</w:t>
      </w:r>
      <w:r>
        <w:rPr>
          <w:i/>
          <w:iCs/>
        </w:rPr>
        <w:t>i</w:t>
      </w:r>
      <w:r>
        <w:rPr>
          <w:i/>
          <w:iCs/>
        </w:rPr>
        <w:t>ṣ</w:t>
      </w:r>
      <w:r>
        <w:rPr>
          <w:i/>
          <w:iCs/>
        </w:rPr>
        <w:t>mah</w:t>
      </w:r>
      <w:r>
        <w:t xml:space="preserve">) granted to those identified as </w:t>
      </w:r>
      <w:r>
        <w:rPr>
          <w:i/>
          <w:iCs/>
        </w:rPr>
        <w:t>Ahl al-Bayt</w:t>
      </w:r>
      <w:r>
        <w:t>. Ghamidi challenges this by first clarifying that the verse, in context, is e</w:t>
      </w:r>
      <w:r>
        <w:t xml:space="preserve">xhorting the Prophet’s wives to righteousness (to be devoted to prayer, charity, obedience, etc., as per the surrounding verses 33:28–34). It is not a blanket declaration of </w:t>
      </w:r>
      <w:r>
        <w:rPr>
          <w:b/>
          <w:bCs/>
        </w:rPr>
        <w:t>sinlessness</w:t>
      </w:r>
      <w:hyperlink r:id="rId16" w:anchor=":~:text=,">
        <w:r>
          <w:rPr>
            <w:rStyle w:val="Hyperlink"/>
          </w:rPr>
          <w:t>[8]</w:t>
        </w:r>
      </w:hyperlink>
      <w:r>
        <w:t xml:space="preserve">. He states unequivocally that </w:t>
      </w:r>
      <w:r>
        <w:rPr>
          <w:i/>
          <w:iCs/>
        </w:rPr>
        <w:t>“no matter who is meant by the word Ahl al-Bayt in 33:33, the verse does not imply any extra-ordinary merits (e.g. infallibility) for the addressees”</w:t>
      </w:r>
      <w:hyperlink r:id="rId17" w:anchor=":~:text=,">
        <w:r>
          <w:rPr>
            <w:rStyle w:val="Hyperlink"/>
          </w:rPr>
          <w:t>[8]</w:t>
        </w:r>
      </w:hyperlink>
      <w:r>
        <w:t xml:space="preserve">. </w:t>
      </w:r>
      <w:r>
        <w:lastRenderedPageBreak/>
        <w:t>In other words, being the Prophet’s household is an honor, but it does not automatically confer immunity from error or a divine rank. Sunni scholars broadly concur that this ver</w:t>
      </w:r>
      <w:r>
        <w:t xml:space="preserve">se is about </w:t>
      </w:r>
      <w:r>
        <w:rPr>
          <w:i/>
          <w:iCs/>
        </w:rPr>
        <w:t>God’s desire/command for the Prophet’s family to be upright</w:t>
      </w:r>
      <w:r>
        <w:t xml:space="preserve"> – a spiritual exhortation and honor – rather than a guarantee of impeccable guidance </w:t>
      </w:r>
      <w:r>
        <w:rPr>
          <w:b/>
          <w:bCs/>
        </w:rPr>
        <w:t>for</w:t>
      </w:r>
      <w:r>
        <w:t xml:space="preserve"> the community. Ghamidi’s reasoning is that doctrinally significant concepts like </w:t>
      </w:r>
      <w:r>
        <w:rPr>
          <w:i/>
          <w:iCs/>
        </w:rPr>
        <w:t>infallible Ima</w:t>
      </w:r>
      <w:r>
        <w:rPr>
          <w:i/>
          <w:iCs/>
        </w:rPr>
        <w:t>ms</w:t>
      </w:r>
      <w:r>
        <w:t xml:space="preserve"> would be stated unambiguously in the Qur’an if they were intended beliefs; by contrast, 33:33 yields no new creed but reinforces the importance of purity in conduct</w:t>
      </w:r>
      <w:hyperlink r:id="rId18" w:anchor=":~:text=,Albayt%20and%20the%20Hadith%20that">
        <w:r>
          <w:rPr>
            <w:rStyle w:val="Hyperlink"/>
          </w:rPr>
          <w:t>[9]</w:t>
        </w:r>
      </w:hyperlink>
      <w:hyperlink r:id="rId19" w:anchor=":~:text=,as%20I">
        <w:r>
          <w:rPr>
            <w:rStyle w:val="Hyperlink"/>
          </w:rPr>
          <w:t>[4]</w:t>
        </w:r>
      </w:hyperlink>
      <w:r>
        <w:t>.</w:t>
      </w:r>
    </w:p>
    <w:p w:rsidR="00F06E50" w:rsidRDefault="00590880">
      <w:pPr>
        <w:pStyle w:val="BodyText"/>
      </w:pPr>
      <w:r>
        <w:rPr>
          <w:b/>
          <w:bCs/>
        </w:rPr>
        <w:t>Hadith al-Kisā (Narration of the Cloak):</w:t>
      </w:r>
      <w:r>
        <w:t xml:space="preserve"> To further clarify the Sunni position,</w:t>
      </w:r>
      <w:r>
        <w:t xml:space="preserve"> Ghamidi delves into the famous hadith known as </w:t>
      </w:r>
      <w:r>
        <w:rPr>
          <w:i/>
          <w:iCs/>
        </w:rPr>
        <w:t>ḥ</w:t>
      </w:r>
      <w:r>
        <w:rPr>
          <w:i/>
          <w:iCs/>
        </w:rPr>
        <w:t>adīth al-kisā</w:t>
      </w:r>
      <w:r>
        <w:t>, in which the Prophet Muhammad is said to have gathered ʿAli, Fā</w:t>
      </w:r>
      <w:r>
        <w:t>ṭ</w:t>
      </w:r>
      <w:r>
        <w:t xml:space="preserve">ima, </w:t>
      </w:r>
      <w:r>
        <w:t>Ḥ</w:t>
      </w:r>
      <w:r>
        <w:t xml:space="preserve">asan, and </w:t>
      </w:r>
      <w:r>
        <w:t>Ḥ</w:t>
      </w:r>
      <w:r>
        <w:t xml:space="preserve">usayn under his cloak and prayed for them, referring to them as </w:t>
      </w:r>
      <w:r>
        <w:rPr>
          <w:i/>
          <w:iCs/>
        </w:rPr>
        <w:t>his</w:t>
      </w:r>
      <w:r>
        <w:t xml:space="preserve"> </w:t>
      </w:r>
      <w:r>
        <w:rPr>
          <w:i/>
          <w:iCs/>
        </w:rPr>
        <w:t>ahl al-bayt</w:t>
      </w:r>
      <w:r>
        <w:t>. Shiʿi interpreters often use t</w:t>
      </w:r>
      <w:r>
        <w:t xml:space="preserve">his narration to assert that </w:t>
      </w:r>
      <w:r>
        <w:rPr>
          <w:b/>
          <w:bCs/>
        </w:rPr>
        <w:t xml:space="preserve">these four individuals (along with the Prophet) are the exclusive </w:t>
      </w:r>
      <w:r>
        <w:rPr>
          <w:b/>
          <w:bCs/>
          <w:i/>
          <w:iCs/>
        </w:rPr>
        <w:t>Ahl al-Bayt</w:t>
      </w:r>
      <w:r>
        <w:t xml:space="preserve"> intended in Qur’an 33:33, thereby excluding the wives. Ghamidi acknowledges the general authenticity of the </w:t>
      </w:r>
      <w:r>
        <w:rPr>
          <w:i/>
          <w:iCs/>
        </w:rPr>
        <w:t>event</w:t>
      </w:r>
      <w:r>
        <w:t xml:space="preserve"> of the cloak – it is </w:t>
      </w:r>
      <w:r>
        <w:rPr>
          <w:b/>
          <w:bCs/>
        </w:rPr>
        <w:t>widely narrate</w:t>
      </w:r>
      <w:r>
        <w:rPr>
          <w:b/>
          <w:bCs/>
        </w:rPr>
        <w:t>d in hadith collections</w:t>
      </w:r>
      <w:r>
        <w:t>, including Sahih Muslim (no. 2424) and others</w:t>
      </w:r>
      <w:hyperlink r:id="rId20" w:anchor=":~:text=,while%20Wasila%20Ibn%20Al%E2%80%99Asqa%20is">
        <w:r>
          <w:rPr>
            <w:rStyle w:val="Hyperlink"/>
          </w:rPr>
          <w:t>[10]</w:t>
        </w:r>
      </w:hyperlink>
      <w:r>
        <w:t xml:space="preserve"> </w:t>
      </w:r>
      <w:r>
        <w:t xml:space="preserve">– but he carefully analyzes its variations and context. According to Ghamidi, when properly understood, the </w:t>
      </w:r>
      <w:r>
        <w:rPr>
          <w:i/>
          <w:iCs/>
        </w:rPr>
        <w:t>Hadith al-Kisā</w:t>
      </w:r>
      <w:r>
        <w:t xml:space="preserve"> does not overturn the Qur’an’s wording; rather, it complements it. He argues that </w:t>
      </w:r>
      <w:r>
        <w:rPr>
          <w:b/>
          <w:bCs/>
        </w:rPr>
        <w:t>Hadith cannot override the Qur’an</w:t>
      </w:r>
      <w:r>
        <w:t xml:space="preserve">: </w:t>
      </w:r>
      <w:r>
        <w:rPr>
          <w:i/>
          <w:iCs/>
        </w:rPr>
        <w:t>“Hadith is not c</w:t>
      </w:r>
      <w:r>
        <w:rPr>
          <w:i/>
          <w:iCs/>
        </w:rPr>
        <w:t>apable of changing the default meaning of a Quranic word or phrase that is in line with its context”</w:t>
      </w:r>
      <w:r>
        <w:t>, he writes</w:t>
      </w:r>
      <w:hyperlink r:id="rId21" w:anchor=":~:text=,35%20and%20not%20vice%20versa">
        <w:r>
          <w:rPr>
            <w:rStyle w:val="Hyperlink"/>
          </w:rPr>
          <w:t>[11]</w:t>
        </w:r>
      </w:hyperlink>
      <w:r>
        <w:t>. T</w:t>
      </w:r>
      <w:r>
        <w:t xml:space="preserve">herefore, </w:t>
      </w:r>
      <w:r>
        <w:rPr>
          <w:i/>
          <w:iCs/>
        </w:rPr>
        <w:t>“the Hadith of Kisa has to be understood by [the verses] 33:30–35 and not vice versa”</w:t>
      </w:r>
      <w:hyperlink r:id="rId22" w:anchor=":~:text=,35%20and%20not%20vice%20versa">
        <w:r>
          <w:rPr>
            <w:rStyle w:val="Hyperlink"/>
          </w:rPr>
          <w:t>[11]</w:t>
        </w:r>
      </w:hyperlink>
      <w:r>
        <w:t>. In practical term</w:t>
      </w:r>
      <w:r>
        <w:t xml:space="preserve">s, Ghamidi and other Sunni scholars interpret the cloak incident as the Prophet’s personal </w:t>
      </w:r>
      <w:r>
        <w:rPr>
          <w:i/>
          <w:iCs/>
        </w:rPr>
        <w:t>prayer of love and goodwill</w:t>
      </w:r>
      <w:r>
        <w:t xml:space="preserve"> for his closest family – essentially </w:t>
      </w:r>
      <w:r>
        <w:rPr>
          <w:b/>
          <w:bCs/>
        </w:rPr>
        <w:t>including</w:t>
      </w:r>
      <w:r>
        <w:t xml:space="preserve"> ʿAli, Fā</w:t>
      </w:r>
      <w:r>
        <w:t>ṭ</w:t>
      </w:r>
      <w:r>
        <w:t xml:space="preserve">ima and their sons </w:t>
      </w:r>
      <w:r>
        <w:rPr>
          <w:b/>
          <w:bCs/>
        </w:rPr>
        <w:t>in the spirit of the Qur’anic blessing that originally address</w:t>
      </w:r>
      <w:r>
        <w:rPr>
          <w:b/>
          <w:bCs/>
        </w:rPr>
        <w:t>ed the wives</w:t>
      </w:r>
      <w:hyperlink r:id="rId23" w:anchor=":~:text=,of%20the%20verse%2033%3A33%20to">
        <w:r>
          <w:rPr>
            <w:rStyle w:val="Hyperlink"/>
          </w:rPr>
          <w:t>[12]</w:t>
        </w:r>
      </w:hyperlink>
      <w:hyperlink r:id="rId24" w:anchor=":~:text=daughter%2C%20son%20in%20law%20and,%E2%80%9Cyes%20you%20are%20also%20from">
        <w:r>
          <w:rPr>
            <w:rStyle w:val="Hyperlink"/>
          </w:rPr>
          <w:t>[13]</w:t>
        </w:r>
      </w:hyperlink>
      <w:r>
        <w:t xml:space="preserve">. Ghamidi cites multiple versions of the </w:t>
      </w:r>
      <w:r>
        <w:rPr>
          <w:i/>
          <w:iCs/>
        </w:rPr>
        <w:t>Hadith al-Kisā</w:t>
      </w:r>
      <w:r>
        <w:t xml:space="preserve"> from various sources to demonstrate that the reports are not monolithic: some versions explicitly mention </w:t>
      </w:r>
      <w:r>
        <w:rPr>
          <w:b/>
          <w:bCs/>
        </w:rPr>
        <w:t>Umm Salam</w:t>
      </w:r>
      <w:r>
        <w:rPr>
          <w:b/>
          <w:bCs/>
        </w:rPr>
        <w:t>ah</w:t>
      </w:r>
      <w:r>
        <w:t xml:space="preserve"> (one of the Prophet’s wives) witnessing the event and </w:t>
      </w:r>
      <w:r>
        <w:rPr>
          <w:b/>
          <w:bCs/>
        </w:rPr>
        <w:t>being told by the Prophet that she too is among his Ahl al-Bayt</w:t>
      </w:r>
      <w:hyperlink r:id="rId25" w:anchor=":~:text=,This%20version%20is">
        <w:r>
          <w:rPr>
            <w:rStyle w:val="Hyperlink"/>
          </w:rPr>
          <w:t>[14]</w:t>
        </w:r>
      </w:hyperlink>
      <w:hyperlink r:id="rId26" w:anchor=":~:text=own%20position.%20Termezi%203205,although%20through%20Musnade%20Ahmad">
        <w:r>
          <w:rPr>
            <w:rStyle w:val="Hyperlink"/>
          </w:rPr>
          <w:t>[15]</w:t>
        </w:r>
      </w:hyperlink>
      <w:r>
        <w:t>. In one narration (found in Musnad A</w:t>
      </w:r>
      <w:r>
        <w:t>ḥ</w:t>
      </w:r>
      <w:r>
        <w:t xml:space="preserve">mad ibn </w:t>
      </w:r>
      <w:r>
        <w:t>Ḥ</w:t>
      </w:r>
      <w:r>
        <w:t>anbal and Sunan al-Bayhaqī), the</w:t>
      </w:r>
      <w:r>
        <w:t xml:space="preserve"> Prophet even invites Umm Salamah to join under the cloak, confirming “</w:t>
      </w:r>
      <w:r>
        <w:rPr>
          <w:b/>
          <w:bCs/>
        </w:rPr>
        <w:t>Yes (you are part of my household)</w:t>
      </w:r>
      <w:r>
        <w:t>”</w:t>
      </w:r>
      <w:hyperlink r:id="rId27" w:anchor=":~:text=own%20position.%20Termezi%203205,although%20through%20Musnade%20Ahmad">
        <w:r>
          <w:rPr>
            <w:rStyle w:val="Hyperlink"/>
          </w:rPr>
          <w:t>[15]</w:t>
        </w:r>
      </w:hyperlink>
      <w:r>
        <w:t>. Other versions include an unrelated Companion (Wathila ibn al-Asqaʿ) in the Prophet’s “Ahl” when he was present and effectively living in the Prophet’s quarters</w:t>
      </w:r>
      <w:hyperlink r:id="rId28" w:anchor=":~:text=,Sahih%20Ibn%20Haban%2C%206976%20also">
        <w:r>
          <w:rPr>
            <w:rStyle w:val="Hyperlink"/>
          </w:rPr>
          <w:t>[16]</w:t>
        </w:r>
      </w:hyperlink>
      <w:r>
        <w:t xml:space="preserve">. From these variant reports, Ghamidi deduces several </w:t>
      </w:r>
      <w:r>
        <w:rPr>
          <w:b/>
          <w:bCs/>
        </w:rPr>
        <w:t>“facts”</w:t>
      </w:r>
      <w:r>
        <w:t xml:space="preserve">: (1) Many reports indicate the Qur’anic verse was revealed </w:t>
      </w:r>
      <w:r>
        <w:rPr>
          <w:i/>
          <w:iCs/>
        </w:rPr>
        <w:t>before</w:t>
      </w:r>
      <w:r>
        <w:t xml:space="preserve"> the cloak event (not as a result of it), i</w:t>
      </w:r>
      <w:r>
        <w:t>mplying the verse wasn’t originally about those specific individuals</w:t>
      </w:r>
      <w:hyperlink r:id="rId29" w:anchor=":~:text=,revealed%20primarily%20for%20these%20personalities">
        <w:r>
          <w:rPr>
            <w:rStyle w:val="Hyperlink"/>
          </w:rPr>
          <w:t>[17]</w:t>
        </w:r>
      </w:hyperlink>
      <w:r>
        <w:t>; (2) None of the authent</w:t>
      </w:r>
      <w:r>
        <w:t xml:space="preserve">ic versions show the Prophet </w:t>
      </w:r>
      <w:r>
        <w:rPr>
          <w:i/>
          <w:iCs/>
        </w:rPr>
        <w:t>excluding</w:t>
      </w:r>
      <w:r>
        <w:t xml:space="preserve"> his wives – to the contrary, some show him affirming a wife’s inclusion</w:t>
      </w:r>
      <w:hyperlink r:id="rId30" w:anchor=":~:text=,not%20indicate%20that%20Ahl%20Albayt">
        <w:r>
          <w:rPr>
            <w:rStyle w:val="Hyperlink"/>
          </w:rPr>
          <w:t>[</w:t>
        </w:r>
        <w:r>
          <w:rPr>
            <w:rStyle w:val="Hyperlink"/>
          </w:rPr>
          <w:t>18]</w:t>
        </w:r>
      </w:hyperlink>
      <w:r>
        <w:t>; and (3) Therefore, it is methodologically unsound to seize upon one version that suits a preconceived notion and ignore all others</w:t>
      </w:r>
      <w:hyperlink r:id="rId31" w:anchor=":~:text=,then%20try%20to%20understand%20the">
        <w:r>
          <w:rPr>
            <w:rStyle w:val="Hyperlink"/>
          </w:rPr>
          <w:t>[7]</w:t>
        </w:r>
      </w:hyperlink>
      <w:hyperlink r:id="rId32" w:anchor=":~:text=,needed%20correct%20our%20belief%20accordingly">
        <w:r>
          <w:rPr>
            <w:rStyle w:val="Hyperlink"/>
          </w:rPr>
          <w:t>[19]</w:t>
        </w:r>
      </w:hyperlink>
      <w:r>
        <w:t xml:space="preserve">. Instead, Ghamidi urges, all evidence must be evaluated </w:t>
      </w:r>
      <w:r>
        <w:rPr>
          <w:b/>
          <w:bCs/>
        </w:rPr>
        <w:t xml:space="preserve">in light of the </w:t>
      </w:r>
      <w:r>
        <w:rPr>
          <w:b/>
          <w:bCs/>
        </w:rPr>
        <w:t>Qur’an’s guidance</w:t>
      </w:r>
      <w:hyperlink r:id="rId33" w:anchor=":~:text=,needed%20correct%20our%20belief%20accordingly">
        <w:r>
          <w:rPr>
            <w:rStyle w:val="Hyperlink"/>
          </w:rPr>
          <w:t>[19]</w:t>
        </w:r>
      </w:hyperlink>
      <w:r>
        <w:t xml:space="preserve">. He writes, </w:t>
      </w:r>
      <w:r>
        <w:rPr>
          <w:i/>
          <w:iCs/>
        </w:rPr>
        <w:t>“If we were left only with the Qur’an [with no hadiths], any rationa</w:t>
      </w:r>
      <w:r>
        <w:rPr>
          <w:i/>
          <w:iCs/>
        </w:rPr>
        <w:t>l person would agree that the whole verse 33:33 refers to the wives of the Prophet”</w:t>
      </w:r>
      <w:hyperlink r:id="rId34" w:anchor=":~:text=,of%20the%20verse%2033%3A33%20to">
        <w:r>
          <w:rPr>
            <w:rStyle w:val="Hyperlink"/>
          </w:rPr>
          <w:t>[12]</w:t>
        </w:r>
      </w:hyperlink>
      <w:r>
        <w:t xml:space="preserve">. The hadiths then can be added </w:t>
      </w:r>
      <w:r>
        <w:rPr>
          <w:i/>
          <w:iCs/>
        </w:rPr>
        <w:t>harmoniously</w:t>
      </w:r>
      <w:r>
        <w:t xml:space="preserve">: the Prophet, </w:t>
      </w:r>
      <w:r>
        <w:rPr>
          <w:i/>
          <w:iCs/>
        </w:rPr>
        <w:t>“out of his love for his daughter, son-in-law and grandsons,”</w:t>
      </w:r>
      <w:r>
        <w:t xml:space="preserve"> prayed that God include them in the purification and blessings mentioned in 33:33</w:t>
      </w:r>
      <w:hyperlink r:id="rId35" w:anchor=":~:text=,ahadith%20it%20is%20suggested%20that">
        <w:r>
          <w:rPr>
            <w:rStyle w:val="Hyperlink"/>
          </w:rPr>
          <w:t>[20]</w:t>
        </w:r>
      </w:hyperlink>
      <w:r>
        <w:t>. His wife’s inquiry confirms that the wives were already the initial addressees (“you are in a good position… because the verse was initially revealed about the</w:t>
      </w:r>
      <w:r>
        <w:t xml:space="preserve"> wives”</w:t>
      </w:r>
      <w:hyperlink r:id="rId36" w:anchor=":~:text=daughter%2C%20son%20in%20law%20and,%E2%80%9Cyes%20you%20are%20also%20from">
        <w:r>
          <w:rPr>
            <w:rStyle w:val="Hyperlink"/>
          </w:rPr>
          <w:t>[13]</w:t>
        </w:r>
      </w:hyperlink>
      <w:r>
        <w:t xml:space="preserve">). In </w:t>
      </w:r>
      <w:r>
        <w:lastRenderedPageBreak/>
        <w:t xml:space="preserve">sum, </w:t>
      </w:r>
      <w:r>
        <w:rPr>
          <w:b/>
          <w:bCs/>
        </w:rPr>
        <w:t xml:space="preserve">Sunni commentators, including Ghamidi, conclude that </w:t>
      </w:r>
      <w:r>
        <w:rPr>
          <w:b/>
          <w:bCs/>
        </w:rPr>
        <w:t xml:space="preserve">the Hadith of the Cloak is an affirmation of the Prophet’s affection for his family – not a redefinition of </w:t>
      </w:r>
      <w:r>
        <w:rPr>
          <w:b/>
          <w:bCs/>
          <w:i/>
          <w:iCs/>
        </w:rPr>
        <w:t>Ahl al-Bayt</w:t>
      </w:r>
      <w:r>
        <w:rPr>
          <w:b/>
          <w:bCs/>
        </w:rPr>
        <w:t xml:space="preserve"> in the Qur’an</w:t>
      </w:r>
      <w:hyperlink r:id="rId37" w:anchor=":~:text=,is%20inline%20with%20its%20context">
        <w:r>
          <w:rPr>
            <w:rStyle w:val="Hyperlink"/>
          </w:rPr>
          <w:t>[6]</w:t>
        </w:r>
      </w:hyperlink>
      <w:hyperlink r:id="rId38" w:anchor=":~:text=,35%20and%20not%20vice%20versa">
        <w:r>
          <w:rPr>
            <w:rStyle w:val="Hyperlink"/>
          </w:rPr>
          <w:t>[11]</w:t>
        </w:r>
      </w:hyperlink>
      <w:r>
        <w:t xml:space="preserve">. It does not grant any </w:t>
      </w:r>
      <w:r>
        <w:rPr>
          <w:i/>
          <w:iCs/>
        </w:rPr>
        <w:t>new</w:t>
      </w:r>
      <w:r>
        <w:t xml:space="preserve"> theological status like divinely inherited authority or infalli</w:t>
      </w:r>
      <w:r>
        <w:t xml:space="preserve">bility. Ghamidi’s position here echoes that of many classical Sunni scholars who honored the Prophet’s family </w:t>
      </w:r>
      <w:r>
        <w:rPr>
          <w:i/>
          <w:iCs/>
        </w:rPr>
        <w:t>greatly</w:t>
      </w:r>
      <w:r>
        <w:t xml:space="preserve"> (Sunni literature is rich with virtues of ʿAli, Fā</w:t>
      </w:r>
      <w:r>
        <w:t>ṭ</w:t>
      </w:r>
      <w:r>
        <w:t xml:space="preserve">ima, and their children) but </w:t>
      </w:r>
      <w:r>
        <w:rPr>
          <w:b/>
          <w:bCs/>
        </w:rPr>
        <w:t>rejected “ghulūw” (exaggeration)</w:t>
      </w:r>
      <w:r>
        <w:t xml:space="preserve"> that would elevate them t</w:t>
      </w:r>
      <w:r>
        <w:t>o semi-divine or exclusive-guidance status</w:t>
      </w:r>
      <w:hyperlink r:id="rId39" w:anchor=":~:text=,">
        <w:r>
          <w:rPr>
            <w:rStyle w:val="Hyperlink"/>
          </w:rPr>
          <w:t>[8]</w:t>
        </w:r>
      </w:hyperlink>
      <w:hyperlink r:id="rId40" w:anchor=":~:text=religious%20concepts,">
        <w:r>
          <w:rPr>
            <w:rStyle w:val="Hyperlink"/>
          </w:rPr>
          <w:t>[5]</w:t>
        </w:r>
      </w:hyperlink>
      <w:r>
        <w:t>.</w:t>
      </w:r>
    </w:p>
    <w:p w:rsidR="00F06E50" w:rsidRDefault="00590880">
      <w:pPr>
        <w:pStyle w:val="Heading2"/>
      </w:pPr>
      <w:bookmarkStart w:id="5" w:name="X16df2f759e21e333d8b627eea0c60dd18f52e4f"/>
      <w:bookmarkEnd w:id="4"/>
      <w:r>
        <w:t>“Two Weighty Things”: The Hadith al-Thaqalayn and Love of Ahl al-Bayt</w:t>
      </w:r>
    </w:p>
    <w:p w:rsidR="00F06E50" w:rsidRDefault="00590880">
      <w:pPr>
        <w:pStyle w:val="FirstParagraph"/>
      </w:pPr>
      <w:r>
        <w:t xml:space="preserve">Another Prophetic saying much emphasized in Shiʿi discourse is the </w:t>
      </w:r>
      <w:r>
        <w:rPr>
          <w:b/>
          <w:bCs/>
        </w:rPr>
        <w:t>Hadith al-Thaqalayn</w:t>
      </w:r>
      <w:r>
        <w:t>, wherein the Prophet (pbuh) is reported to have said during his Far</w:t>
      </w:r>
      <w:r>
        <w:t xml:space="preserve">ewell Pilgrimage: </w:t>
      </w:r>
      <w:r>
        <w:rPr>
          <w:i/>
          <w:iCs/>
        </w:rPr>
        <w:t>“I am leaving behind two weighty things: the first is the Book of Allah (</w:t>
      </w:r>
      <w:r>
        <w:t>Qur’an</w:t>
      </w:r>
      <w:r>
        <w:rPr>
          <w:i/>
          <w:iCs/>
        </w:rPr>
        <w:t>); in it is guidance and light.</w:t>
      </w:r>
      <w:r>
        <w:t xml:space="preserve"> </w:t>
      </w:r>
      <w:r>
        <w:rPr>
          <w:i/>
          <w:iCs/>
        </w:rPr>
        <w:t>Hold fast to it.</w:t>
      </w:r>
      <w:r>
        <w:t xml:space="preserve"> </w:t>
      </w:r>
      <w:r>
        <w:rPr>
          <w:i/>
          <w:iCs/>
        </w:rPr>
        <w:t>And my</w:t>
      </w:r>
      <w:r>
        <w:t xml:space="preserve"> Ahl al-Bayt </w:t>
      </w:r>
      <w:r>
        <w:rPr>
          <w:i/>
          <w:iCs/>
        </w:rPr>
        <w:t>(household); I remind you to be mindful of my household…”</w:t>
      </w:r>
      <w:r>
        <w:t>. This hadith is recorded in sever</w:t>
      </w:r>
      <w:r>
        <w:t>al versions. In Sunni sources (e.g. Sahih Muslim, Sunan al-Tirmidhī, Musnad A</w:t>
      </w:r>
      <w:r>
        <w:t>ḥ</w:t>
      </w:r>
      <w:r>
        <w:t>mad), it appears with varying wordings – some say “</w:t>
      </w:r>
      <w:r>
        <w:rPr>
          <w:b/>
          <w:bCs/>
        </w:rPr>
        <w:t xml:space="preserve">the Book of Allah and my </w:t>
      </w:r>
      <w:r>
        <w:rPr>
          <w:b/>
          <w:bCs/>
          <w:i/>
          <w:iCs/>
        </w:rPr>
        <w:t>Ahl al-Bayt</w:t>
      </w:r>
      <w:r>
        <w:t xml:space="preserve">,” while others (including the </w:t>
      </w:r>
      <w:r>
        <w:rPr>
          <w:i/>
          <w:iCs/>
        </w:rPr>
        <w:t>Muwa</w:t>
      </w:r>
      <w:r>
        <w:rPr>
          <w:i/>
          <w:iCs/>
        </w:rPr>
        <w:t>ṭṭ</w:t>
      </w:r>
      <w:r>
        <w:rPr>
          <w:i/>
          <w:iCs/>
        </w:rPr>
        <w:t>a’</w:t>
      </w:r>
      <w:r>
        <w:t xml:space="preserve"> of Imam Malik and some Sunni reports) mention “</w:t>
      </w:r>
      <w:r>
        <w:rPr>
          <w:b/>
          <w:bCs/>
        </w:rPr>
        <w:t xml:space="preserve">the </w:t>
      </w:r>
      <w:r>
        <w:rPr>
          <w:b/>
          <w:bCs/>
        </w:rPr>
        <w:t xml:space="preserve">Book of Allah and my </w:t>
      </w:r>
      <w:r>
        <w:rPr>
          <w:b/>
          <w:bCs/>
          <w:i/>
          <w:iCs/>
        </w:rPr>
        <w:t>Sunnah</w:t>
      </w:r>
      <w:r>
        <w:t>” as the two guiding legacies</w:t>
      </w:r>
      <w:hyperlink r:id="rId41" w:anchor=":~:text=My%20dear%20brother%2C%20understanding%20Islam,and%20paradise%20in%20the%20hereafter">
        <w:r>
          <w:rPr>
            <w:rStyle w:val="Hyperlink"/>
          </w:rPr>
          <w:t>[21]</w:t>
        </w:r>
      </w:hyperlink>
      <w:r>
        <w:t>. Sh</w:t>
      </w:r>
      <w:r>
        <w:t>iʿi scholars universally prefer the former wording and interpret it as the Prophet appointing his family (in particular, the Imams from his line) as the enduring spiritual authorities alongside the Qur’an. Ghamidi addresses this hadith with a two-pronged r</w:t>
      </w:r>
      <w:r>
        <w:t xml:space="preserve">esponse: </w:t>
      </w:r>
      <w:r>
        <w:rPr>
          <w:b/>
          <w:bCs/>
        </w:rPr>
        <w:t>textual reliability and interpretation</w:t>
      </w:r>
      <w:r>
        <w:t xml:space="preserve">. First, he is cognizant of the fact that hadith transmission is complex – there are </w:t>
      </w:r>
      <w:r>
        <w:rPr>
          <w:b/>
          <w:bCs/>
        </w:rPr>
        <w:t>multiple versions</w:t>
      </w:r>
      <w:r>
        <w:t xml:space="preserve"> of Thaqalayn, not all equally authenticated. (Sunni </w:t>
      </w:r>
      <w:r>
        <w:t>ḥ</w:t>
      </w:r>
      <w:r>
        <w:t xml:space="preserve">adīth experts note that </w:t>
      </w:r>
      <w:r>
        <w:rPr>
          <w:i/>
          <w:iCs/>
        </w:rPr>
        <w:t>“Qur’an and Sunnah”</w:t>
      </w:r>
      <w:r>
        <w:t xml:space="preserve"> has relat</w:t>
      </w:r>
      <w:r>
        <w:t xml:space="preserve">ively less robust chains in the canonical books, whereas </w:t>
      </w:r>
      <w:r>
        <w:rPr>
          <w:i/>
          <w:iCs/>
        </w:rPr>
        <w:t>“Qur’an and Itrah (family)”</w:t>
      </w:r>
      <w:r>
        <w:t xml:space="preserve"> is found in Sahih Muslim but in a context that emphasizes love for the family, not obedience to a separate source of legislation.) Ghamidi often stresses a principle that </w:t>
      </w:r>
      <w:r>
        <w:rPr>
          <w:b/>
          <w:bCs/>
        </w:rPr>
        <w:t>no solitary hadith report (ā</w:t>
      </w:r>
      <w:r>
        <w:rPr>
          <w:b/>
          <w:bCs/>
        </w:rPr>
        <w:t>ḥ</w:t>
      </w:r>
      <w:r>
        <w:rPr>
          <w:b/>
          <w:bCs/>
        </w:rPr>
        <w:t>ād)</w:t>
      </w:r>
      <w:r>
        <w:t xml:space="preserve"> – even if found in a sound collection – </w:t>
      </w:r>
      <w:r>
        <w:rPr>
          <w:b/>
          <w:bCs/>
        </w:rPr>
        <w:t>can establish a new tenet of faith or override the Qur’an</w:t>
      </w:r>
      <w:r>
        <w:t>, especially if it introduces something the Qur’an itself does not clearly endorse</w:t>
      </w:r>
      <w:hyperlink r:id="rId42" w:anchor=":~:text=,35%20and%20not%20vice%20versa">
        <w:r>
          <w:rPr>
            <w:rStyle w:val="Hyperlink"/>
          </w:rPr>
          <w:t>[11]</w:t>
        </w:r>
      </w:hyperlink>
      <w:hyperlink r:id="rId43" w:anchor=":~:text=When%20I%20checked%20Ghamidi%20Sahib%E2%80%99s,provide%20the%20basis%20for%20every">
        <w:r>
          <w:rPr>
            <w:rStyle w:val="Hyperlink"/>
          </w:rPr>
          <w:t>[22]</w:t>
        </w:r>
      </w:hyperlink>
      <w:r>
        <w:t>. In this case, the Qur’an nowhere instructs Muslims to follow a</w:t>
      </w:r>
      <w:r>
        <w:t xml:space="preserve">ny “Imam” or family member after the Prophet as an absolute guide; rather, the Qur’an consistently directs believers to </w:t>
      </w:r>
      <w:r>
        <w:rPr>
          <w:i/>
          <w:iCs/>
        </w:rPr>
        <w:t>obey God, obey the Messenger</w:t>
      </w:r>
      <w:r>
        <w:t xml:space="preserve">, and after the Messenger’s death, to resolve matters by </w:t>
      </w:r>
      <w:r>
        <w:rPr>
          <w:b/>
          <w:bCs/>
        </w:rPr>
        <w:t>consultation and reference to God’s book</w:t>
      </w:r>
      <w:r>
        <w:t xml:space="preserve"> (see Qur’a</w:t>
      </w:r>
      <w:r>
        <w:t xml:space="preserve">n 42:38, 4:59). Therefore, Ghamidi and Sunni scholars view </w:t>
      </w:r>
      <w:r>
        <w:rPr>
          <w:b/>
          <w:bCs/>
        </w:rPr>
        <w:t>Hadith al-Thaqalayn</w:t>
      </w:r>
      <w:r>
        <w:t xml:space="preserve"> not as establishing an independent authority of the Prophet’s family, but as </w:t>
      </w:r>
      <w:r>
        <w:rPr>
          <w:b/>
          <w:bCs/>
        </w:rPr>
        <w:t>an exhortation toward two things</w:t>
      </w:r>
      <w:r>
        <w:t xml:space="preserve">: adherence to </w:t>
      </w:r>
      <w:r>
        <w:rPr>
          <w:i/>
          <w:iCs/>
        </w:rPr>
        <w:t>Revelation (Qur’an)</w:t>
      </w:r>
      <w:r>
        <w:t xml:space="preserve"> and </w:t>
      </w:r>
      <w:r>
        <w:rPr>
          <w:i/>
          <w:iCs/>
        </w:rPr>
        <w:t>reverence for the Prophet’s f</w:t>
      </w:r>
      <w:r>
        <w:rPr>
          <w:i/>
          <w:iCs/>
        </w:rPr>
        <w:t>amily</w:t>
      </w:r>
      <w:r>
        <w:t xml:space="preserve">. In Ghamidi’s analysis, the hadith is emphasizing that Muslims should </w:t>
      </w:r>
      <w:r>
        <w:rPr>
          <w:b/>
          <w:bCs/>
        </w:rPr>
        <w:t>hold fast to the Qur’an</w:t>
      </w:r>
      <w:r>
        <w:t xml:space="preserve"> as the primary source of guidance, and simultaneously </w:t>
      </w:r>
      <w:r>
        <w:rPr>
          <w:i/>
          <w:iCs/>
        </w:rPr>
        <w:t>remember their duty of love and respect towards the Prophet’s household</w:t>
      </w:r>
      <w:hyperlink r:id="rId44" w:anchor=":~:text=Ghamidi%20Sahab%20has%20briefly%20commented,Thaqlain">
        <w:r>
          <w:rPr>
            <w:rStyle w:val="Hyperlink"/>
          </w:rPr>
          <w:t>[23]</w:t>
        </w:r>
      </w:hyperlink>
      <w:r>
        <w:t xml:space="preserve">. This interpretation is supported by the wording in some narrations, </w:t>
      </w:r>
      <w:r>
        <w:rPr>
          <w:i/>
          <w:iCs/>
        </w:rPr>
        <w:t>“I remind you of God regarding my family”</w:t>
      </w:r>
      <w:r>
        <w:t>, repeated thrice, indicating a call t</w:t>
      </w:r>
      <w:r>
        <w:t xml:space="preserve">o respect and care for the </w:t>
      </w:r>
      <w:r>
        <w:rPr>
          <w:i/>
          <w:iCs/>
        </w:rPr>
        <w:t>Ahl al-Bayt</w:t>
      </w:r>
      <w:r>
        <w:t xml:space="preserve"> (especially pertinent given that shortly after the Prophet’s death, his family members did face political and social challenges). It is </w:t>
      </w:r>
      <w:r>
        <w:rPr>
          <w:b/>
          <w:bCs/>
        </w:rPr>
        <w:t xml:space="preserve">not, Ghamidi argues, a </w:t>
      </w:r>
      <w:r>
        <w:rPr>
          <w:b/>
          <w:bCs/>
        </w:rPr>
        <w:lastRenderedPageBreak/>
        <w:t>directive to treat the family as parallel sources of law</w:t>
      </w:r>
      <w:r>
        <w:t xml:space="preserve"> o</w:t>
      </w:r>
      <w:r>
        <w:t xml:space="preserve">r doctrine. In fact, Ghamidi often prefers the formulation </w:t>
      </w:r>
      <w:r>
        <w:rPr>
          <w:i/>
          <w:iCs/>
        </w:rPr>
        <w:t>“Qur’an and Sunnah”</w:t>
      </w:r>
      <w:r>
        <w:t xml:space="preserve">, since </w:t>
      </w:r>
      <w:r>
        <w:rPr>
          <w:i/>
          <w:iCs/>
        </w:rPr>
        <w:t>following the Prophet’s Sunnah</w:t>
      </w:r>
      <w:r>
        <w:t xml:space="preserve"> (his established normative practice) is a concept strongly rooted in Sunni methodology and unequivocally supported by texts, whereas </w:t>
      </w:r>
      <w:r>
        <w:rPr>
          <w:i/>
          <w:iCs/>
        </w:rPr>
        <w:t>follow</w:t>
      </w:r>
      <w:r>
        <w:rPr>
          <w:i/>
          <w:iCs/>
        </w:rPr>
        <w:t>ing specific family members</w:t>
      </w:r>
      <w:r>
        <w:t xml:space="preserve"> beyond what the Qur’an/Sunnah teach is not a Quranic mandate. He aligns with the view that </w:t>
      </w:r>
      <w:r>
        <w:rPr>
          <w:b/>
          <w:bCs/>
        </w:rPr>
        <w:t>the Prophet’s authentic Sunnah and teachings were preserved through the collective transmission of all Companions</w:t>
      </w:r>
      <w:r>
        <w:t xml:space="preserve">, not just a particular </w:t>
      </w:r>
      <w:r>
        <w:t>lineage</w:t>
      </w:r>
      <w:hyperlink r:id="rId45" w:anchor=":~:text=Sh%C4%AB%E2%80%98%C4%AB%20are%20those%20Muslims%20who,used%20to%20interpret%20these%20reliable">
        <w:r>
          <w:rPr>
            <w:rStyle w:val="Hyperlink"/>
          </w:rPr>
          <w:t>[24]</w:t>
        </w:r>
      </w:hyperlink>
      <w:r>
        <w:t xml:space="preserve">. Nonetheless, </w:t>
      </w:r>
      <w:r>
        <w:rPr>
          <w:i/>
          <w:iCs/>
        </w:rPr>
        <w:t>both Sunnis and Shiʿa concur</w:t>
      </w:r>
      <w:r>
        <w:rPr>
          <w:i/>
          <w:iCs/>
        </w:rPr>
        <w:t xml:space="preserve"> that the Prophet’s family deserved love</w:t>
      </w:r>
      <w:r>
        <w:t xml:space="preserve">: Ghamidi cites the Qur’an 42:23, where the Prophet is instructed to say he asks no reward from the Ummah except natural “love of kinship” – Sunnis interpret this verse as a gentle enjoinder to the believers to love </w:t>
      </w:r>
      <w:r>
        <w:t>the Prophet and his close relatives</w:t>
      </w:r>
      <w:hyperlink r:id="rId46" w:anchor=":~:text=I%20refer%20in%20particular%20to,book%20which%20He%20described%20as">
        <w:r>
          <w:rPr>
            <w:rStyle w:val="Hyperlink"/>
          </w:rPr>
          <w:t>[25]</w:t>
        </w:r>
      </w:hyperlink>
      <w:hyperlink r:id="rId47" w:anchor=":~:text=Certainly%20was%20Allah%20pleased%20with,3">
        <w:r>
          <w:rPr>
            <w:rStyle w:val="Hyperlink"/>
          </w:rPr>
          <w:t>[26]</w:t>
        </w:r>
      </w:hyperlink>
      <w:r>
        <w:t>. Sunni scholars throughout history – from Imam A</w:t>
      </w:r>
      <w:r>
        <w:t>ḥ</w:t>
      </w:r>
      <w:r>
        <w:t xml:space="preserve">mad ibn </w:t>
      </w:r>
      <w:r>
        <w:t>Ḥ</w:t>
      </w:r>
      <w:r>
        <w:t xml:space="preserve">anbal to Imam al-Nawawī – have included </w:t>
      </w:r>
      <w:r>
        <w:rPr>
          <w:b/>
          <w:bCs/>
        </w:rPr>
        <w:t>love of the Prophet’s family (āl al-bayt)</w:t>
      </w:r>
      <w:r>
        <w:t xml:space="preserve"> as part of </w:t>
      </w:r>
      <w:r>
        <w:rPr>
          <w:i/>
          <w:iCs/>
        </w:rPr>
        <w:t>Ahl al-Sunnah</w:t>
      </w:r>
      <w:r>
        <w:t xml:space="preserve"> creed. Ghamidi f</w:t>
      </w:r>
      <w:r>
        <w:t xml:space="preserve">ully endorses this love, but he underscores that </w:t>
      </w:r>
      <w:r>
        <w:rPr>
          <w:b/>
          <w:bCs/>
        </w:rPr>
        <w:t>love does not equal unquestioning adherence to an Imām in matters of faith</w:t>
      </w:r>
      <w:r>
        <w:t>. Any guidance or interpretation attributed to an Imam (e.g., sayings of ʿAli or teachings of Jaʿfar al-</w:t>
      </w:r>
      <w:r>
        <w:t>Ṣ</w:t>
      </w:r>
      <w:r>
        <w:t>ādiq) must ultimately be mea</w:t>
      </w:r>
      <w:r>
        <w:t>sured against the Qur’an and the established Sunnah of the Prophet</w:t>
      </w:r>
      <w:hyperlink r:id="rId48" w:anchor=":~:text=If%20unlike%20all%20the%20Sh%C4%AB%E2%80%98%C4%AB,us%20to%20the%20correct%20belief">
        <w:r>
          <w:rPr>
            <w:rStyle w:val="Hyperlink"/>
          </w:rPr>
          <w:t>[27]</w:t>
        </w:r>
      </w:hyperlink>
      <w:hyperlink r:id="rId49" w:anchor=":~:text=The%20verse%20has%20no%20indication,the%20coming%20of%20the%20Messengers">
        <w:r>
          <w:rPr>
            <w:rStyle w:val="Hyperlink"/>
          </w:rPr>
          <w:t>[28]</w:t>
        </w:r>
      </w:hyperlink>
      <w:r>
        <w:t xml:space="preserve">. This aligns with Ghamidi’s overarching hermeneutical principle: </w:t>
      </w:r>
      <w:r>
        <w:rPr>
          <w:i/>
          <w:iCs/>
        </w:rPr>
        <w:t>“W</w:t>
      </w:r>
      <w:r>
        <w:rPr>
          <w:i/>
          <w:iCs/>
        </w:rPr>
        <w:t>e are supposed to learn our religion from the Qur’an, not to interpret the Qur’an based on our own pre-conceived theology”</w:t>
      </w:r>
      <w:hyperlink r:id="rId50" w:anchor=":~:text=If%20unlike%20all%20the%20Sh%C4%AB%E2%80%98%C4%AB,us%20to%20the%20correct%20belief">
        <w:r>
          <w:rPr>
            <w:rStyle w:val="Hyperlink"/>
          </w:rPr>
          <w:t>[27]</w:t>
        </w:r>
      </w:hyperlink>
      <w:r>
        <w:t xml:space="preserve">. He even quotes ʿAli’s advice from </w:t>
      </w:r>
      <w:r>
        <w:rPr>
          <w:i/>
          <w:iCs/>
        </w:rPr>
        <w:t>Nahj al-Balāghah</w:t>
      </w:r>
      <w:r>
        <w:t xml:space="preserve"> that one should not “lead the Qur’an according to one’s personal beliefs, but let the Qur’an lead us to the correct belief”</w:t>
      </w:r>
      <w:hyperlink r:id="rId51" w:anchor=":~:text=If%20unlike%20all%20the%20Sh%C4%AB%E2%80%98%C4%AB,us%20to%20the%20correct%20belief">
        <w:r>
          <w:rPr>
            <w:rStyle w:val="Hyperlink"/>
          </w:rPr>
          <w:t>[27]</w:t>
        </w:r>
      </w:hyperlink>
      <w:r>
        <w:t xml:space="preserve">. In summary, Ghamidi’s stance – reflective of the wider Sunni view – is that </w:t>
      </w:r>
      <w:r>
        <w:rPr>
          <w:b/>
          <w:bCs/>
        </w:rPr>
        <w:t>Hadi</w:t>
      </w:r>
      <w:r>
        <w:rPr>
          <w:b/>
          <w:bCs/>
        </w:rPr>
        <w:t>th al-Thaqalayn enjoins two complementary duties: holding on to Allah’s Book and honoring the Prophet’s kin</w:t>
      </w:r>
      <w:r>
        <w:t>, the latter because of their close association with the Prophet</w:t>
      </w:r>
      <w:hyperlink r:id="rId52" w:anchor=":~:text=Ghamidi%20Sahab%20has%20briefly%20commented,Thaqlain">
        <w:r>
          <w:rPr>
            <w:rStyle w:val="Hyperlink"/>
          </w:rPr>
          <w:t>[23]</w:t>
        </w:r>
      </w:hyperlink>
      <w:r>
        <w:t xml:space="preserve">. It is not a warrant for investing the </w:t>
      </w:r>
      <w:r>
        <w:rPr>
          <w:i/>
          <w:iCs/>
        </w:rPr>
        <w:t>Ahl al-Bayt</w:t>
      </w:r>
      <w:r>
        <w:t xml:space="preserve"> with independent religious authority rivaling the Qur’an. As evidence of this, Ghamidi points out that history bears out the Sunni understanding: many </w:t>
      </w:r>
      <w:r>
        <w:t xml:space="preserve">of the Prophet’s family (including ʿAli and Ibn ʿAbbās) themselves transmitted hadith and taught Islam side by side with other Companions, without ever claiming exclusive authority. No verse of Qur’an or reliably </w:t>
      </w:r>
      <w:r>
        <w:rPr>
          <w:i/>
          <w:iCs/>
        </w:rPr>
        <w:t>mutawātir</w:t>
      </w:r>
      <w:r>
        <w:t xml:space="preserve"> hadith states that </w:t>
      </w:r>
      <w:r>
        <w:rPr>
          <w:i/>
          <w:iCs/>
        </w:rPr>
        <w:t>only</w:t>
      </w:r>
      <w:r>
        <w:t xml:space="preserve"> </w:t>
      </w:r>
      <w:r>
        <w:t xml:space="preserve">the descendants of the Prophet can lead or teach – </w:t>
      </w:r>
      <w:r>
        <w:rPr>
          <w:b/>
          <w:bCs/>
        </w:rPr>
        <w:t>the mandate of guidance was given to the Prophet, and after him to the ummah as a whole to preserve and transmit the faith</w:t>
      </w:r>
      <w:hyperlink r:id="rId53" w:anchor=":~:text=My%20dear%20brother%2C%20understanding%20Islam,and%20paradise%20in%20the%20hereafter">
        <w:r>
          <w:rPr>
            <w:rStyle w:val="Hyperlink"/>
          </w:rPr>
          <w:t>[21]</w:t>
        </w:r>
      </w:hyperlink>
      <w:hyperlink r:id="rId54" w:anchor=":~:text=The%20verse%20has%20no%20indication,the%20coming%20of%20the%20Messengers">
        <w:r>
          <w:rPr>
            <w:rStyle w:val="Hyperlink"/>
          </w:rPr>
          <w:t>[28]</w:t>
        </w:r>
      </w:hyperlink>
      <w:r>
        <w:t>.</w:t>
      </w:r>
    </w:p>
    <w:p w:rsidR="00F06E50" w:rsidRDefault="00590880">
      <w:pPr>
        <w:pStyle w:val="Heading2"/>
      </w:pPr>
      <w:bookmarkStart w:id="6" w:name="Xb79d20f70c93b4547780aec5ac3a3ae2bf29aa0"/>
      <w:bookmarkEnd w:id="5"/>
      <w:r>
        <w:t>Caliphate vs. Imamate: Leadership and Succession in Islam</w:t>
      </w:r>
    </w:p>
    <w:p w:rsidR="00F06E50" w:rsidRDefault="00590880">
      <w:pPr>
        <w:pStyle w:val="FirstParagraph"/>
      </w:pPr>
      <w:r>
        <w:t xml:space="preserve">At the heart of Sunni-Shiʿi divergence is the question of </w:t>
      </w:r>
      <w:r>
        <w:rPr>
          <w:b/>
          <w:bCs/>
        </w:rPr>
        <w:t>who was entitled to lead the Muslim community after the Prophet Muhammad’s death</w:t>
      </w:r>
      <w:r>
        <w:t>. Shiʿism holds t</w:t>
      </w:r>
      <w:r>
        <w:t>hat the Prophet explicitly appointed ʿAli as his successor (for example, at Ghadīr Khumm, discussed below), and that leadership (Imamate) must remain in the Prophet’s family (specifically, a line of twelve Imams beginning with ʿAli and Fatima’s sons). Thes</w:t>
      </w:r>
      <w:r>
        <w:t xml:space="preserve">e Imams, according to Twelver Shiʿi doctrine, are not only rightful rulers but also </w:t>
      </w:r>
      <w:r>
        <w:rPr>
          <w:b/>
          <w:bCs/>
        </w:rPr>
        <w:t>infallible guides</w:t>
      </w:r>
      <w:r>
        <w:t xml:space="preserve"> in matters of faith and interpretation of scripture. Sunnism, on the other hand, developed on the premise that the Prophet </w:t>
      </w:r>
      <w:r>
        <w:rPr>
          <w:b/>
          <w:bCs/>
        </w:rPr>
        <w:t>did not designate a specific su</w:t>
      </w:r>
      <w:r>
        <w:rPr>
          <w:b/>
          <w:bCs/>
        </w:rPr>
        <w:t>ccessor</w:t>
      </w:r>
      <w:r>
        <w:t xml:space="preserve"> in any unequivocal manner; rather, leadership was to be determined by the community (</w:t>
      </w:r>
      <w:r>
        <w:rPr>
          <w:i/>
          <w:iCs/>
        </w:rPr>
        <w:t>ummah</w:t>
      </w:r>
      <w:r>
        <w:t>) through consultation (</w:t>
      </w:r>
      <w:r>
        <w:rPr>
          <w:i/>
          <w:iCs/>
        </w:rPr>
        <w:t>shūrā</w:t>
      </w:r>
      <w:r>
        <w:t>) or consensus. Ghamidi strongly reinforces this Sunni understanding with both historical and textual arguments:</w:t>
      </w:r>
    </w:p>
    <w:p w:rsidR="00F06E50" w:rsidRDefault="00590880">
      <w:pPr>
        <w:numPr>
          <w:ilvl w:val="0"/>
          <w:numId w:val="2"/>
        </w:numPr>
      </w:pPr>
      <w:r>
        <w:rPr>
          <w:b/>
          <w:bCs/>
        </w:rPr>
        <w:lastRenderedPageBreak/>
        <w:t>No Quranic Basis</w:t>
      </w:r>
      <w:r>
        <w:rPr>
          <w:b/>
          <w:bCs/>
        </w:rPr>
        <w:t xml:space="preserve"> for Imamate:</w:t>
      </w:r>
      <w:r>
        <w:t xml:space="preserve"> Ghamidi flatly states that the Shiʿa notion of </w:t>
      </w:r>
      <w:r>
        <w:rPr>
          <w:i/>
          <w:iCs/>
        </w:rPr>
        <w:t>Imamate</w:t>
      </w:r>
      <w:r>
        <w:t xml:space="preserve"> (in the sense of a divinely ordained, hereditary, infallible leadership) “</w:t>
      </w:r>
      <w:r>
        <w:rPr>
          <w:i/>
          <w:iCs/>
        </w:rPr>
        <w:t>has no basis in Islam</w:t>
      </w:r>
      <w:r>
        <w:t>” – meaning it finds no backing in the Qur’an or indisputably authentic hadith</w:t>
      </w:r>
      <w:hyperlink r:id="rId55" w:anchor=":~:text=match%20at%20L217%20According%20to,has%20no%20basis%20in%20Islam">
        <w:r>
          <w:rPr>
            <w:rStyle w:val="Hyperlink"/>
          </w:rPr>
          <w:t>[29]</w:t>
        </w:r>
      </w:hyperlink>
      <w:r>
        <w:t xml:space="preserve">. The Qur’an, when instructing the Muslims about obedience, says: </w:t>
      </w:r>
      <w:r>
        <w:rPr>
          <w:i/>
          <w:iCs/>
        </w:rPr>
        <w:t>“Obey Allah and obey the Mes</w:t>
      </w:r>
      <w:r>
        <w:rPr>
          <w:i/>
          <w:iCs/>
        </w:rPr>
        <w:t>senger and those in authority among you (</w:t>
      </w:r>
      <w:r>
        <w:t>ulī l-amr minkum</w:t>
      </w:r>
      <w:r>
        <w:rPr>
          <w:i/>
          <w:iCs/>
        </w:rPr>
        <w:t>)…”</w:t>
      </w:r>
      <w:r>
        <w:t xml:space="preserve"> (Q.4:59). Shiʿi exegesis reads </w:t>
      </w:r>
      <w:r>
        <w:rPr>
          <w:i/>
          <w:iCs/>
        </w:rPr>
        <w:t>ulī l-amr</w:t>
      </w:r>
      <w:r>
        <w:t xml:space="preserve"> in this verse as the Imams. Ghamidi, like the vast majority of Sunni scholars, rejects this reading: he explains that </w:t>
      </w:r>
      <w:r>
        <w:rPr>
          <w:i/>
          <w:iCs/>
        </w:rPr>
        <w:t>“the words</w:t>
      </w:r>
      <w:r>
        <w:t xml:space="preserve"> ul al-amr minkum </w:t>
      </w:r>
      <w:r>
        <w:rPr>
          <w:i/>
          <w:iCs/>
        </w:rPr>
        <w:t>refer to</w:t>
      </w:r>
      <w:r>
        <w:rPr>
          <w:i/>
          <w:iCs/>
        </w:rPr>
        <w:t xml:space="preserve"> the rulers (those vested with authority in worldly/community affairs); They do not refer to religious scholars or Imams.”</w:t>
      </w:r>
      <w:hyperlink r:id="rId56" w:anchor=":~:text=Thank%20you%20for%20writing%20to,In">
        <w:r>
          <w:rPr>
            <w:rStyle w:val="Hyperlink"/>
          </w:rPr>
          <w:t>[30]</w:t>
        </w:r>
      </w:hyperlink>
      <w:r>
        <w:t xml:space="preserve">. He points out that the </w:t>
      </w:r>
      <w:r>
        <w:rPr>
          <w:b/>
          <w:bCs/>
        </w:rPr>
        <w:t>entire structure of Shiʿi Imamate is a superimposition on scripture</w:t>
      </w:r>
      <w:r>
        <w:t xml:space="preserve"> – verses such as 4:59 or 5:55 (“your ally is only Allah, His Messenger and the believers who establish prayer and give zakat,” interpreted by Shiʿa to</w:t>
      </w:r>
      <w:r>
        <w:t xml:space="preserve"> refer to ʿAli) are seen by Sunnis as either general or as having specific contexts that </w:t>
      </w:r>
      <w:r>
        <w:rPr>
          <w:b/>
          <w:bCs/>
        </w:rPr>
        <w:t>do not single out an Imām</w:t>
      </w:r>
      <w:r>
        <w:t>. Ghamidi’s colleague cites that no major Sunni or even classical Shiʿi commentators historically took verses like Q.4:165 (“messengers as bea</w:t>
      </w:r>
      <w:r>
        <w:t>rers of good news and warnings so that people have no plea against God after the Messengers…”) to imply “guides” or Imams must come after the Prophet</w:t>
      </w:r>
      <w:hyperlink r:id="rId57" w:anchor=":~:text=My%20dear%20brother%2C%20understanding%20Islam,and%20paradise%20in%20the%20hereafter">
        <w:r>
          <w:rPr>
            <w:rStyle w:val="Hyperlink"/>
          </w:rPr>
          <w:t>[21]</w:t>
        </w:r>
      </w:hyperlink>
      <w:r>
        <w:t xml:space="preserve">. To claim such, he argues, is </w:t>
      </w:r>
      <w:r>
        <w:rPr>
          <w:i/>
          <w:iCs/>
        </w:rPr>
        <w:t>“works of guess and estimation”</w:t>
      </w:r>
      <w:r>
        <w:t xml:space="preserve"> far outside the apparent meaning</w:t>
      </w:r>
      <w:hyperlink r:id="rId58" w:anchor=":~:text=My%20dear%20brother%2C%20understanding%20Islam,and%20paradise%20in%20the%20hereafter">
        <w:r>
          <w:rPr>
            <w:rStyle w:val="Hyperlink"/>
          </w:rPr>
          <w:t>[21]</w:t>
        </w:r>
      </w:hyperlink>
      <w:r>
        <w:t xml:space="preserve">. If the </w:t>
      </w:r>
      <w:r>
        <w:rPr>
          <w:i/>
          <w:iCs/>
        </w:rPr>
        <w:t>“good news”</w:t>
      </w:r>
      <w:r>
        <w:t xml:space="preserve"> in that verse were the coming of ʿAli and the Imams, it would contradict </w:t>
      </w:r>
      <w:r>
        <w:rPr>
          <w:i/>
          <w:iCs/>
        </w:rPr>
        <w:t>the verse itself</w:t>
      </w:r>
      <w:r>
        <w:t>, which says after the</w:t>
      </w:r>
      <w:r>
        <w:t xml:space="preserve"> Messengers there remains no plea (i.e. God’s proof has been established)</w:t>
      </w:r>
      <w:hyperlink r:id="rId59" w:anchor=":~:text=than%20letting%20the%20Qur%E2%80%99%C4%81n%20leading,us%20to%20the%20correct%20belief">
        <w:r>
          <w:rPr>
            <w:rStyle w:val="Hyperlink"/>
          </w:rPr>
          <w:t>[31]</w:t>
        </w:r>
      </w:hyperlink>
      <w:hyperlink r:id="rId60" w:anchor=":~:text=The%20verse%20has%20no%20indication,the%20coming%20of%20the%20Messengers">
        <w:r>
          <w:rPr>
            <w:rStyle w:val="Hyperlink"/>
          </w:rPr>
          <w:t>[28]</w:t>
        </w:r>
      </w:hyperlink>
      <w:r>
        <w:t xml:space="preserve">. Moreover, even Shiʿa agree the Prophet was </w:t>
      </w:r>
      <w:r>
        <w:rPr>
          <w:i/>
          <w:iCs/>
        </w:rPr>
        <w:t>also</w:t>
      </w:r>
      <w:r>
        <w:t xml:space="preserve"> an Imam </w:t>
      </w:r>
      <w:r>
        <w:t xml:space="preserve">in their usage; thus, Islam does not distinguish the Prophet from being a guide. In short, </w:t>
      </w:r>
      <w:r>
        <w:rPr>
          <w:b/>
          <w:bCs/>
        </w:rPr>
        <w:t>Ghamidi concludes that the Qur’an does not leave room for the Shiʿi doctrine of Imamate</w:t>
      </w:r>
      <w:r>
        <w:t xml:space="preserve"> – indeed, nowhere does the Qur’an outline a succession of Imams or instruct t</w:t>
      </w:r>
      <w:r>
        <w:t>he faithful to follow a particular lineage after Muhammad</w:t>
      </w:r>
      <w:hyperlink r:id="rId61" w:anchor=":~:text=The%20verse%20has%20no%20indication,the%20coming%20of%20the%20Messengers">
        <w:r>
          <w:rPr>
            <w:rStyle w:val="Hyperlink"/>
          </w:rPr>
          <w:t>[28]</w:t>
        </w:r>
      </w:hyperlink>
      <w:hyperlink r:id="rId62" w:anchor=":~:text=Sh%C4%AB%E2%80%98%C4%AB%20are%20those%20Muslims%20who,used%20to%20interpret%20these%20reliable">
        <w:r>
          <w:rPr>
            <w:rStyle w:val="Hyperlink"/>
          </w:rPr>
          <w:t>[24]</w:t>
        </w:r>
      </w:hyperlink>
      <w:r>
        <w:t>. The burden of proof, he says, is on those who claim such a doctrine to find clear sanction for it in the Qur’an</w:t>
      </w:r>
      <w:hyperlink r:id="rId63" w:anchor=":~:text=If%20unlike%20all%20the%20Sh%C4%AB%E2%80%98%C4%AB,us%20to%20the%20correct%20belief">
        <w:r>
          <w:rPr>
            <w:rStyle w:val="Hyperlink"/>
          </w:rPr>
          <w:t>[27]</w:t>
        </w:r>
      </w:hyperlink>
      <w:r>
        <w:t xml:space="preserve"> – a challenge he notes remains unmet.</w:t>
      </w:r>
    </w:p>
    <w:p w:rsidR="00F06E50" w:rsidRDefault="00590880">
      <w:pPr>
        <w:numPr>
          <w:ilvl w:val="0"/>
          <w:numId w:val="2"/>
        </w:numPr>
      </w:pPr>
      <w:r>
        <w:rPr>
          <w:b/>
          <w:bCs/>
        </w:rPr>
        <w:t>The Ghadīr Khumm Incident:</w:t>
      </w:r>
      <w:r>
        <w:t xml:space="preserve"> The most famous textual evidence that Shiʿites marshal for ʿAli’s immediate designation is the incident at </w:t>
      </w:r>
      <w:r>
        <w:rPr>
          <w:b/>
          <w:bCs/>
        </w:rPr>
        <w:t>Ghadīr Khumm</w:t>
      </w:r>
      <w:r>
        <w:t xml:space="preserve"> (18th of Dhul-Hijja</w:t>
      </w:r>
      <w:r>
        <w:t xml:space="preserve">h 10 AH, after the Farewell Pilgrimage). There, the Prophet publicly took ʿAli by the hand and declared, </w:t>
      </w:r>
      <w:r>
        <w:rPr>
          <w:i/>
          <w:iCs/>
        </w:rPr>
        <w:t>“Man kuntu mawlāhu fa-ʿAliyyun mawlāhu”</w:t>
      </w:r>
      <w:r>
        <w:t xml:space="preserve"> – roughly, “Whoever has me as master/ally, ʿAli is his master/ally.” Shiʿa interpret </w:t>
      </w:r>
      <w:r>
        <w:rPr>
          <w:i/>
          <w:iCs/>
        </w:rPr>
        <w:t>mawlā</w:t>
      </w:r>
      <w:r>
        <w:t xml:space="preserve"> here as </w:t>
      </w:r>
      <w:r>
        <w:rPr>
          <w:i/>
          <w:iCs/>
        </w:rPr>
        <w:t xml:space="preserve">leader with </w:t>
      </w:r>
      <w:r>
        <w:rPr>
          <w:i/>
          <w:iCs/>
        </w:rPr>
        <w:t>authority</w:t>
      </w:r>
      <w:r>
        <w:t xml:space="preserve">, seeing it as a clear appointment of ʿAli as successor. Ghamidi addresses this event in detail. He </w:t>
      </w:r>
      <w:r>
        <w:rPr>
          <w:b/>
          <w:bCs/>
        </w:rPr>
        <w:t>affirms the reliability</w:t>
      </w:r>
      <w:r>
        <w:t xml:space="preserve"> of the </w:t>
      </w:r>
      <w:r>
        <w:rPr>
          <w:i/>
          <w:iCs/>
        </w:rPr>
        <w:t>Hadith of Ghadīr</w:t>
      </w:r>
      <w:r>
        <w:t xml:space="preserve"> in general – </w:t>
      </w:r>
      <w:r>
        <w:rPr>
          <w:i/>
          <w:iCs/>
        </w:rPr>
        <w:t>“Hadith of Ghadeer is a reliable hadith since it has reached us through a number of so</w:t>
      </w:r>
      <w:r>
        <w:rPr>
          <w:i/>
          <w:iCs/>
        </w:rPr>
        <w:t>urces and narrators”</w:t>
      </w:r>
      <w:hyperlink r:id="rId64" w:anchor=":~:text=Hadith%20of%20Ghadeer%20is%20a,to%20me%20are%20not%20true">
        <w:r>
          <w:rPr>
            <w:rStyle w:val="Hyperlink"/>
          </w:rPr>
          <w:t>[32]</w:t>
        </w:r>
      </w:hyperlink>
      <w:r>
        <w:t xml:space="preserve"> – thus he does not deny the Prophet said these words. However, he </w:t>
      </w:r>
      <w:r>
        <w:t>invites a closer look at the context and phrasing before leaping to conclusions about political succession. Ghamidi notes that many presumptions made by Shiʿi interpreters “are not true” or are highly questionable</w:t>
      </w:r>
      <w:hyperlink r:id="rId65" w:anchor=":~:text=reliable%20however%20the%20narration%20of,to%20me%20are%20not%20true">
        <w:r>
          <w:rPr>
            <w:rStyle w:val="Hyperlink"/>
          </w:rPr>
          <w:t>[33]</w:t>
        </w:r>
      </w:hyperlink>
      <w:r>
        <w:t xml:space="preserve">. First, he highlights </w:t>
      </w:r>
      <w:r>
        <w:rPr>
          <w:b/>
          <w:bCs/>
        </w:rPr>
        <w:t>where and when</w:t>
      </w:r>
      <w:r>
        <w:t xml:space="preserve"> this statement was made: Ghadīr Khumm is a location </w:t>
      </w:r>
      <w:r>
        <w:rPr>
          <w:i/>
          <w:iCs/>
        </w:rPr>
        <w:t>between</w:t>
      </w:r>
      <w:r>
        <w:t xml:space="preserve"> Mecca and Medina, ess</w:t>
      </w:r>
      <w:r>
        <w:t xml:space="preserve">entially a crossroads where pilgrims dispersed to their home routes. It was </w:t>
      </w:r>
      <w:r>
        <w:rPr>
          <w:b/>
          <w:bCs/>
        </w:rPr>
        <w:t>not</w:t>
      </w:r>
      <w:r>
        <w:t xml:space="preserve"> a major population center; by the time the Prophet’s large Hajj caravan reached Ghadir, many Muslims from outlying areas had already departed earlier </w:t>
      </w:r>
      <w:r>
        <w:lastRenderedPageBreak/>
        <w:t>in the journey</w:t>
      </w:r>
      <w:hyperlink r:id="rId66" w:anchor=":~:text=1,in%20Mecca%20and%20during%20the">
        <w:r>
          <w:rPr>
            <w:rStyle w:val="Hyperlink"/>
          </w:rPr>
          <w:t>[34]</w:t>
        </w:r>
      </w:hyperlink>
      <w:r>
        <w:t xml:space="preserve">. Ghamidi argues that if the Prophet intended to announce something as momentous as the </w:t>
      </w:r>
      <w:r>
        <w:rPr>
          <w:i/>
          <w:iCs/>
        </w:rPr>
        <w:t>universal successor for all Muslims</w:t>
      </w:r>
      <w:r>
        <w:t xml:space="preserve">, it would only make sense to do so </w:t>
      </w:r>
      <w:r>
        <w:rPr>
          <w:b/>
          <w:bCs/>
        </w:rPr>
        <w:t>at ʿArafāt in Mecca during Hajj</w:t>
      </w:r>
      <w:r>
        <w:t xml:space="preserve"> – in front of tens of thousands – rather than at a pond on the way to Medina when only the Medina-bound group was present</w:t>
      </w:r>
      <w:hyperlink r:id="rId67" w:anchor=":~:text=1,in%20Mecca%20and%20during%20the">
        <w:r>
          <w:rPr>
            <w:rStyle w:val="Hyperlink"/>
          </w:rPr>
          <w:t>[34]</w:t>
        </w:r>
      </w:hyperlink>
      <w:r>
        <w:t xml:space="preserve">. The logical implication is that the Ghadir declaration was </w:t>
      </w:r>
      <w:r>
        <w:rPr>
          <w:b/>
          <w:bCs/>
        </w:rPr>
        <w:t>addressed to the Medinan Muslim community specifically</w:t>
      </w:r>
      <w:r>
        <w:t>, likely to resolve an issue that had arisen among them. Indeed</w:t>
      </w:r>
      <w:r>
        <w:t xml:space="preserve">, historical reports (including those in Sunni hadith) mention that on the Hajj, the Prophet had sent ʿAli on ahead to Yemen and there had been some discontent among soldiers under ʿAli’s command over war booty distribution. By reasserting ʿAli’s status – </w:t>
      </w:r>
      <w:r>
        <w:rPr>
          <w:i/>
          <w:iCs/>
        </w:rPr>
        <w:t>“whoever loves me should love ʿAli”</w:t>
      </w:r>
      <w:r>
        <w:t xml:space="preserve"> (an alternate wording) – the Prophet was quelling this unrest, not proclaiming a new Imam for all time. Ghamidi also points out that the </w:t>
      </w:r>
      <w:r>
        <w:rPr>
          <w:b/>
          <w:bCs/>
        </w:rPr>
        <w:t>proclamation at Ghadir was part of a longer sermon</w:t>
      </w:r>
      <w:r>
        <w:t>, not solely about ʿAli</w:t>
      </w:r>
      <w:hyperlink r:id="rId68" w:anchor=":~:text=2,ra">
        <w:r>
          <w:rPr>
            <w:rStyle w:val="Hyperlink"/>
          </w:rPr>
          <w:t>[35]</w:t>
        </w:r>
      </w:hyperlink>
      <w:r>
        <w:t xml:space="preserve">. The specific line about ʿAli came </w:t>
      </w:r>
      <w:r>
        <w:rPr>
          <w:i/>
          <w:iCs/>
        </w:rPr>
        <w:t>near the end</w:t>
      </w:r>
      <w:r>
        <w:t xml:space="preserve"> of the address, after more general counsel. This suggests it was a </w:t>
      </w:r>
      <w:r>
        <w:rPr>
          <w:b/>
          <w:bCs/>
        </w:rPr>
        <w:t>particular exhortation</w:t>
      </w:r>
      <w:r>
        <w:t>, not the ma</w:t>
      </w:r>
      <w:r>
        <w:t>in theme of a khutbah.</w:t>
      </w:r>
    </w:p>
    <w:p w:rsidR="00F06E50" w:rsidRDefault="00590880">
      <w:pPr>
        <w:pStyle w:val="FirstParagraph"/>
      </w:pPr>
      <w:r>
        <w:t xml:space="preserve">Furthermore, Ghamidi examines the word </w:t>
      </w:r>
      <w:r>
        <w:rPr>
          <w:i/>
          <w:iCs/>
        </w:rPr>
        <w:t>mawlā</w:t>
      </w:r>
      <w:r>
        <w:t xml:space="preserve">, which can mean “patron, friend, ally” and </w:t>
      </w:r>
      <w:r>
        <w:rPr>
          <w:b/>
          <w:bCs/>
        </w:rPr>
        <w:t>only in some contexts “master” or “lord.”</w:t>
      </w:r>
      <w:r>
        <w:t xml:space="preserve"> Given the lack of any explicit mention of caliphate or office, the meaning of </w:t>
      </w:r>
      <w:r>
        <w:rPr>
          <w:i/>
          <w:iCs/>
        </w:rPr>
        <w:t>mawlā</w:t>
      </w:r>
      <w:r>
        <w:t xml:space="preserve"> at Ghadir is </w:t>
      </w:r>
      <w:r>
        <w:rPr>
          <w:b/>
          <w:bCs/>
        </w:rPr>
        <w:t>not se</w:t>
      </w:r>
      <w:r>
        <w:rPr>
          <w:b/>
          <w:bCs/>
        </w:rPr>
        <w:t>lf-evidently “ruler.”</w:t>
      </w:r>
      <w:r>
        <w:t xml:space="preserve"> Ghamidi contends that one should not debate the semantics in isolation – </w:t>
      </w:r>
      <w:r>
        <w:rPr>
          <w:i/>
          <w:iCs/>
        </w:rPr>
        <w:t>“The implication of the Hadith of Ghadeer is not [decided] by the meaning of the word</w:t>
      </w:r>
      <w:r>
        <w:t xml:space="preserve"> mawlā</w:t>
      </w:r>
      <w:r>
        <w:rPr>
          <w:i/>
          <w:iCs/>
        </w:rPr>
        <w:t>… Maula can be interpreted as friend or master, but what makes us unde</w:t>
      </w:r>
      <w:r>
        <w:rPr>
          <w:i/>
          <w:iCs/>
        </w:rPr>
        <w:t>rstand the implication of the hadith is... whether the issue is also addressed in the Qur’an…and the background of this hadith”</w:t>
      </w:r>
      <w:hyperlink r:id="rId69" w:anchor=":~:text=4,see%20point%201%20above">
        <w:r>
          <w:rPr>
            <w:rStyle w:val="Hyperlink"/>
          </w:rPr>
          <w:t>[36]</w:t>
        </w:r>
      </w:hyperlink>
      <w:r>
        <w:t xml:space="preserve">. In other words, if the Qur’an provides no hint of ʿAli’s appointment (which it does not), and if the context is a particular incident, then </w:t>
      </w:r>
      <w:r>
        <w:rPr>
          <w:i/>
          <w:iCs/>
        </w:rPr>
        <w:t>mawlā</w:t>
      </w:r>
      <w:r>
        <w:t xml:space="preserve"> is best understood in its </w:t>
      </w:r>
      <w:r>
        <w:rPr>
          <w:b/>
          <w:bCs/>
        </w:rPr>
        <w:t>non-political sense</w:t>
      </w:r>
      <w:r>
        <w:t xml:space="preserve"> (guardian, beloved friend). Ghamidi bolsters this by a</w:t>
      </w:r>
      <w:r>
        <w:t xml:space="preserve">n important historical observation: </w:t>
      </w:r>
      <w:r>
        <w:rPr>
          <w:b/>
          <w:bCs/>
        </w:rPr>
        <w:t>How did ʿAli himself understand Ghadir?</w:t>
      </w:r>
      <w:r>
        <w:t xml:space="preserve"> If the Prophet truly designated him as the next leader in front of many companions, ʿAli would surely have </w:t>
      </w:r>
      <w:r>
        <w:rPr>
          <w:i/>
          <w:iCs/>
        </w:rPr>
        <w:t>cited that designation</w:t>
      </w:r>
      <w:r>
        <w:t xml:space="preserve"> </w:t>
      </w:r>
      <w:r>
        <w:t xml:space="preserve">during the disputes after the Prophet’s death. Yet, as Ghamidi notes, </w:t>
      </w:r>
      <w:r>
        <w:rPr>
          <w:i/>
          <w:iCs/>
        </w:rPr>
        <w:t>“as far as I have seen, there is no reliable narration from ʿAli (ra) [Allah be pleased with him] that interprets the Hadith of Ghadir the way some Muslims do today”</w:t>
      </w:r>
      <w:hyperlink r:id="rId70" w:anchor=":~:text=5,some%20Muslims%20see%20it%20today">
        <w:r>
          <w:rPr>
            <w:rStyle w:val="Hyperlink"/>
          </w:rPr>
          <w:t>[37]</w:t>
        </w:r>
      </w:hyperlink>
      <w:r>
        <w:t>. There is no record of ʿAli rebuking the Companions at Saqīfa or during his delayed allegiance to Abū Bakr by saying, “But the Pr</w:t>
      </w:r>
      <w:r>
        <w:t xml:space="preserve">ophet declared me your leader.” The silence of ʿAli and the </w:t>
      </w:r>
      <w:r>
        <w:rPr>
          <w:b/>
          <w:bCs/>
        </w:rPr>
        <w:t>unanimous pledge of allegiance</w:t>
      </w:r>
      <w:r>
        <w:t xml:space="preserve"> the Muslim community gave to Abū Bakr are very telling for Ghamidi. In his words, </w:t>
      </w:r>
      <w:r>
        <w:rPr>
          <w:i/>
          <w:iCs/>
        </w:rPr>
        <w:t>“Khilafah of Abu Bakr al-</w:t>
      </w:r>
      <w:r>
        <w:rPr>
          <w:i/>
          <w:iCs/>
        </w:rPr>
        <w:t>Ṣ</w:t>
      </w:r>
      <w:r>
        <w:rPr>
          <w:i/>
          <w:iCs/>
        </w:rPr>
        <w:t>iddīq (rta) was acknowledged by the entire community of t</w:t>
      </w:r>
      <w:r>
        <w:rPr>
          <w:i/>
          <w:iCs/>
        </w:rPr>
        <w:t>he Companions. The Companions, as a community, could not have joined hands in deviating from the command of the Prophet (sws). The Holy Qur’an affirms their truthfulness… we cannot claim they disregarded the Prophet’s command regarding the Imamate of Ali (</w:t>
      </w:r>
      <w:r>
        <w:rPr>
          <w:i/>
          <w:iCs/>
        </w:rPr>
        <w:t>rta). Who would have known better than them if the Prophet intended them to take Ali as caliph?… The whole dispute of khilāfat… originates in the fact the Prophet (sws) did not appoint anybody.”</w:t>
      </w:r>
      <w:hyperlink r:id="rId71" w:anchor=":~:text=Khilafah%20of%20Abu%20Bakr%20Siddique,it%20needs%20to%20be%20appreciated">
        <w:r>
          <w:rPr>
            <w:rStyle w:val="Hyperlink"/>
          </w:rPr>
          <w:t>[38]</w:t>
        </w:r>
      </w:hyperlink>
      <w:hyperlink r:id="rId72" w:anchor=":~:text=confirmed%20by%20the%20Book%20of,did%20not%20appoint%20anybody">
        <w:r>
          <w:rPr>
            <w:rStyle w:val="Hyperlink"/>
          </w:rPr>
          <w:t>[39]</w:t>
        </w:r>
      </w:hyperlink>
      <w:r>
        <w:t xml:space="preserve">. This is a </w:t>
      </w:r>
      <w:r>
        <w:rPr>
          <w:b/>
          <w:bCs/>
        </w:rPr>
        <w:t>crucial quote</w:t>
      </w:r>
      <w:r>
        <w:t xml:space="preserve"> from Ghamidi, encapsulating the Sunni defense of the legitimacy of the first caliphate and the absence of a divine mandate for ʿAli at Ghadir or elsewhere. Ghamidi is essentially saying: </w:t>
      </w:r>
      <w:r>
        <w:rPr>
          <w:i/>
          <w:iCs/>
        </w:rPr>
        <w:t xml:space="preserve">It </w:t>
      </w:r>
      <w:r>
        <w:rPr>
          <w:i/>
          <w:iCs/>
        </w:rPr>
        <w:t xml:space="preserve">is inconceivable that the Companions – whom the Qur’an praises as truthful and as the transmitters of Islam (Q.9:100, 48:29, etc.) – would deliberately violate a clear order </w:t>
      </w:r>
      <w:r>
        <w:rPr>
          <w:i/>
          <w:iCs/>
        </w:rPr>
        <w:lastRenderedPageBreak/>
        <w:t>from the Prophet.</w:t>
      </w:r>
      <w:r>
        <w:t xml:space="preserve"> The fact that not a single Companion stood up at Saqīfa (the mee</w:t>
      </w:r>
      <w:r>
        <w:t>ting hall in Madina where Abū Bakr was nominated) to object “but the Prophet announced ʿAli!” strongly indicates that they did not interpret Ghadir in that manner at all. Abū Bakr’s caliphate was a result of consultation among the elders of the community (</w:t>
      </w:r>
      <w:r>
        <w:t>Muhājirūn and An</w:t>
      </w:r>
      <w:r>
        <w:t>ṣ</w:t>
      </w:r>
      <w:r>
        <w:t xml:space="preserve">ār) and was </w:t>
      </w:r>
      <w:r>
        <w:rPr>
          <w:i/>
          <w:iCs/>
        </w:rPr>
        <w:t>“acknowledged by the entire community”</w:t>
      </w:r>
      <w:r>
        <w:t>, including ʿAli who gave his pledge a short time later</w:t>
      </w:r>
      <w:hyperlink r:id="rId73" w:anchor=":~:text=Khilafah%20of%20Abu%20Bakr%20Siddique,it%20needs%20to%20be%20appreciated">
        <w:r>
          <w:rPr>
            <w:rStyle w:val="Hyperlink"/>
          </w:rPr>
          <w:t>[38]</w:t>
        </w:r>
      </w:hyperlink>
      <w:r>
        <w:t xml:space="preserve">. Ghamidi underscores that Islam’s early history demonstrates </w:t>
      </w:r>
      <w:r>
        <w:rPr>
          <w:b/>
          <w:bCs/>
        </w:rPr>
        <w:t>shūrā (consultation)</w:t>
      </w:r>
      <w:r>
        <w:t xml:space="preserve"> in political leadership – a principle even the Qur’an encourages (Q.42:38) – rather than a dynastic or theological appointm</w:t>
      </w:r>
      <w:r>
        <w:t xml:space="preserve">ent. Thus, from the Sunni perspective articulated by Ghamidi, </w:t>
      </w:r>
      <w:r>
        <w:rPr>
          <w:b/>
          <w:bCs/>
        </w:rPr>
        <w:t>the Imamate doctrine is a retrospective construction</w:t>
      </w:r>
      <w:r>
        <w:t xml:space="preserve">: had it been fundamental, the Prophet would have proclaimed it unambiguously (for instance, declaring ʿAli as </w:t>
      </w:r>
      <w:r>
        <w:rPr>
          <w:i/>
          <w:iCs/>
        </w:rPr>
        <w:t>“Khalīfatī – my successor”</w:t>
      </w:r>
      <w:r>
        <w:t xml:space="preserve"> in t</w:t>
      </w:r>
      <w:r>
        <w:t>he Farewell Sermon with all Muslims present, or having it recorded in the Qur’an). The absence of any such unequivocal text and the contrary reality of the Companions’ collective decision is, to Sunnis, proof that legitimate leadership after the Prophet wa</w:t>
      </w:r>
      <w:r>
        <w:t xml:space="preserve">s meant to be determined by the </w:t>
      </w:r>
      <w:r>
        <w:rPr>
          <w:i/>
          <w:iCs/>
        </w:rPr>
        <w:t>ummah</w:t>
      </w:r>
      <w:r>
        <w:t xml:space="preserve">. Ghamidi even extends this reasoning to later historical controversies: for example, he refuses to condemn the Companions like </w:t>
      </w:r>
      <w:r>
        <w:rPr>
          <w:i/>
          <w:iCs/>
        </w:rPr>
        <w:t>Muʿāwiyah</w:t>
      </w:r>
      <w:r>
        <w:t xml:space="preserve"> for his conflict with ʿAli in the way Shiʿa do, noting that each side acted on </w:t>
      </w:r>
      <w:r>
        <w:rPr>
          <w:i/>
          <w:iCs/>
        </w:rPr>
        <w:t>ij</w:t>
      </w:r>
      <w:r>
        <w:rPr>
          <w:i/>
          <w:iCs/>
        </w:rPr>
        <w:t>tihād</w:t>
      </w:r>
      <w:r>
        <w:t xml:space="preserve"> (their best judgment) and may God forgive any errors</w:t>
      </w:r>
      <w:hyperlink r:id="rId74" w:anchor=":~:text=match%20at%20L185%20Ghamidi%20rationalizes,use%20similar%20logic%20to%20exonerate">
        <w:r>
          <w:rPr>
            <w:rStyle w:val="Hyperlink"/>
          </w:rPr>
          <w:t>[40]</w:t>
        </w:r>
      </w:hyperlink>
      <w:hyperlink r:id="rId75" w:anchor=":~:text=Hazrat%20Ali%20and%20Muaviya%20and,use%20similar%20logic%20to%20exonerate">
        <w:r>
          <w:rPr>
            <w:rStyle w:val="Hyperlink"/>
          </w:rPr>
          <w:t>[41]</w:t>
        </w:r>
      </w:hyperlink>
      <w:r>
        <w:t xml:space="preserve">. He maintains a principled agnosticism about </w:t>
      </w:r>
      <w:r>
        <w:rPr>
          <w:b/>
          <w:bCs/>
        </w:rPr>
        <w:t>early disputes</w:t>
      </w:r>
      <w:r>
        <w:t xml:space="preserve">: </w:t>
      </w:r>
      <w:r>
        <w:rPr>
          <w:i/>
          <w:iCs/>
        </w:rPr>
        <w:t xml:space="preserve">“As a Muslim, </w:t>
      </w:r>
      <w:r>
        <w:rPr>
          <w:i/>
          <w:iCs/>
        </w:rPr>
        <w:t>it is not your duty to figure out who was right and who was wrong [among those who lived in the past]… 1400 years later, with conflicting information, we can never be sure; only God will judge them”</w:t>
      </w:r>
      <w:hyperlink r:id="rId76" w:anchor=":~:text=I%20am%20going%20to%20answer,versus%20Mu%E2%80%99%C4%81wiah%20and%20Yaz%C4%ABd">
        <w:r>
          <w:rPr>
            <w:rStyle w:val="Hyperlink"/>
          </w:rPr>
          <w:t>[42]</w:t>
        </w:r>
      </w:hyperlink>
      <w:hyperlink r:id="rId77" w:anchor=":~:text=Let%E2%80%99s%20assume%20that%20based%20on,B%20is%20with%20the%20truth">
        <w:r>
          <w:rPr>
            <w:rStyle w:val="Hyperlink"/>
          </w:rPr>
          <w:t>[43]</w:t>
        </w:r>
      </w:hyperlink>
      <w:r>
        <w:t>. This ethos is very much in line with Sunni tradition, which holds all Companions in esteem and generally avoids impugning their intentions – a stark contrast to Shiʿi narratives which often accuse</w:t>
      </w:r>
      <w:r>
        <w:t xml:space="preserve"> many Companions (except a revered few) of disloyalty or even impiety for “sidelining” ʿAli. Ghamidi counters that the </w:t>
      </w:r>
      <w:r>
        <w:rPr>
          <w:b/>
          <w:bCs/>
        </w:rPr>
        <w:t>Qur’an itself praises the Muhājirūn and An</w:t>
      </w:r>
      <w:r>
        <w:rPr>
          <w:b/>
          <w:bCs/>
        </w:rPr>
        <w:t>ṣ</w:t>
      </w:r>
      <w:r>
        <w:rPr>
          <w:b/>
          <w:bCs/>
        </w:rPr>
        <w:t>ār at numerous places</w:t>
      </w:r>
      <w:r>
        <w:t>, indicating they were the righteous standard-bearers of Islam</w:t>
      </w:r>
      <w:hyperlink r:id="rId78" w:anchor=":~:text=%D9%84%D9%8E%D9%82%D9%8E%D8%AF%D9%92%20%D8%AA%D9%8E%D8%A7%D8%A8%D9%8E%20%D8%A7%D9%84%D9%84%D9%91%D9%B0%D9%87%D9%8F%20%D8%B9%D9%8E%D9%84%D9%8E%D9%89%20%D8%A7%D9%84%D9%86%D9%91%D9%8E%D8%A8%D9%90%D9%8A%D9%91%D9%90,%D8%B9%D9%8E%D9%84%D9%8E%D9%8A%D9%92">
        <w:r>
          <w:rPr>
            <w:rStyle w:val="Hyperlink"/>
          </w:rPr>
          <w:t>[44]</w:t>
        </w:r>
      </w:hyperlink>
      <w:hyperlink r:id="rId79" w:anchor=":~:text=Allah%20subhanahu%20wa%20ta%20%E2%80%98ala,participants%20of%20the%20Hudaybiyyah%20campaign">
        <w:r>
          <w:rPr>
            <w:rStyle w:val="Hyperlink"/>
          </w:rPr>
          <w:t>[45</w:t>
        </w:r>
        <w:r>
          <w:rPr>
            <w:rStyle w:val="Hyperlink"/>
          </w:rPr>
          <w:t>]</w:t>
        </w:r>
      </w:hyperlink>
      <w:r>
        <w:t xml:space="preserve">. For instance, Quran 9:100 declares </w:t>
      </w:r>
      <w:r>
        <w:rPr>
          <w:i/>
          <w:iCs/>
        </w:rPr>
        <w:t>“Allah is well-pleased with the</w:t>
      </w:r>
      <w:r>
        <w:t xml:space="preserve"> </w:t>
      </w:r>
      <w:r>
        <w:rPr>
          <w:i/>
          <w:iCs/>
        </w:rPr>
        <w:t>foremost pioneers</w:t>
      </w:r>
      <w:r>
        <w:t xml:space="preserve"> </w:t>
      </w:r>
      <w:r>
        <w:rPr>
          <w:i/>
          <w:iCs/>
        </w:rPr>
        <w:t>of the Migrants and Helpers and those who followed them in excellence…”</w:t>
      </w:r>
      <w:hyperlink r:id="rId80" w:anchor=":~:text=Allah%20subhanahu%20wa%20ta%20%E2%80%98ala,Muhajirin%20and%20the%20Ansar%20states">
        <w:r>
          <w:rPr>
            <w:rStyle w:val="Hyperlink"/>
          </w:rPr>
          <w:t>[46]</w:t>
        </w:r>
      </w:hyperlink>
      <w:r>
        <w:t xml:space="preserve">, and Quran 48:18 similarly says </w:t>
      </w:r>
      <w:r>
        <w:rPr>
          <w:i/>
          <w:iCs/>
        </w:rPr>
        <w:t>“Allah was pleased with the believers when they pledged allegiance to you [O Prophet] under the tree…”</w:t>
      </w:r>
      <w:r>
        <w:t xml:space="preserve"> (referring to the </w:t>
      </w:r>
      <w:r>
        <w:t>Ḥ</w:t>
      </w:r>
      <w:r>
        <w:t>udaybiyya truce oath)</w:t>
      </w:r>
      <w:hyperlink r:id="rId81" w:anchor=":~:text=Allah%20subhanahu%20wa%20ta%20%E2%80%98ala,participants%20of%20the%20Hudaybiyyah%20campaign">
        <w:r>
          <w:rPr>
            <w:rStyle w:val="Hyperlink"/>
          </w:rPr>
          <w:t>[45]</w:t>
        </w:r>
      </w:hyperlink>
      <w:r>
        <w:t>. These verses, Ghamidi notes, make it hard to believe that the bulk of the</w:t>
      </w:r>
      <w:r>
        <w:t xml:space="preserve"> Companions would turn awry immediately after the Prophet’s death – a necessary implication of the extreme Shiʿi view that only ʿAli and a handful remained faithful. Instead, Sunnis view </w:t>
      </w:r>
      <w:r>
        <w:rPr>
          <w:i/>
          <w:iCs/>
        </w:rPr>
        <w:t>the era of the first four caliphs (Abū Bakr, ʿUmar, ʿUthmān, ʿAlī)</w:t>
      </w:r>
      <w:r>
        <w:t xml:space="preserve"> as</w:t>
      </w:r>
      <w:r>
        <w:t xml:space="preserve"> a noble, if challenging, chapter in Islamic history where </w:t>
      </w:r>
      <w:r>
        <w:rPr>
          <w:i/>
          <w:iCs/>
        </w:rPr>
        <w:t>collective wisdom</w:t>
      </w:r>
      <w:r>
        <w:t xml:space="preserve"> (and sometimes error) played out, rather than divinely guaranteed guidance. Ghamidi explicitly says: </w:t>
      </w:r>
      <w:r>
        <w:rPr>
          <w:i/>
          <w:iCs/>
        </w:rPr>
        <w:t>“Islam does not bestow any special privilege on a religious basis to the members of the Prophet’s family (sws)”</w:t>
      </w:r>
      <w:hyperlink r:id="rId82" w:anchor=":~:text=I%20am%20sorry%20I%20cannot,sws">
        <w:r>
          <w:rPr>
            <w:rStyle w:val="Hyperlink"/>
          </w:rPr>
          <w:t>[47]</w:t>
        </w:r>
      </w:hyperlink>
      <w:r>
        <w:t xml:space="preserve"> –</w:t>
      </w:r>
      <w:r>
        <w:t xml:space="preserve"> piety and leadership in Islam are earned, not inherited by blood. This statement encapsulates the Sunni ethos of merit over lineage (while still loving that blessed lineage). It should be noted that </w:t>
      </w:r>
      <w:r>
        <w:rPr>
          <w:i/>
          <w:iCs/>
        </w:rPr>
        <w:t>Sunni Islam highly respects ʿAli (r.a.)</w:t>
      </w:r>
      <w:r>
        <w:t xml:space="preserve"> – he is consider</w:t>
      </w:r>
      <w:r>
        <w:t xml:space="preserve">ed the fourth </w:t>
      </w:r>
      <w:r>
        <w:rPr>
          <w:i/>
          <w:iCs/>
        </w:rPr>
        <w:t>“Rightly-Guided Caliph”</w:t>
      </w:r>
      <w:r>
        <w:t xml:space="preserve"> (al-Khulafā’ al-Rāshidūn) and one of the greatest Companions. Sunnis commemorate his knowledge, bravery, and piety, as they do for his sons </w:t>
      </w:r>
      <w:r>
        <w:t>Ḥ</w:t>
      </w:r>
      <w:r>
        <w:t xml:space="preserve">asan and </w:t>
      </w:r>
      <w:r>
        <w:t>Ḥ</w:t>
      </w:r>
      <w:r>
        <w:t>usayn. However, Sunnis do not consider him or his progeny to be div</w:t>
      </w:r>
      <w:r>
        <w:t xml:space="preserve">inely appointed Imams </w:t>
      </w:r>
      <w:r>
        <w:rPr>
          <w:b/>
          <w:bCs/>
        </w:rPr>
        <w:t>whom one must follow to truly be guided</w:t>
      </w:r>
      <w:r>
        <w:t xml:space="preserve"> – they were revered figures and scholars, but </w:t>
      </w:r>
      <w:r>
        <w:rPr>
          <w:i/>
          <w:iCs/>
        </w:rPr>
        <w:t>not the sole repositories of the Prophet’s legacy</w:t>
      </w:r>
      <w:r>
        <w:t xml:space="preserve">. In Ghamidi’s lecture, he </w:t>
      </w:r>
      <w:r>
        <w:lastRenderedPageBreak/>
        <w:t xml:space="preserve">emphasizes that the religion was completed and transmitted by </w:t>
      </w:r>
      <w:r>
        <w:rPr>
          <w:b/>
          <w:bCs/>
        </w:rPr>
        <w:t>all</w:t>
      </w:r>
      <w:r>
        <w:t xml:space="preserve"> the Co</w:t>
      </w:r>
      <w:r>
        <w:t xml:space="preserve">mpanions collectively – including the Prophet’s family </w:t>
      </w:r>
      <w:r>
        <w:rPr>
          <w:i/>
          <w:iCs/>
        </w:rPr>
        <w:t>and</w:t>
      </w:r>
      <w:r>
        <w:t xml:space="preserve"> others. The proof of this is that the </w:t>
      </w:r>
      <w:r>
        <w:rPr>
          <w:b/>
          <w:bCs/>
        </w:rPr>
        <w:t>corpus of Hadith and Sunnah</w:t>
      </w:r>
      <w:r>
        <w:t xml:space="preserve"> – which Sunnis follow – comes through a wide network of Companions (Abū Bakr, ʿUmar, ʿĀ’isha, Ibn Masʿūd, Abu Hurayra, etc., as wel</w:t>
      </w:r>
      <w:r>
        <w:t xml:space="preserve">l as ʿAli, Ibn ʿAbbās, Anas, etc.). No single family or line monopolizes the transmission of Islam. Thus, conceptually, Sunnis see the </w:t>
      </w:r>
      <w:r>
        <w:rPr>
          <w:b/>
          <w:bCs/>
        </w:rPr>
        <w:t>Caliphate</w:t>
      </w:r>
      <w:r>
        <w:t xml:space="preserve"> as a socio-political institution guided by consultation, whereas the Shiʿi </w:t>
      </w:r>
      <w:r>
        <w:rPr>
          <w:b/>
          <w:bCs/>
        </w:rPr>
        <w:t>Imamate</w:t>
      </w:r>
      <w:r>
        <w:t xml:space="preserve"> is a theological institution</w:t>
      </w:r>
      <w:r>
        <w:t xml:space="preserve">. Ghamidi and others argue that the Prophet (sws) instituted </w:t>
      </w:r>
      <w:r>
        <w:rPr>
          <w:i/>
          <w:iCs/>
        </w:rPr>
        <w:t>Prophethood</w:t>
      </w:r>
      <w:r>
        <w:t xml:space="preserve"> and </w:t>
      </w:r>
      <w:r>
        <w:rPr>
          <w:i/>
          <w:iCs/>
        </w:rPr>
        <w:t>Scripture</w:t>
      </w:r>
      <w:r>
        <w:t>, not a hereditary priesthood or monarchy – in fact, he discouraged undue elevation of his family to avoid what happened in other religions (like Christianity’s sanctific</w:t>
      </w:r>
      <w:r>
        <w:t xml:space="preserve">ation of saints or clergy). Any Muslim – whether from the Prophet’s lineage or not – could attain leadership </w:t>
      </w:r>
      <w:r>
        <w:rPr>
          <w:i/>
          <w:iCs/>
        </w:rPr>
        <w:t>if</w:t>
      </w:r>
      <w:r>
        <w:t xml:space="preserve"> chosen by the community for their knowledge and piety (indeed later Sunni history saw Caliphs and Sultans from various Arab and non-Arab lineage</w:t>
      </w:r>
      <w:r>
        <w:t>s).</w:t>
      </w:r>
    </w:p>
    <w:p w:rsidR="00F06E50" w:rsidRDefault="00590880">
      <w:pPr>
        <w:pStyle w:val="BodyText"/>
      </w:pPr>
      <w:r>
        <w:t xml:space="preserve">To reinforce his argument about Ghadir and succession, Ghamidi notes an interesting </w:t>
      </w:r>
      <w:r>
        <w:rPr>
          <w:b/>
          <w:bCs/>
        </w:rPr>
        <w:t>consensus of scholars</w:t>
      </w:r>
      <w:r>
        <w:t xml:space="preserve">: even many non-Shiʿi historical researchers, including Western academics, concur that </w:t>
      </w:r>
      <w:r>
        <w:rPr>
          <w:i/>
          <w:iCs/>
        </w:rPr>
        <w:t>Ghadir Khumm was likely about affirming ʿAli’s status</w:t>
      </w:r>
      <w:r>
        <w:t xml:space="preserve"> but no</w:t>
      </w:r>
      <w:r>
        <w:t>t appointing him caliph. It is seen as the Prophet addressing ill-will or misunderstandings that had arisen against ʿAli, by reminding Muslims to respect and love him as they love the Prophet</w:t>
      </w:r>
      <w:hyperlink r:id="rId83" w:anchor=":~:text=Most%20of%20people%20who%20were,population%20of%20Muslims%20around%20him">
        <w:r>
          <w:rPr>
            <w:rStyle w:val="Hyperlink"/>
          </w:rPr>
          <w:t>[48]</w:t>
        </w:r>
      </w:hyperlink>
      <w:hyperlink r:id="rId84" w:anchor=":~:text=2,ra">
        <w:r>
          <w:rPr>
            <w:rStyle w:val="Hyperlink"/>
          </w:rPr>
          <w:t>[35]</w:t>
        </w:r>
      </w:hyperlink>
      <w:r>
        <w:t>. Ghamidi’s interpret</w:t>
      </w:r>
      <w:r>
        <w:t xml:space="preserve">ation here echoes classical Sunni commentary: for example, </w:t>
      </w:r>
      <w:r>
        <w:rPr>
          <w:b/>
          <w:bCs/>
        </w:rPr>
        <w:t>Imām A</w:t>
      </w:r>
      <w:r>
        <w:rPr>
          <w:b/>
          <w:bCs/>
        </w:rPr>
        <w:t>ḥ</w:t>
      </w:r>
      <w:r>
        <w:rPr>
          <w:b/>
          <w:bCs/>
        </w:rPr>
        <w:t xml:space="preserve">mad ibn </w:t>
      </w:r>
      <w:r>
        <w:rPr>
          <w:b/>
          <w:bCs/>
        </w:rPr>
        <w:t>Ḥ</w:t>
      </w:r>
      <w:r>
        <w:rPr>
          <w:b/>
          <w:bCs/>
        </w:rPr>
        <w:t>anbal</w:t>
      </w:r>
      <w:r>
        <w:t xml:space="preserve"> reportedly understood Ghadir in terms of </w:t>
      </w:r>
      <w:r>
        <w:rPr>
          <w:i/>
          <w:iCs/>
        </w:rPr>
        <w:t>walāyah</w:t>
      </w:r>
      <w:r>
        <w:t xml:space="preserve"> (friendship/loyalty), not </w:t>
      </w:r>
      <w:r>
        <w:rPr>
          <w:i/>
          <w:iCs/>
        </w:rPr>
        <w:t>wilāyah</w:t>
      </w:r>
      <w:r>
        <w:t xml:space="preserve"> (governance). </w:t>
      </w:r>
      <w:r>
        <w:rPr>
          <w:b/>
          <w:bCs/>
        </w:rPr>
        <w:t>Al-Nasā’ī</w:t>
      </w:r>
      <w:r>
        <w:t xml:space="preserve"> and </w:t>
      </w:r>
      <w:r>
        <w:rPr>
          <w:b/>
          <w:bCs/>
        </w:rPr>
        <w:t>Ibn Kathīr</w:t>
      </w:r>
      <w:r>
        <w:t xml:space="preserve"> mention the context of the Yemen expedition to explai</w:t>
      </w:r>
      <w:r>
        <w:t xml:space="preserve">n the incident. No reputable Sunni historian recorded an event at Ghadir as a </w:t>
      </w:r>
      <w:r>
        <w:rPr>
          <w:i/>
          <w:iCs/>
        </w:rPr>
        <w:t>transfer of political authority</w:t>
      </w:r>
      <w:r>
        <w:t xml:space="preserve">. The fact that </w:t>
      </w:r>
      <w:r>
        <w:rPr>
          <w:b/>
          <w:bCs/>
        </w:rPr>
        <w:t>Imam ʿAli himself, during his caliphate, never invoked a “divine appointment” claim</w:t>
      </w:r>
      <w:r>
        <w:t xml:space="preserve"> in his letters (even when facing rebels) is, fo</w:t>
      </w:r>
      <w:r>
        <w:t>r Sunni scholarship, a crucial historical corroboration of their view.</w:t>
      </w:r>
    </w:p>
    <w:p w:rsidR="00F06E50" w:rsidRDefault="00590880">
      <w:pPr>
        <w:pStyle w:val="Heading2"/>
      </w:pPr>
      <w:bookmarkStart w:id="7" w:name="Xa3597150e8a48f3bddc09471a51f1a61c21c6ef"/>
      <w:bookmarkEnd w:id="6"/>
      <w:r>
        <w:t>The Question of Infallible Imams and the Closure of Prophethood</w:t>
      </w:r>
    </w:p>
    <w:p w:rsidR="00F06E50" w:rsidRDefault="00590880">
      <w:pPr>
        <w:pStyle w:val="FirstParagraph"/>
      </w:pPr>
      <w:r>
        <w:t xml:space="preserve">Ghamidi also addresses a more abstract theological point: Shiʿism’s concept of </w:t>
      </w:r>
      <w:r>
        <w:rPr>
          <w:i/>
          <w:iCs/>
        </w:rPr>
        <w:t>Ismah</w:t>
      </w:r>
      <w:r>
        <w:t xml:space="preserve"> (infallibility) for their Imams and </w:t>
      </w:r>
      <w:r>
        <w:t xml:space="preserve">the idea that these Imams are </w:t>
      </w:r>
      <w:r>
        <w:rPr>
          <w:b/>
          <w:bCs/>
        </w:rPr>
        <w:t>necessary to continue guiding the community</w:t>
      </w:r>
      <w:r>
        <w:t xml:space="preserve"> (often phrased as “the earth can never be without God’s </w:t>
      </w:r>
      <w:r>
        <w:rPr>
          <w:i/>
          <w:iCs/>
        </w:rPr>
        <w:t>ḥ</w:t>
      </w:r>
      <w:r>
        <w:rPr>
          <w:i/>
          <w:iCs/>
        </w:rPr>
        <w:t>ujjah</w:t>
      </w:r>
      <w:r>
        <w:t xml:space="preserve"> (proof)”). From a Sunni perspective, this idea challenges the </w:t>
      </w:r>
      <w:r>
        <w:rPr>
          <w:b/>
          <w:bCs/>
        </w:rPr>
        <w:t>Finality of Prophethood</w:t>
      </w:r>
      <w:r>
        <w:t>. The Prophet Muhammad (pbuh) is c</w:t>
      </w:r>
      <w:r>
        <w:t xml:space="preserve">onsidered </w:t>
      </w:r>
      <w:r>
        <w:rPr>
          <w:i/>
          <w:iCs/>
        </w:rPr>
        <w:t>Khātam al-Nabiyyīn</w:t>
      </w:r>
      <w:r>
        <w:t xml:space="preserve"> (Seal of the Prophets), after whom no divine authority figure will arise. Sunni creed holds that after the Prophet, </w:t>
      </w:r>
      <w:r>
        <w:rPr>
          <w:b/>
          <w:bCs/>
        </w:rPr>
        <w:t>the Qur’an and Sunnah are sufficient and complete sources of guidance</w:t>
      </w:r>
      <w:r>
        <w:t>, and no person enjoys infallibility or di</w:t>
      </w:r>
      <w:r>
        <w:t xml:space="preserve">rect divine inspiration. Ghamidi reinforces this by referencing </w:t>
      </w:r>
      <w:r>
        <w:rPr>
          <w:b/>
          <w:bCs/>
        </w:rPr>
        <w:t>Qur’an 5:3</w:t>
      </w:r>
      <w:r>
        <w:t xml:space="preserve">, which states that on the Prophet’s Farewell Sermon, God proclaimed: </w:t>
      </w:r>
      <w:r>
        <w:rPr>
          <w:i/>
          <w:iCs/>
        </w:rPr>
        <w:t>“This day I have perfected your religion for you, completed My favor upon you…”</w:t>
      </w:r>
      <w:r>
        <w:t xml:space="preserve">. If the religion was perfected </w:t>
      </w:r>
      <w:r>
        <w:rPr>
          <w:i/>
          <w:iCs/>
        </w:rPr>
        <w:t>d</w:t>
      </w:r>
      <w:r>
        <w:rPr>
          <w:i/>
          <w:iCs/>
        </w:rPr>
        <w:t>uring the Prophet’s life</w:t>
      </w:r>
      <w:r>
        <w:t>, Ghamidi argues, then there is no doctrinal necessity for infallible figures afterward to “complete” or preserve the faith – that role is fulfilled by the preservation of the Qur’an and the Prophet’s own teachings. He also cites th</w:t>
      </w:r>
      <w:r>
        <w:t xml:space="preserve">e verse (Q.4:165) discussed earlier, noting it </w:t>
      </w:r>
      <w:r>
        <w:rPr>
          <w:i/>
          <w:iCs/>
        </w:rPr>
        <w:t>explicitly says</w:t>
      </w:r>
      <w:r>
        <w:t xml:space="preserve"> people have no plea against God </w:t>
      </w:r>
      <w:r>
        <w:rPr>
          <w:b/>
          <w:bCs/>
        </w:rPr>
        <w:t>after the Messengers</w:t>
      </w:r>
      <w:r>
        <w:t xml:space="preserve"> have come</w:t>
      </w:r>
      <w:hyperlink r:id="rId85" w:anchor=":~:text=than%20letting%20the%20Qur%E2%80%99%C4%81n%20leading,us%20to%20the%20correct%20belief">
        <w:r>
          <w:rPr>
            <w:rStyle w:val="Hyperlink"/>
          </w:rPr>
          <w:t>[31]</w:t>
        </w:r>
      </w:hyperlink>
      <w:r>
        <w:t xml:space="preserve">. In his reasoning, </w:t>
      </w:r>
      <w:r>
        <w:rPr>
          <w:b/>
          <w:bCs/>
        </w:rPr>
        <w:t>the presence of an infallible Imam in every era, as Shiʿa claim, would in fact undermine the Prophet’s unique status</w:t>
      </w:r>
      <w:r>
        <w:t xml:space="preserve"> and the concept of completion </w:t>
      </w:r>
      <w:r>
        <w:lastRenderedPageBreak/>
        <w:t>of the Message. If an I</w:t>
      </w:r>
      <w:r>
        <w:t>mam were needed to explain the faith because the Qur’an was insufficiently clear, that would imply a deficiency in the transmission of religion – a premise Sunnis reject. Ghamidi thus finds the Shiʿi notion of continuous divine guidance through Imams not o</w:t>
      </w:r>
      <w:r>
        <w:t xml:space="preserve">nly unsupported by Qur’anic texts but also </w:t>
      </w:r>
      <w:r>
        <w:rPr>
          <w:i/>
          <w:iCs/>
        </w:rPr>
        <w:t>in tension with them</w:t>
      </w:r>
      <w:r>
        <w:t xml:space="preserve">. He states plainly: </w:t>
      </w:r>
      <w:r>
        <w:rPr>
          <w:i/>
          <w:iCs/>
        </w:rPr>
        <w:t>“We do not find it possible to hold someone ma‘sūm (infallible) [as a] source of religious knowledge [after the Prophet].”</w:t>
      </w:r>
      <w:hyperlink r:id="rId86" w:anchor=":~:text=of%20following%20fiqh,or%20recommend%20following%20this%20fiqh">
        <w:r>
          <w:rPr>
            <w:rStyle w:val="Hyperlink"/>
          </w:rPr>
          <w:t>[49]</w:t>
        </w:r>
      </w:hyperlink>
      <w:r>
        <w:t xml:space="preserve">. This statement is consistent with the classical Sunni stance: </w:t>
      </w:r>
      <w:r>
        <w:rPr>
          <w:b/>
          <w:bCs/>
        </w:rPr>
        <w:t>only prophets are di</w:t>
      </w:r>
      <w:r>
        <w:rPr>
          <w:b/>
          <w:bCs/>
        </w:rPr>
        <w:t>vinely protected from error in conveying religion</w:t>
      </w:r>
      <w:r>
        <w:t>. Everyone else – even the greatest Companions or the Prophet’s family – can err or disagree. Historical records show even the Shiʿi Imams (like Zayn al-ʿĀbidīn, Muhammad al-Bāqir, Jaʿfar al-</w:t>
      </w:r>
      <w:r>
        <w:t>Ṣ</w:t>
      </w:r>
      <w:r>
        <w:t>ādiq) never pub</w:t>
      </w:r>
      <w:r>
        <w:t xml:space="preserve">licly claimed infallibility for themselves; this attribute was asserted by later theologians. Sunni scholars like </w:t>
      </w:r>
      <w:r>
        <w:rPr>
          <w:b/>
          <w:bCs/>
        </w:rPr>
        <w:t>Ibn Taymiyyah</w:t>
      </w:r>
      <w:r>
        <w:t xml:space="preserve"> criticized the Shiʿi Imamate concept at length, pointing out that if the Imams were truly </w:t>
      </w:r>
      <w:r>
        <w:rPr>
          <w:i/>
          <w:iCs/>
        </w:rPr>
        <w:t>ma‘sūm</w:t>
      </w:r>
      <w:r>
        <w:t xml:space="preserve"> and meant to be followed unques</w:t>
      </w:r>
      <w:r>
        <w:t xml:space="preserve">tioningly, the Prophet would have instructed the Companions to do so – yet </w:t>
      </w:r>
      <w:r>
        <w:rPr>
          <w:b/>
          <w:bCs/>
        </w:rPr>
        <w:t>the Companions overwhelmingly followed Abū Bakr and ʿUmar’s leadership</w:t>
      </w:r>
      <w:r>
        <w:t>, which both Shiʿa and Sunni sources attest ʿAli cooperated with (serving as a judge/adviser in their caliphate</w:t>
      </w:r>
      <w:r>
        <w:t xml:space="preserve">s). Ghamidi similarly highlights that </w:t>
      </w:r>
      <w:r>
        <w:rPr>
          <w:b/>
          <w:bCs/>
        </w:rPr>
        <w:t>the first generation of Muslims did not practice the Shiʿi doctrine</w:t>
      </w:r>
      <w:r>
        <w:t xml:space="preserve">: when asked if one could simply follow Jaʿfarī (Shiʿi) fiqh, Ghamidi’s team responded that one technically may follow any school in practical law, </w:t>
      </w:r>
      <w:r>
        <w:rPr>
          <w:i/>
          <w:iCs/>
        </w:rPr>
        <w:t>“ye</w:t>
      </w:r>
      <w:r>
        <w:rPr>
          <w:i/>
          <w:iCs/>
        </w:rPr>
        <w:t>t we must appreciate the fact that fiqh-e-Jaʿfariyya is based on belief in Imamate which fundamentally differs from Sunni Islam. We do not find that belief (in infallible Imams) in conformity with basic Islamic beliefs.”</w:t>
      </w:r>
      <w:hyperlink r:id="rId87" w:anchor=":~:text=Thank%20you%20for%20writing%20to,In">
        <w:r>
          <w:rPr>
            <w:rStyle w:val="Hyperlink"/>
          </w:rPr>
          <w:t>[30]</w:t>
        </w:r>
      </w:hyperlink>
      <w:hyperlink r:id="rId88" w:anchor=":~:text=of%20following%20fiqh,or%20recommend%20following%20this%20fiqh">
        <w:r>
          <w:rPr>
            <w:rStyle w:val="Hyperlink"/>
          </w:rPr>
          <w:t>[49]</w:t>
        </w:r>
      </w:hyperlink>
      <w:r>
        <w:t xml:space="preserve">. Thus, Ghamidi cannot recommend following Shiʿi jurisprudence because it presupposes accepting the authority of Imams in a way that </w:t>
      </w:r>
      <w:r>
        <w:rPr>
          <w:b/>
          <w:bCs/>
        </w:rPr>
        <w:t>alters the epistemology of religion</w:t>
      </w:r>
      <w:r>
        <w:t xml:space="preserve"> (placing Imam’s word at par with Prophet’s, for example). </w:t>
      </w:r>
      <w:r>
        <w:t xml:space="preserve">In Sunni epistemology, </w:t>
      </w:r>
      <w:r>
        <w:rPr>
          <w:b/>
          <w:bCs/>
        </w:rPr>
        <w:t>the chain of authoritative knowledge stops at Prophet Muhammad (pbuh)</w:t>
      </w:r>
      <w:r>
        <w:t>, whose teachings are preserved by the community, not by a single lineage.</w:t>
      </w:r>
    </w:p>
    <w:p w:rsidR="00F06E50" w:rsidRDefault="00590880">
      <w:pPr>
        <w:pStyle w:val="BodyText"/>
      </w:pPr>
      <w:r>
        <w:t>An interesting contemporary angle Ghamidi brings is his rejection of the popular eschatol</w:t>
      </w:r>
      <w:r>
        <w:t xml:space="preserve">ogical belief in a </w:t>
      </w:r>
      <w:r>
        <w:rPr>
          <w:b/>
          <w:bCs/>
        </w:rPr>
        <w:t>coming Mahdī</w:t>
      </w:r>
      <w:r>
        <w:t xml:space="preserve"> (which in Shiʿism is the </w:t>
      </w:r>
      <w:r>
        <w:rPr>
          <w:i/>
          <w:iCs/>
        </w:rPr>
        <w:t>Hidden 12th Imam</w:t>
      </w:r>
      <w:r>
        <w:t xml:space="preserve"> and in Sunnism is a righteous renovator from the Prophet’s lineage). Ghamidi remarks, </w:t>
      </w:r>
      <w:r>
        <w:rPr>
          <w:i/>
          <w:iCs/>
        </w:rPr>
        <w:t>“There is no Imam Mahdi; [there is] no basis [for this] in the Qur’an or</w:t>
      </w:r>
      <w:r>
        <w:t xml:space="preserve"> </w:t>
      </w:r>
      <w:r>
        <w:rPr>
          <w:i/>
          <w:iCs/>
        </w:rPr>
        <w:t>Ṣ</w:t>
      </w:r>
      <w:r>
        <w:rPr>
          <w:i/>
          <w:iCs/>
        </w:rPr>
        <w:t>a</w:t>
      </w:r>
      <w:r>
        <w:rPr>
          <w:i/>
          <w:iCs/>
        </w:rPr>
        <w:t>ḥ</w:t>
      </w:r>
      <w:r>
        <w:rPr>
          <w:i/>
          <w:iCs/>
        </w:rPr>
        <w:t>ī</w:t>
      </w:r>
      <w:r>
        <w:rPr>
          <w:i/>
          <w:iCs/>
        </w:rPr>
        <w:t>ḥ</w:t>
      </w:r>
      <w:r>
        <w:t xml:space="preserve"> </w:t>
      </w:r>
      <w:r>
        <w:rPr>
          <w:i/>
          <w:iCs/>
        </w:rPr>
        <w:t>Hadith.”</w:t>
      </w:r>
      <w:hyperlink r:id="rId89" w:anchor=":~:text=match%20at%20L217%20According%20to,has%20no%20basis%20in%20Islam">
        <w:r>
          <w:rPr>
            <w:rStyle w:val="Hyperlink"/>
          </w:rPr>
          <w:t>[29]</w:t>
        </w:r>
      </w:hyperlink>
      <w:r>
        <w:t>. This is consistent with his overall approach – he only accepts beliefs that have strong</w:t>
      </w:r>
      <w:r>
        <w:t xml:space="preserve"> Qur’anic or indisputably authentic hadith support. The concept of </w:t>
      </w:r>
      <w:r>
        <w:rPr>
          <w:i/>
          <w:iCs/>
        </w:rPr>
        <w:t>Mahdi</w:t>
      </w:r>
      <w:r>
        <w:t xml:space="preserve"> in Sunni thought is derived from a handful of hadith (many of which scholars like Ibn Khaldun questioned for weakness). Ghamidi’s denial of the Mahdi idea thus also aligns with his pr</w:t>
      </w:r>
      <w:r>
        <w:t xml:space="preserve">inciple of not elevating speculative or lone-narration-based ideas to doctrine. In the Shiʿi context, of course, the </w:t>
      </w:r>
      <w:r>
        <w:rPr>
          <w:i/>
          <w:iCs/>
        </w:rPr>
        <w:t>Mahdi</w:t>
      </w:r>
      <w:r>
        <w:t xml:space="preserve"> is central (the 12th Imam in occultation), but Ghamidi’s comment underscores that from a Quran-centric view, one finds </w:t>
      </w:r>
      <w:r>
        <w:rPr>
          <w:b/>
          <w:bCs/>
        </w:rPr>
        <w:t xml:space="preserve">no mention of </w:t>
      </w:r>
      <w:r>
        <w:rPr>
          <w:b/>
          <w:bCs/>
        </w:rPr>
        <w:t>a hidden or future infallible savior</w:t>
      </w:r>
      <w:r>
        <w:t xml:space="preserve"> – implying that Muslims should focus on the guidance already fully given. Classical Sunni scholars such as </w:t>
      </w:r>
      <w:r>
        <w:rPr>
          <w:b/>
          <w:bCs/>
        </w:rPr>
        <w:t>Ibn Khaldūn</w:t>
      </w:r>
      <w:r>
        <w:t xml:space="preserve"> (14th century) similarly scrutinized </w:t>
      </w:r>
      <w:r>
        <w:rPr>
          <w:i/>
          <w:iCs/>
        </w:rPr>
        <w:t>Mahdī</w:t>
      </w:r>
      <w:r>
        <w:t xml:space="preserve"> narrations and found most of them wanting in authenticity</w:t>
      </w:r>
      <w:r>
        <w:t xml:space="preserve">, indicating that </w:t>
      </w:r>
      <w:r>
        <w:rPr>
          <w:b/>
          <w:bCs/>
        </w:rPr>
        <w:t>relying on such beliefs is precarious</w:t>
      </w:r>
      <w:r>
        <w:t xml:space="preserve"> in Sunni methodology.</w:t>
      </w:r>
    </w:p>
    <w:p w:rsidR="00F06E50" w:rsidRDefault="00590880">
      <w:pPr>
        <w:pStyle w:val="Heading2"/>
      </w:pPr>
      <w:bookmarkStart w:id="8" w:name="X0d8bc959d5d45457f1935f08141718c7d717dd2"/>
      <w:bookmarkEnd w:id="7"/>
      <w:r>
        <w:lastRenderedPageBreak/>
        <w:t>Reverence vs. Exaggeration: Sunni Warnings Against Sectarian Excess</w:t>
      </w:r>
    </w:p>
    <w:p w:rsidR="00F06E50" w:rsidRDefault="00590880">
      <w:pPr>
        <w:pStyle w:val="FirstParagraph"/>
      </w:pPr>
      <w:r>
        <w:t>While Ghamidi’s talk is primarily a rebuttal of Shiʿi theological claims, it is delivered in a tone that disco</w:t>
      </w:r>
      <w:r>
        <w:t>urages hate and emphasizes principle over polemics. He demonstrates respect towards “our Shia brothers” even as he disagrees</w:t>
      </w:r>
      <w:hyperlink r:id="rId90" w:anchor=":~:text=,You%20can%20find%20it%20here">
        <w:r>
          <w:rPr>
            <w:rStyle w:val="Hyperlink"/>
          </w:rPr>
          <w:t>[50]</w:t>
        </w:r>
      </w:hyperlink>
      <w:r>
        <w:t xml:space="preserve">. A significant theme he touches on is </w:t>
      </w:r>
      <w:r>
        <w:rPr>
          <w:b/>
          <w:bCs/>
        </w:rPr>
        <w:t>the avoidance of ghuluww (extremism/exaggeration) in religion</w:t>
      </w:r>
      <w:r>
        <w:t>, something both the Qur’an and Hadith warn against. In this context, Ghamidi criticizes certain Shiʿi practices or slogans that, from a Sunni stan</w:t>
      </w:r>
      <w:r>
        <w:t xml:space="preserve">dpoint, </w:t>
      </w:r>
      <w:r>
        <w:rPr>
          <w:b/>
          <w:bCs/>
        </w:rPr>
        <w:t>breach the bounds of monotheism or proper reverence</w:t>
      </w:r>
      <w:r>
        <w:t xml:space="preserve">. For example, many Shiʿi communities commonly use the phrase </w:t>
      </w:r>
      <w:r>
        <w:rPr>
          <w:i/>
          <w:iCs/>
        </w:rPr>
        <w:t>“Yā ʿAlī Madad”</w:t>
      </w:r>
      <w:r>
        <w:t xml:space="preserve"> (O Ali, help us) as a form of seeking intercession from Imam ʿAli. Ghamidi bluntly condemns this, saying in Urdu: </w:t>
      </w:r>
      <w:r>
        <w:rPr>
          <w:i/>
          <w:iCs/>
        </w:rPr>
        <w:t xml:space="preserve">“‘Yā </w:t>
      </w:r>
      <w:r>
        <w:rPr>
          <w:i/>
          <w:iCs/>
        </w:rPr>
        <w:t>ʿ</w:t>
      </w:r>
      <w:r>
        <w:rPr>
          <w:i/>
          <w:iCs/>
        </w:rPr>
        <w:t>Alī madad’ kehna</w:t>
      </w:r>
      <w:r>
        <w:t xml:space="preserve"> </w:t>
      </w:r>
      <w:r>
        <w:rPr>
          <w:i/>
          <w:iCs/>
        </w:rPr>
        <w:t>shirk hai</w:t>
      </w:r>
      <w:r>
        <w:t xml:space="preserve"> </w:t>
      </w:r>
      <w:r>
        <w:rPr>
          <w:i/>
          <w:iCs/>
        </w:rPr>
        <w:t>aur aik</w:t>
      </w:r>
      <w:r>
        <w:t xml:space="preserve"> </w:t>
      </w:r>
      <w:r>
        <w:rPr>
          <w:i/>
          <w:iCs/>
        </w:rPr>
        <w:t>ahmaqāna</w:t>
      </w:r>
      <w:r>
        <w:t xml:space="preserve"> </w:t>
      </w:r>
      <w:r>
        <w:rPr>
          <w:i/>
          <w:iCs/>
        </w:rPr>
        <w:t>bāat hai”</w:t>
      </w:r>
      <w:r>
        <w:t xml:space="preserve"> – translated: </w:t>
      </w:r>
      <w:r>
        <w:rPr>
          <w:i/>
          <w:iCs/>
        </w:rPr>
        <w:t>“Saying ‘O Ali help [me]’ is an act of polytheism and a foolish thing to say.”</w:t>
      </w:r>
      <w:hyperlink r:id="rId91" w:anchor=":~:text=According%20to%20Ghamidi%2C%20those%20who,mushrik%29%20and%20fools">
        <w:r>
          <w:rPr>
            <w:rStyle w:val="Hyperlink"/>
          </w:rPr>
          <w:t>[51]</w:t>
        </w:r>
      </w:hyperlink>
      <w:r>
        <w:t xml:space="preserve">. This strong statement is rooted in the fundamental Islamic doctrine of </w:t>
      </w:r>
      <w:r>
        <w:rPr>
          <w:b/>
          <w:bCs/>
        </w:rPr>
        <w:t>taw</w:t>
      </w:r>
      <w:r>
        <w:rPr>
          <w:b/>
          <w:bCs/>
        </w:rPr>
        <w:t>ḥ</w:t>
      </w:r>
      <w:r>
        <w:rPr>
          <w:b/>
          <w:bCs/>
        </w:rPr>
        <w:t>īd</w:t>
      </w:r>
      <w:r>
        <w:t xml:space="preserve"> (pure monotheism): </w:t>
      </w:r>
      <w:r>
        <w:rPr>
          <w:b/>
          <w:bCs/>
        </w:rPr>
        <w:t>supplication and seeking aid (duʿā)</w:t>
      </w:r>
      <w:r>
        <w:t xml:space="preserve"> </w:t>
      </w:r>
      <w:r>
        <w:t>are acts of worship that must be directed to God alone. From the Sunni perspective (especially one influenced by Qur’anic literalism and perhaps even a Salafi-like emphasis on pure monotheism which Ghamidi often shares), calling upon any creature – however</w:t>
      </w:r>
      <w:r>
        <w:t xml:space="preserve"> revered, even the Prophet or his saintly family – as if they can independently help, is tantamount to shirk. Ghamidi further explains that </w:t>
      </w:r>
      <w:r>
        <w:rPr>
          <w:i/>
          <w:iCs/>
        </w:rPr>
        <w:t>such a phrase “has no basis in the Qur’an or Hadith” and that Allah and His Messenger have</w:t>
      </w:r>
      <w:r>
        <w:t xml:space="preserve"> </w:t>
      </w:r>
      <w:r>
        <w:rPr>
          <w:i/>
          <w:iCs/>
        </w:rPr>
        <w:t>forbidden</w:t>
      </w:r>
      <w:r>
        <w:t xml:space="preserve"> </w:t>
      </w:r>
      <w:r>
        <w:rPr>
          <w:i/>
          <w:iCs/>
        </w:rPr>
        <w:t>this kind of pr</w:t>
      </w:r>
      <w:r>
        <w:rPr>
          <w:i/>
          <w:iCs/>
        </w:rPr>
        <w:t>actice</w:t>
      </w:r>
      <w:hyperlink r:id="rId92" w:anchor=":~:text=%E2%80%9CYa%20Ali%20Madad%20kehna%20Shirk,aur%20aik%20ahmaqana%20baat%20hai%E2%80%9D">
        <w:r>
          <w:rPr>
            <w:rStyle w:val="Hyperlink"/>
          </w:rPr>
          <w:t>[52]</w:t>
        </w:r>
      </w:hyperlink>
      <w:r>
        <w:t xml:space="preserve">. Classical Sunni scholars, including the likes of </w:t>
      </w:r>
      <w:r>
        <w:rPr>
          <w:b/>
          <w:bCs/>
        </w:rPr>
        <w:t>Ibn</w:t>
      </w:r>
      <w:r>
        <w:rPr>
          <w:b/>
          <w:bCs/>
        </w:rPr>
        <w:t xml:space="preserve"> Taymiyyah and Ibn ʿAbd al-Wahhāb</w:t>
      </w:r>
      <w:r>
        <w:t xml:space="preserve">, have similarly censured invoking anyone besides Allah. While mainstream Sunnism allows asking God </w:t>
      </w:r>
      <w:r>
        <w:rPr>
          <w:i/>
          <w:iCs/>
        </w:rPr>
        <w:t>by the honor of</w:t>
      </w:r>
      <w:r>
        <w:t xml:space="preserve"> someone (tawassul) or sending blessings on the Prophet, the </w:t>
      </w:r>
      <w:r>
        <w:rPr>
          <w:b/>
          <w:bCs/>
        </w:rPr>
        <w:t>direct invocation</w:t>
      </w:r>
      <w:r>
        <w:t xml:space="preserve"> “Yā Rasūlallāh” or “Yā ʿAli” </w:t>
      </w:r>
      <w:r>
        <w:t xml:space="preserve">is generally frowned upon at best, and outright condemned by purists. Ghamidi clearly takes the stricter stance here – aligning with the scriptural evidence such as Qur’an 1:5 (“You alone we worship and You alone </w:t>
      </w:r>
      <w:r>
        <w:rPr>
          <w:b/>
          <w:bCs/>
        </w:rPr>
        <w:t>we ask for help</w:t>
      </w:r>
      <w:r>
        <w:t>”) and the Prophet’s teachin</w:t>
      </w:r>
      <w:r>
        <w:t xml:space="preserve">g that </w:t>
      </w:r>
      <w:r>
        <w:rPr>
          <w:i/>
          <w:iCs/>
        </w:rPr>
        <w:t>“duʿā is the essence of worship”</w:t>
      </w:r>
      <w:r>
        <w:t xml:space="preserve"> (meaning it should only be for Allah). He likely mentions this to illustrate how some popular Shiʿi devotion, in exalting ʿAli or other Imams, can slip into </w:t>
      </w:r>
      <w:r>
        <w:rPr>
          <w:b/>
          <w:bCs/>
        </w:rPr>
        <w:t>un-Islamic territory</w:t>
      </w:r>
      <w:r>
        <w:t xml:space="preserve"> by Sunni standards. It’s a caution tha</w:t>
      </w:r>
      <w:r>
        <w:t xml:space="preserve">t </w:t>
      </w:r>
      <w:r>
        <w:rPr>
          <w:i/>
          <w:iCs/>
        </w:rPr>
        <w:t>veneration</w:t>
      </w:r>
      <w:r>
        <w:t xml:space="preserve"> should not cross into </w:t>
      </w:r>
      <w:r>
        <w:rPr>
          <w:i/>
          <w:iCs/>
        </w:rPr>
        <w:t>deification</w:t>
      </w:r>
      <w:r>
        <w:t xml:space="preserve">. Notably, Ghamidi isn’t alone in this concern – even moderate Sunni voices often express discomfort with practices like </w:t>
      </w:r>
      <w:r>
        <w:rPr>
          <w:b/>
          <w:bCs/>
        </w:rPr>
        <w:t xml:space="preserve">calling on imams, visiting shrines with undue reverence, or the slogan “Labbayk Yā </w:t>
      </w:r>
      <w:r>
        <w:rPr>
          <w:b/>
          <w:bCs/>
        </w:rPr>
        <w:t>Ḥ</w:t>
      </w:r>
      <w:r>
        <w:rPr>
          <w:b/>
          <w:bCs/>
        </w:rPr>
        <w:t>usayn</w:t>
      </w:r>
      <w:r>
        <w:rPr>
          <w:b/>
          <w:bCs/>
        </w:rPr>
        <w:t>”</w:t>
      </w:r>
      <w:r>
        <w:t xml:space="preserve"> chanted by some in Muharram processions. Sunni theologians argue that these blur the line between respect for the righteous and acts of worship reserved for God. Ghamidi’s phrasing (“a foolish thing”) underscores that, in his view, such invocations do no</w:t>
      </w:r>
      <w:r>
        <w:t>t actually elevate ʿAli’s status but rather represent a lapse in correct creed by the petitioner.</w:t>
      </w:r>
    </w:p>
    <w:p w:rsidR="00F06E50" w:rsidRDefault="00590880">
      <w:pPr>
        <w:pStyle w:val="BodyText"/>
      </w:pPr>
      <w:r>
        <w:t xml:space="preserve">On the flip side, Ghamidi also addresses Shiʿi </w:t>
      </w:r>
      <w:r>
        <w:rPr>
          <w:b/>
          <w:bCs/>
        </w:rPr>
        <w:t>disrespect towards certain Companions and wives</w:t>
      </w:r>
      <w:r>
        <w:t xml:space="preserve"> of the Prophet, which Sunnis consider beyond the pale. He empha</w:t>
      </w:r>
      <w:r>
        <w:t xml:space="preserve">sizes that </w:t>
      </w:r>
      <w:r>
        <w:rPr>
          <w:b/>
          <w:bCs/>
        </w:rPr>
        <w:t>all Companions (</w:t>
      </w:r>
      <w:r>
        <w:rPr>
          <w:b/>
          <w:bCs/>
        </w:rPr>
        <w:t>Ṣ</w:t>
      </w:r>
      <w:r>
        <w:rPr>
          <w:b/>
          <w:bCs/>
        </w:rPr>
        <w:t>a</w:t>
      </w:r>
      <w:r>
        <w:rPr>
          <w:b/>
          <w:bCs/>
        </w:rPr>
        <w:t>ḥ</w:t>
      </w:r>
      <w:r>
        <w:rPr>
          <w:b/>
          <w:bCs/>
        </w:rPr>
        <w:t>ābah)</w:t>
      </w:r>
      <w:r>
        <w:t xml:space="preserve"> – including the first three caliphs (Abū Bakr, ʿUmar, ʿUthmān) and the Prophet’s wives like </w:t>
      </w:r>
      <w:r>
        <w:rPr>
          <w:b/>
          <w:bCs/>
        </w:rPr>
        <w:t>ʿĀ’</w:t>
      </w:r>
      <w:r>
        <w:rPr>
          <w:b/>
          <w:bCs/>
        </w:rPr>
        <w:t>isha</w:t>
      </w:r>
      <w:r>
        <w:t xml:space="preserve"> – deserve honor and the benefit of the doubt in matters of historical dispute. Sunnis view the </w:t>
      </w:r>
      <w:r>
        <w:rPr>
          <w:b/>
          <w:bCs/>
        </w:rPr>
        <w:t>Prophet’s wives as “Mothe</w:t>
      </w:r>
      <w:r>
        <w:rPr>
          <w:b/>
          <w:bCs/>
        </w:rPr>
        <w:t>rs of the Believers”</w:t>
      </w:r>
      <w:r>
        <w:t xml:space="preserve"> (a title given by the Qur’an in 33:6) and any denigration of </w:t>
      </w:r>
      <w:r>
        <w:lastRenderedPageBreak/>
        <w:t xml:space="preserve">them is seen as an insult to the Prophet himself. Ghamidi is likely to have reiterated the Sunni stance that </w:t>
      </w:r>
      <w:r>
        <w:rPr>
          <w:i/>
          <w:iCs/>
        </w:rPr>
        <w:t>Sayyidah ʿĀ’isha</w:t>
      </w:r>
      <w:r>
        <w:t xml:space="preserve"> (r.a.) and others were pious ladies, and </w:t>
      </w:r>
      <w:r>
        <w:rPr>
          <w:b/>
          <w:bCs/>
        </w:rPr>
        <w:t>accusat</w:t>
      </w:r>
      <w:r>
        <w:rPr>
          <w:b/>
          <w:bCs/>
        </w:rPr>
        <w:t>ions against them or hatred harbored due to political stances (like ʿĀ’isha’s involvement in the Battle of the Camel against ʿAli)</w:t>
      </w:r>
      <w:r>
        <w:t xml:space="preserve"> should be set aside. He reminds that Allah in the Qur’an attested to the purity of ʿĀ’isha in the incident of Ifk (slander, s</w:t>
      </w:r>
      <w:r>
        <w:t xml:space="preserve">ee Q.24:11-26) and </w:t>
      </w:r>
      <w:r>
        <w:rPr>
          <w:b/>
          <w:bCs/>
        </w:rPr>
        <w:t>commended the Prophet’s wives</w:t>
      </w:r>
      <w:r>
        <w:t xml:space="preserve"> and Companions in numerous verses</w:t>
      </w:r>
      <w:hyperlink r:id="rId93" w:anchor=":~:text=%D9%84%D9%8E%D9%82%D9%8E%D8%AF%D9%92%20%D8%AA%D9%8E%D8%A7%D8%A8%D9%8E%20%D8%A7%D9%84%D9%84%D9%91%D9%B0%D9%87%D9%8F%20%D8%B9%D9%8E%D9%84%D9%8E%D9%89%20%D8%A7%D9%84%D9%86%D9%91%D9%8E%D8%A8%D9%90%D9%8A%D9%91%D9%90,%D8%B9%D9%8E%D9%84%D9%8E%D9%8A%D9%92">
        <w:r>
          <w:rPr>
            <w:rStyle w:val="Hyperlink"/>
          </w:rPr>
          <w:t>[44]</w:t>
        </w:r>
      </w:hyperlink>
      <w:hyperlink r:id="rId94" w:anchor=":~:text=Allah%20subhanahu%20wa%20ta%20%E2%80%98ala,participants%20of%20the%20Hudaybiyyah%20campaign">
        <w:r>
          <w:rPr>
            <w:rStyle w:val="Hyperlink"/>
          </w:rPr>
          <w:t>[45]</w:t>
        </w:r>
      </w:hyperlink>
      <w:r>
        <w:t xml:space="preserve">. Ghamidi’s measured view is that these early personalities are </w:t>
      </w:r>
      <w:r>
        <w:rPr>
          <w:i/>
          <w:iCs/>
        </w:rPr>
        <w:t>no longer alive for us to “follow” or “please”</w:t>
      </w:r>
      <w:r>
        <w:t xml:space="preserve"> – rather, </w:t>
      </w:r>
      <w:r>
        <w:rPr>
          <w:i/>
          <w:iCs/>
        </w:rPr>
        <w:t>“as a Muslim you should not seek to pleas</w:t>
      </w:r>
      <w:r>
        <w:rPr>
          <w:i/>
          <w:iCs/>
        </w:rPr>
        <w:t>e any of the Sahabah or any human being; you only need to please your Lord”</w:t>
      </w:r>
      <w:hyperlink r:id="rId95" w:anchor=":~:text=3,to%20deny">
        <w:r>
          <w:rPr>
            <w:rStyle w:val="Hyperlink"/>
          </w:rPr>
          <w:t>[53]</w:t>
        </w:r>
      </w:hyperlink>
      <w:r>
        <w:t xml:space="preserve">. This perspective discourages both the Shiʿi tendency to </w:t>
      </w:r>
      <w:r>
        <w:t xml:space="preserve">elevate and </w:t>
      </w:r>
      <w:r>
        <w:rPr>
          <w:i/>
          <w:iCs/>
        </w:rPr>
        <w:t>“follow”</w:t>
      </w:r>
      <w:r>
        <w:t xml:space="preserve"> imams in all matters, and the extreme Sunni folk tendency to obsess over defending every action of every Companion. Instead, </w:t>
      </w:r>
      <w:r>
        <w:rPr>
          <w:b/>
          <w:bCs/>
        </w:rPr>
        <w:t xml:space="preserve">the focus should be on following the Qur’an and Sunnah that </w:t>
      </w:r>
      <w:r>
        <w:rPr>
          <w:b/>
          <w:bCs/>
          <w:i/>
          <w:iCs/>
        </w:rPr>
        <w:t>all</w:t>
      </w:r>
      <w:r>
        <w:rPr>
          <w:b/>
          <w:bCs/>
        </w:rPr>
        <w:t xml:space="preserve"> the Companions collectively transmitted</w:t>
      </w:r>
      <w:hyperlink r:id="rId96" w:anchor=":~:text=2,written%20by%20any%20of%20them">
        <w:r>
          <w:rPr>
            <w:rStyle w:val="Hyperlink"/>
          </w:rPr>
          <w:t>[54]</w:t>
        </w:r>
      </w:hyperlink>
      <w:r>
        <w:t xml:space="preserve">. In Ghamidi’s words, </w:t>
      </w:r>
      <w:r>
        <w:rPr>
          <w:i/>
          <w:iCs/>
        </w:rPr>
        <w:t>“as a Muslim you should not follow any of the Sahabah (companions) [individually]; you need to fo</w:t>
      </w:r>
      <w:r>
        <w:rPr>
          <w:i/>
          <w:iCs/>
        </w:rPr>
        <w:t>llow the Qur’an and the Sunnah, on which all the Sahabah agree.”</w:t>
      </w:r>
      <w:hyperlink r:id="rId97" w:anchor=":~:text=2,written%20by%20any%20of%20them">
        <w:r>
          <w:rPr>
            <w:rStyle w:val="Hyperlink"/>
          </w:rPr>
          <w:t>[54]</w:t>
        </w:r>
      </w:hyperlink>
      <w:r>
        <w:t>. Thus, he refocuses the discourse from personal</w:t>
      </w:r>
      <w:r>
        <w:t>ities to principles.</w:t>
      </w:r>
    </w:p>
    <w:p w:rsidR="00F06E50" w:rsidRDefault="00590880">
      <w:pPr>
        <w:pStyle w:val="BodyText"/>
      </w:pPr>
      <w:r>
        <w:t xml:space="preserve">When it comes to tragic events like </w:t>
      </w:r>
      <w:r>
        <w:rPr>
          <w:b/>
          <w:bCs/>
        </w:rPr>
        <w:t>Karbala</w:t>
      </w:r>
      <w:r>
        <w:t xml:space="preserve"> – where Imam </w:t>
      </w:r>
      <w:r>
        <w:t>Ḥ</w:t>
      </w:r>
      <w:r>
        <w:t xml:space="preserve">usayn (the Prophet’s grandson) was killed by the forces of Yazīd – Ghamidi adopts a tone that is factual yet non-sectarian. He unequivocally acknowledges that </w:t>
      </w:r>
      <w:r>
        <w:rPr>
          <w:i/>
          <w:iCs/>
        </w:rPr>
        <w:t>“</w:t>
      </w:r>
      <w:r>
        <w:rPr>
          <w:i/>
          <w:iCs/>
        </w:rPr>
        <w:t>Ḥ</w:t>
      </w:r>
      <w:r>
        <w:rPr>
          <w:i/>
          <w:iCs/>
        </w:rPr>
        <w:t>usayn (rta), a b</w:t>
      </w:r>
      <w:r>
        <w:rPr>
          <w:i/>
          <w:iCs/>
        </w:rPr>
        <w:t>eloved member of the Prophet’s household, did not deserve to be murdered”</w:t>
      </w:r>
      <w:hyperlink r:id="rId98" w:anchor=":~:text=This%20however%20is%20not%20the,be%20a%20matter%20of%20opinion">
        <w:r>
          <w:rPr>
            <w:rStyle w:val="Hyperlink"/>
          </w:rPr>
          <w:t>[55]</w:t>
        </w:r>
      </w:hyperlink>
      <w:r>
        <w:t xml:space="preserve"> – a poin</w:t>
      </w:r>
      <w:r>
        <w:t>t no Muslim disagrees on. However, he does not cast the situation in stark cosmic terms of absolute good (</w:t>
      </w:r>
      <w:r>
        <w:t>Ḥ</w:t>
      </w:r>
      <w:r>
        <w:t xml:space="preserve">usayn) versus absolute evil (all who opposed him) as Shiʿi narratives do. Instead, Ghamidi views it as a historical </w:t>
      </w:r>
      <w:r>
        <w:rPr>
          <w:i/>
          <w:iCs/>
        </w:rPr>
        <w:t>ijtihād</w:t>
      </w:r>
      <w:r>
        <w:t xml:space="preserve"> conflict: </w:t>
      </w:r>
      <w:r>
        <w:t>Ḥ</w:t>
      </w:r>
      <w:r>
        <w:t>usayn stood ag</w:t>
      </w:r>
      <w:r>
        <w:t xml:space="preserve">ainst what he saw as unjust rule, while others around him in the Ummah chose differently; ultimately, </w:t>
      </w:r>
      <w:r>
        <w:rPr>
          <w:b/>
          <w:bCs/>
        </w:rPr>
        <w:t>God will judge the correctness of each party’s stance</w:t>
      </w:r>
      <w:r>
        <w:t xml:space="preserve">. Ghamidi even notes that whether </w:t>
      </w:r>
      <w:r>
        <w:t>Ḥ</w:t>
      </w:r>
      <w:r>
        <w:t>usayn’s decision to rise up was the wisest is a matter of opinion, as is the extent of Yazīd’s culpability – such judgments are speculative after the fact</w:t>
      </w:r>
      <w:hyperlink r:id="rId99" w:anchor=":~:text=This%20however%20is%20not%20the,be%20a%20matter%20of%20opinion">
        <w:r>
          <w:rPr>
            <w:rStyle w:val="Hyperlink"/>
          </w:rPr>
          <w:t>[55]</w:t>
        </w:r>
      </w:hyperlink>
      <w:r>
        <w:t>. This nuanced approach has led some to accuse Ghamidi of downplaying the moral clarity of Karbala, but his intention is to avoid the sectarian narra</w:t>
      </w:r>
      <w:r>
        <w:t xml:space="preserve">tive that turns religious observance into mourning rituals or perpetual political vendetta. In his lecture, he likely warns that focusing too much on </w:t>
      </w:r>
      <w:r>
        <w:rPr>
          <w:b/>
          <w:bCs/>
        </w:rPr>
        <w:t>“who was right, who was wrong”</w:t>
      </w:r>
      <w:r>
        <w:t xml:space="preserve"> in 7th-century internecine struggles can distract from one’s own religious </w:t>
      </w:r>
      <w:r>
        <w:t>duties today</w:t>
      </w:r>
      <w:hyperlink r:id="rId100" w:anchor=":~:text=%E2%80%9CI%20am%20totally%20confused%20about,%E2%80%9D">
        <w:r>
          <w:rPr>
            <w:rStyle w:val="Hyperlink"/>
          </w:rPr>
          <w:t>[56]</w:t>
        </w:r>
      </w:hyperlink>
      <w:hyperlink r:id="rId101" w:anchor=":~:text=Like%20every%20other%20interested%20Muslim%2C,that%20it%20might%20not%20be">
        <w:r>
          <w:rPr>
            <w:rStyle w:val="Hyperlink"/>
          </w:rPr>
          <w:t>[57]</w:t>
        </w:r>
      </w:hyperlink>
      <w:r>
        <w:t xml:space="preserve">. He stresses that </w:t>
      </w:r>
      <w:r>
        <w:rPr>
          <w:i/>
          <w:iCs/>
        </w:rPr>
        <w:t>condemning or idealizing historical figures beyond what evidence clearly allows can lead to injustice or bias</w:t>
      </w:r>
      <w:hyperlink r:id="rId102" w:anchor=":~:text=Let%E2%80%99s%20assume%20that%20based%20on,B%20is%20with%20the%20truth">
        <w:r>
          <w:rPr>
            <w:rStyle w:val="Hyperlink"/>
          </w:rPr>
          <w:t>[43]</w:t>
        </w:r>
      </w:hyperlink>
      <w:hyperlink r:id="rId103" w:anchor=":~:text=after%201400%20years%20has%20come,a%20good%20example%20of%20this">
        <w:r>
          <w:rPr>
            <w:rStyle w:val="Hyperlink"/>
          </w:rPr>
          <w:t>[58]</w:t>
        </w:r>
      </w:hyperlink>
      <w:r>
        <w:t xml:space="preserve">. For Ghamidi, the </w:t>
      </w:r>
      <w:r>
        <w:rPr>
          <w:i/>
          <w:iCs/>
        </w:rPr>
        <w:t>lesson</w:t>
      </w:r>
      <w:r>
        <w:t xml:space="preserve"> of events like Saqīfa, Jamal, </w:t>
      </w:r>
      <w:r>
        <w:t>Ṣ</w:t>
      </w:r>
      <w:r>
        <w:t xml:space="preserve">iffīn, and Karbalā is not to stoke sectarian fires, but to understand human fallibility and the dangers of political </w:t>
      </w:r>
      <w:r>
        <w:t xml:space="preserve">power struggles among even the best generation. Indeed, he often highlights that </w:t>
      </w:r>
      <w:r>
        <w:rPr>
          <w:b/>
          <w:bCs/>
        </w:rPr>
        <w:t>no Muslim is obligated to take sides in those past disputes</w:t>
      </w:r>
      <w:r>
        <w:t>, beyond honoring all and learning general principles of justice and patience</w:t>
      </w:r>
      <w:hyperlink r:id="rId104" w:anchor=":~:text=I%20am%20going%20to%20answer,versus%20Mu%E2%80%99%C4%81wiah%20and%20Yaz%C4%ABd">
        <w:r>
          <w:rPr>
            <w:rStyle w:val="Hyperlink"/>
          </w:rPr>
          <w:t>[42]</w:t>
        </w:r>
      </w:hyperlink>
      <w:hyperlink r:id="rId105" w:anchor=":~:text=Please%20note%20that%20I%20am,influence%20the%20flow%20of%20events">
        <w:r>
          <w:rPr>
            <w:rStyle w:val="Hyperlink"/>
          </w:rPr>
          <w:t>[59]</w:t>
        </w:r>
      </w:hyperlink>
      <w:r>
        <w:t>.</w:t>
      </w:r>
    </w:p>
    <w:p w:rsidR="00F06E50" w:rsidRDefault="00590880">
      <w:pPr>
        <w:pStyle w:val="BodyText"/>
      </w:pPr>
      <w:r>
        <w:t xml:space="preserve">In summary, Ghamidi’s critique of Shiʿi positions is firm but academically framed. He </w:t>
      </w:r>
      <w:r>
        <w:rPr>
          <w:b/>
          <w:bCs/>
        </w:rPr>
        <w:t>upholds Sunni orthodoxy</w:t>
      </w:r>
      <w:r>
        <w:t xml:space="preserve">: the Qur’an and Sunnah are the sole anchors of religion; the Prophet’s </w:t>
      </w:r>
      <w:r>
        <w:t xml:space="preserve">family is to be loved but not worshipped or made into an alternate magisterium; and the Prophet’s Companions, including his wives and the first caliphs, are to be respected and assumed righteous unless proven otherwise by the Qur’an or sound Hadith (which </w:t>
      </w:r>
      <w:r>
        <w:t xml:space="preserve">in Sunni view, nothing proves otherwise – rather, their virtue is </w:t>
      </w:r>
      <w:r>
        <w:lastRenderedPageBreak/>
        <w:t>established by scriptural texts</w:t>
      </w:r>
      <w:hyperlink r:id="rId106" w:anchor=":~:text=%D9%84%D9%8E%D9%82%D9%8E%D8%AF%D9%92%20%D8%AA%D9%8E%D8%A7%D8%A8%D9%8E%20%D8%A7%D9%84%D9%84%D9%91%D9%B0%D9%87%D9%8F%20%D8%B9%D9%8E%D9%84%D9%8E%D9%89%20%D8%A7%D9%84%D9%86%D9%91%D9%8E%D8%A8%D9%90%D9%8A%D9%91%D9%90,%D8%B9%D9%8E%D9%84%D9%8E%D9%8A%D9%92">
        <w:r>
          <w:rPr>
            <w:rStyle w:val="Hyperlink"/>
          </w:rPr>
          <w:t>[44]</w:t>
        </w:r>
      </w:hyperlink>
      <w:hyperlink r:id="rId107" w:anchor=":~:text=Allah%20subhanahu%20wa%20ta%20%E2%80%98ala,participants%20of%20the%20Hudaybiyyah%20campaign">
        <w:r>
          <w:rPr>
            <w:rStyle w:val="Hyperlink"/>
          </w:rPr>
          <w:t>[45]</w:t>
        </w:r>
      </w:hyperlink>
      <w:r>
        <w:t xml:space="preserve">). Other Sunni scholars, past and present, echo these arguments. For instance, </w:t>
      </w:r>
      <w:r>
        <w:rPr>
          <w:b/>
          <w:bCs/>
        </w:rPr>
        <w:t>Imām al-Ghazālī</w:t>
      </w:r>
      <w:r>
        <w:t xml:space="preserve"> in </w:t>
      </w:r>
      <w:r>
        <w:rPr>
          <w:i/>
          <w:iCs/>
        </w:rPr>
        <w:t>Fay</w:t>
      </w:r>
      <w:r>
        <w:rPr>
          <w:i/>
          <w:iCs/>
        </w:rPr>
        <w:t>ṣ</w:t>
      </w:r>
      <w:r>
        <w:rPr>
          <w:i/>
          <w:iCs/>
        </w:rPr>
        <w:t>al al-Tafriqa</w:t>
      </w:r>
      <w:r>
        <w:t xml:space="preserve"> warned against calling any Comp</w:t>
      </w:r>
      <w:r>
        <w:t xml:space="preserve">anion an unbeliever and stressed giving them benefit of doubt. </w:t>
      </w:r>
      <w:r>
        <w:rPr>
          <w:b/>
          <w:bCs/>
        </w:rPr>
        <w:t>Qā</w:t>
      </w:r>
      <w:r>
        <w:rPr>
          <w:b/>
          <w:bCs/>
        </w:rPr>
        <w:t>ḍ</w:t>
      </w:r>
      <w:r>
        <w:rPr>
          <w:b/>
          <w:bCs/>
        </w:rPr>
        <w:t>ī ʿIyā</w:t>
      </w:r>
      <w:r>
        <w:rPr>
          <w:b/>
          <w:bCs/>
        </w:rPr>
        <w:t>ḍ</w:t>
      </w:r>
      <w:r>
        <w:t xml:space="preserve"> (12th century) in </w:t>
      </w:r>
      <w:r>
        <w:rPr>
          <w:i/>
          <w:iCs/>
        </w:rPr>
        <w:t>al-Shifā</w:t>
      </w:r>
      <w:r>
        <w:t xml:space="preserve"> wrote that loving the Prophet’s family and companions is part of faith, but one must “keep tongues pure” from the disputes between them. </w:t>
      </w:r>
      <w:r>
        <w:rPr>
          <w:b/>
          <w:bCs/>
        </w:rPr>
        <w:t>Ibn Taymiyyah</w:t>
      </w:r>
      <w:r>
        <w:t xml:space="preserve"> (14t</w:t>
      </w:r>
      <w:r>
        <w:t>h century) wrote an entire refutation (</w:t>
      </w:r>
      <w:r>
        <w:rPr>
          <w:i/>
          <w:iCs/>
        </w:rPr>
        <w:t>Minhāj al-Sunnah</w:t>
      </w:r>
      <w:r>
        <w:t>) of the Shiʿi theologian Ibn al-Mu</w:t>
      </w:r>
      <w:r>
        <w:t>ṭ</w:t>
      </w:r>
      <w:r>
        <w:t>ahhar al-</w:t>
      </w:r>
      <w:r>
        <w:t>Ḥ</w:t>
      </w:r>
      <w:r>
        <w:t>illī, systematically countering claims about ʿAli’s supposed appointment and the alleged failings of other Companions. He used many of the same evidences G</w:t>
      </w:r>
      <w:r>
        <w:t xml:space="preserve">hamidi cites: the consensus at Saqīfa, ʿAli’s cooperation with the caliphs, the multiple meanings of </w:t>
      </w:r>
      <w:r>
        <w:rPr>
          <w:i/>
          <w:iCs/>
        </w:rPr>
        <w:t>mawlā</w:t>
      </w:r>
      <w:r>
        <w:t xml:space="preserve">, and the Quranic praise of the early Muslims. In more recent times, scholars like </w:t>
      </w:r>
      <w:r>
        <w:rPr>
          <w:b/>
          <w:bCs/>
        </w:rPr>
        <w:t>Mufti Taqi Usmani</w:t>
      </w:r>
      <w:r>
        <w:t xml:space="preserve"> or </w:t>
      </w:r>
      <w:r>
        <w:rPr>
          <w:b/>
          <w:bCs/>
        </w:rPr>
        <w:t>Shaikh Muhammad Shaltut</w:t>
      </w:r>
      <w:r>
        <w:t xml:space="preserve"> (of Azhar) have simila</w:t>
      </w:r>
      <w:r>
        <w:t xml:space="preserve">rly pointed out that </w:t>
      </w:r>
      <w:r>
        <w:rPr>
          <w:i/>
          <w:iCs/>
        </w:rPr>
        <w:t>Imamate as conceived by the Shiʿa has neither unequivocal Quranic verse nor mutawātir hadith to support it</w:t>
      </w:r>
      <w:r>
        <w:t>, whereas the concept of shūrā and ijtihād by the community has strong support. They also note that Sunni Islam has produced a ri</w:t>
      </w:r>
      <w:r>
        <w:t>ch intellectual tradition precisely because it wasn’t bound to a single family’s teachings – the plurality of views among Companions and later scholars was a mercy and strength. These Sunni presentations complement Ghamidi’s arguments: all share the premis</w:t>
      </w:r>
      <w:r>
        <w:t xml:space="preserve">e that the Prophet Muhammad’s mission was final and complete, leaving behind a </w:t>
      </w:r>
      <w:r>
        <w:rPr>
          <w:b/>
          <w:bCs/>
        </w:rPr>
        <w:t>scripture and a community</w:t>
      </w:r>
      <w:r>
        <w:t xml:space="preserve"> – not a royal family to rule the faith. Ghamidi often quotes the Prophet’s sermon: </w:t>
      </w:r>
      <w:r>
        <w:rPr>
          <w:i/>
          <w:iCs/>
        </w:rPr>
        <w:t>“I leave you two things; you will never go astray as long as you hol</w:t>
      </w:r>
      <w:r>
        <w:rPr>
          <w:i/>
          <w:iCs/>
        </w:rPr>
        <w:t>d fast to them: the Book of Allah and my Sunnah.”</w:t>
      </w:r>
      <w:r>
        <w:t xml:space="preserve"> This hadith (though its exact chain has some debate) encapsulates the Sunni ethos that </w:t>
      </w:r>
      <w:r>
        <w:rPr>
          <w:b/>
          <w:bCs/>
        </w:rPr>
        <w:t>guidance is embodied in the Revelation (Qur’an) and the Prophet’s example, not in a bloodline</w:t>
      </w:r>
      <w:hyperlink r:id="rId108" w:anchor=":~:text=My%20dear%20brother%2C%20understanding%20Islam,and%20paradise%20in%20the%20hereafter">
        <w:r>
          <w:rPr>
            <w:rStyle w:val="Hyperlink"/>
          </w:rPr>
          <w:t>[21]</w:t>
        </w:r>
      </w:hyperlink>
      <w:r>
        <w:t>.</w:t>
      </w:r>
    </w:p>
    <w:p w:rsidR="00F06E50" w:rsidRDefault="00590880">
      <w:pPr>
        <w:pStyle w:val="Heading2"/>
      </w:pPr>
      <w:bookmarkStart w:id="9" w:name="X3c44d8bfed3dd500700d9812ca0a5e2df2a40eb"/>
      <w:bookmarkEnd w:id="8"/>
      <w:r>
        <w:t>Epilogue: Bridging the Divide – Love, Respect, and Adherence to Principle</w:t>
      </w:r>
    </w:p>
    <w:p w:rsidR="00F06E50" w:rsidRDefault="00590880">
      <w:pPr>
        <w:pStyle w:val="FirstParagraph"/>
      </w:pPr>
      <w:r>
        <w:t>In conclus</w:t>
      </w:r>
      <w:r>
        <w:t xml:space="preserve">ion, Javed Ahmad Ghamidi’s scholarly critique of Shiʿi doctrines serves as a comprehensive restatement of the Sunni position, grounded in scripture and reason. By examining the Qur’anic context and Hadith literature, Ghamidi concludes that the </w:t>
      </w:r>
      <w:r>
        <w:rPr>
          <w:b/>
          <w:bCs/>
        </w:rPr>
        <w:t>Qur’an-cente</w:t>
      </w:r>
      <w:r>
        <w:rPr>
          <w:b/>
          <w:bCs/>
        </w:rPr>
        <w:t>red narrative of Islam</w:t>
      </w:r>
      <w:r>
        <w:t xml:space="preserve"> does not support the Shiʿi ideas of an </w:t>
      </w:r>
      <w:r>
        <w:rPr>
          <w:b/>
          <w:bCs/>
        </w:rPr>
        <w:t>inherited, infallible Imamate or the exclusive elevation of the Prophet’s bloodline</w:t>
      </w:r>
      <w:r>
        <w:t xml:space="preserve"> as religious authorities. Instead, he finds that </w:t>
      </w:r>
      <w:r>
        <w:rPr>
          <w:b/>
          <w:bCs/>
        </w:rPr>
        <w:t>Islam’s foundation was laid on universal principles</w:t>
      </w:r>
      <w:r>
        <w:t xml:space="preserve">: piety, knowledge, consultation, and justice – not lineage. Ghamidi’s arguments – from the inclusive definition of </w:t>
      </w:r>
      <w:r>
        <w:rPr>
          <w:i/>
          <w:iCs/>
        </w:rPr>
        <w:t>Ahl al-Bayt</w:t>
      </w:r>
      <w:r>
        <w:t xml:space="preserve"> in Qur’an 33:33</w:t>
      </w:r>
      <w:hyperlink r:id="rId109" w:anchor=":~:text=religious%20concepts,">
        <w:r>
          <w:rPr>
            <w:rStyle w:val="Hyperlink"/>
          </w:rPr>
          <w:t>[5]</w:t>
        </w:r>
      </w:hyperlink>
      <w:hyperlink r:id="rId110" w:anchor=":~:text=,is%20inline%20with%20its%20context">
        <w:r>
          <w:rPr>
            <w:rStyle w:val="Hyperlink"/>
          </w:rPr>
          <w:t>[6]</w:t>
        </w:r>
      </w:hyperlink>
      <w:r>
        <w:t>, to the contextual interpretation of Ghadir Khumm</w:t>
      </w:r>
      <w:hyperlink r:id="rId111" w:anchor=":~:text=1,in%20Mecca%20and%20during%20the">
        <w:r>
          <w:rPr>
            <w:rStyle w:val="Hyperlink"/>
          </w:rPr>
          <w:t>[34]</w:t>
        </w:r>
      </w:hyperlink>
      <w:hyperlink r:id="rId112" w:anchor=":~:text=3,some%20Muslims%20believe%20it%20had">
        <w:r>
          <w:rPr>
            <w:rStyle w:val="Hyperlink"/>
          </w:rPr>
          <w:t>[60]</w:t>
        </w:r>
      </w:hyperlink>
      <w:r>
        <w:t>, t</w:t>
      </w:r>
      <w:r>
        <w:t>o the insistence on the Prophet’s finality and the Companions’ consensus</w:t>
      </w:r>
      <w:hyperlink r:id="rId113" w:anchor=":~:text=Khilafah%20of%20Abu%20Bakr%20Siddique,it%20needs%20to%20be%20appreciated">
        <w:r>
          <w:rPr>
            <w:rStyle w:val="Hyperlink"/>
          </w:rPr>
          <w:t>[38]</w:t>
        </w:r>
      </w:hyperlink>
      <w:hyperlink r:id="rId114" w:anchor=":~:text=confirmed%20by%20the%20Book%20of,did%20not%20appoint%20anybody">
        <w:r>
          <w:rPr>
            <w:rStyle w:val="Hyperlink"/>
          </w:rPr>
          <w:t>[39]</w:t>
        </w:r>
      </w:hyperlink>
      <w:r>
        <w:t xml:space="preserve"> – all highlight a consistent methodology: </w:t>
      </w:r>
      <w:r>
        <w:rPr>
          <w:b/>
          <w:bCs/>
        </w:rPr>
        <w:t>interpret the Qur’an and Sunnah on thei</w:t>
      </w:r>
      <w:r>
        <w:rPr>
          <w:b/>
          <w:bCs/>
        </w:rPr>
        <w:t>r own terms, without retrofitting them to later sectarian beliefs</w:t>
      </w:r>
      <w:r>
        <w:t>.</w:t>
      </w:r>
    </w:p>
    <w:p w:rsidR="00F06E50" w:rsidRDefault="00590880">
      <w:pPr>
        <w:pStyle w:val="BodyText"/>
      </w:pPr>
      <w:r>
        <w:t xml:space="preserve">At the same time, the discussion underscores that </w:t>
      </w:r>
      <w:r>
        <w:rPr>
          <w:b/>
          <w:bCs/>
        </w:rPr>
        <w:t>Sunni and Shiʿi Muslims, for all their theological differences, share many fundamental loves and commitments</w:t>
      </w:r>
      <w:r>
        <w:t>. Both affirm the oneness of Go</w:t>
      </w:r>
      <w:r>
        <w:t>d, the prophethood of Muhammad, the sanctity of the Qur’an, and the importance of his family and companions – even if they prioritize those individuals differently. Ghamidi’s lecture, though critical, is not dismissive of the special status of the Prophet’</w:t>
      </w:r>
      <w:r>
        <w:t xml:space="preserve">s household; on the contrary, he calls them </w:t>
      </w:r>
      <w:r>
        <w:rPr>
          <w:i/>
          <w:iCs/>
        </w:rPr>
        <w:t>“great persons”</w:t>
      </w:r>
      <w:hyperlink r:id="rId115" w:anchor=":~:text=,You%20can%20find%20it%20here">
        <w:r>
          <w:rPr>
            <w:rStyle w:val="Hyperlink"/>
          </w:rPr>
          <w:t>[50]</w:t>
        </w:r>
      </w:hyperlink>
      <w:r>
        <w:t xml:space="preserve"> </w:t>
      </w:r>
      <w:r>
        <w:lastRenderedPageBreak/>
        <w:t>and readily acknowledges their virtues. Where he and ot</w:t>
      </w:r>
      <w:r>
        <w:t xml:space="preserve">her Sunni scholars draw the line is the </w:t>
      </w:r>
      <w:r>
        <w:rPr>
          <w:i/>
          <w:iCs/>
        </w:rPr>
        <w:t>nature</w:t>
      </w:r>
      <w:r>
        <w:t xml:space="preserve"> of that status: it is an honor, not a divine office. As one classical Sunni aphorism puts it: </w:t>
      </w:r>
      <w:r>
        <w:rPr>
          <w:i/>
          <w:iCs/>
        </w:rPr>
        <w:t>“Al-</w:t>
      </w:r>
      <w:r>
        <w:rPr>
          <w:i/>
          <w:iCs/>
        </w:rPr>
        <w:t>ḥ</w:t>
      </w:r>
      <w:r>
        <w:rPr>
          <w:i/>
          <w:iCs/>
        </w:rPr>
        <w:t>abīb lā yuʿbaǧ – Love (for the Prophet’s family) should not turn into worship.”</w:t>
      </w:r>
      <w:r>
        <w:t xml:space="preserve"> The Ahl al-Bayt are to be deep</w:t>
      </w:r>
      <w:r>
        <w:t xml:space="preserve">ly loved </w:t>
      </w:r>
      <w:r>
        <w:rPr>
          <w:b/>
          <w:bCs/>
        </w:rPr>
        <w:t>by all Muslims</w:t>
      </w:r>
      <w:r>
        <w:t xml:space="preserve">, Sunni and Shiʿi alike, </w:t>
      </w:r>
      <w:r>
        <w:rPr>
          <w:b/>
          <w:bCs/>
        </w:rPr>
        <w:t>without becoming objects of doctrine that override the Prophet’s explicit teachings</w:t>
      </w:r>
      <w:r>
        <w:t>. In practice, Sunnis demonstrate love for Ahl al-Bayt every day – for example, in the ritual prayer where they invoke blessi</w:t>
      </w:r>
      <w:r>
        <w:t xml:space="preserve">ngs on Muhammad </w:t>
      </w:r>
      <w:r>
        <w:rPr>
          <w:b/>
          <w:bCs/>
        </w:rPr>
        <w:t>and his family</w:t>
      </w:r>
      <w:r>
        <w:t xml:space="preserve"> (Āl Muhammad) in the </w:t>
      </w:r>
      <w:r>
        <w:rPr>
          <w:i/>
          <w:iCs/>
        </w:rPr>
        <w:t>ta</w:t>
      </w:r>
      <w:r>
        <w:rPr>
          <w:i/>
          <w:iCs/>
        </w:rPr>
        <w:t>ḥ</w:t>
      </w:r>
      <w:r>
        <w:rPr>
          <w:i/>
          <w:iCs/>
        </w:rPr>
        <w:t>iyyāt</w:t>
      </w:r>
      <w:r>
        <w:t>. This universal Salāh itself refutes the notion that Sunnis neglect the Prophet’s kin. It is, rather, a difference of interpretation and emphasis: Sunnis revere the family within the inclusive fr</w:t>
      </w:r>
      <w:r>
        <w:t>amework of the Prophet’s overall legacy, whereas Shiʿa elevate the family as the exclusive heirs of that legacy.</w:t>
      </w:r>
    </w:p>
    <w:p w:rsidR="00F06E50" w:rsidRDefault="00590880">
      <w:pPr>
        <w:pStyle w:val="BodyText"/>
      </w:pPr>
      <w:r>
        <w:t xml:space="preserve">The </w:t>
      </w:r>
      <w:r>
        <w:rPr>
          <w:b/>
          <w:bCs/>
        </w:rPr>
        <w:t>thematic epilogue</w:t>
      </w:r>
      <w:r>
        <w:t xml:space="preserve"> of this discourse is a call to balance and unity rooted in truth. Ghamidi’s academic style shows that one can disagree st</w:t>
      </w:r>
      <w:r>
        <w:t xml:space="preserve">rongly yet </w:t>
      </w:r>
      <w:r>
        <w:rPr>
          <w:i/>
          <w:iCs/>
        </w:rPr>
        <w:t>civilly</w:t>
      </w:r>
      <w:r>
        <w:t>: he uses evidence and logical argumentation instead of polemical attacks. By presenting Sunni counter-arguments to Shiʿi claims, he does not aim to malign Shiʿites as people, but to correct what he sees as interpretive errors that have h</w:t>
      </w:r>
      <w:r>
        <w:t xml:space="preserve">istorically caused division. Importantly, Ghamidi’s analysis also implicitly invites Shiʿi scholars to revisit the sources with fresh eyes – to consider, for instance, that the </w:t>
      </w:r>
      <w:r>
        <w:rPr>
          <w:b/>
          <w:bCs/>
        </w:rPr>
        <w:t>Qur’an’s silence on Imamate might be intentional and meaningful</w:t>
      </w:r>
      <w:r>
        <w:t xml:space="preserve"> (i.e., that Isl</w:t>
      </w:r>
      <w:r>
        <w:t xml:space="preserve">am intended no hereditary priesthood). Conversely, Sunnis can also introspect on whether they have always given the Ahl al-Bayt the esteem and love due to them; in rejecting ghuluww, one should not fall into </w:t>
      </w:r>
      <w:r>
        <w:rPr>
          <w:b/>
          <w:bCs/>
        </w:rPr>
        <w:t>tafrī</w:t>
      </w:r>
      <w:r>
        <w:rPr>
          <w:b/>
          <w:bCs/>
        </w:rPr>
        <w:t>ṭ</w:t>
      </w:r>
      <w:r>
        <w:t xml:space="preserve"> (neglect). Ghamidi himself acknowledges t</w:t>
      </w:r>
      <w:r>
        <w:t xml:space="preserve">he emotional weight of events like Karbala and the profound loss of Imam </w:t>
      </w:r>
      <w:r>
        <w:t>Ḥ</w:t>
      </w:r>
      <w:r>
        <w:t xml:space="preserve">usayn, a figure he refers to with </w:t>
      </w:r>
      <w:r>
        <w:rPr>
          <w:i/>
          <w:iCs/>
        </w:rPr>
        <w:t>ra</w:t>
      </w:r>
      <w:r>
        <w:rPr>
          <w:i/>
          <w:iCs/>
        </w:rPr>
        <w:t>ḍ</w:t>
      </w:r>
      <w:r>
        <w:rPr>
          <w:i/>
          <w:iCs/>
        </w:rPr>
        <w:t>iya Allāhu ʿanhu</w:t>
      </w:r>
      <w:r>
        <w:t xml:space="preserve"> (God be pleased with him) and as “beloved member of the Prophet’s family”</w:t>
      </w:r>
      <w:hyperlink r:id="rId116" w:anchor=":~:text=This%20however%20is%20not%20the,be%20a%20matter%20of%20opinion">
        <w:r>
          <w:rPr>
            <w:rStyle w:val="Hyperlink"/>
          </w:rPr>
          <w:t>[55]</w:t>
        </w:r>
      </w:hyperlink>
      <w:r>
        <w:t xml:space="preserve">. Such acknowledgments affirm that </w:t>
      </w:r>
      <w:r>
        <w:rPr>
          <w:b/>
          <w:bCs/>
        </w:rPr>
        <w:t>love for the Prophet’s family is a unifying value</w:t>
      </w:r>
      <w:r>
        <w:t>, even if the communities remember that love differen</w:t>
      </w:r>
      <w:r>
        <w:t>tly (one through commemorations and Imamate doctrine, the other through daily prayers and general respect).</w:t>
      </w:r>
    </w:p>
    <w:p w:rsidR="00F06E50" w:rsidRDefault="00590880">
      <w:pPr>
        <w:pStyle w:val="BodyText"/>
      </w:pPr>
      <w:r>
        <w:t xml:space="preserve">From a wider lens, the essay illustrates how </w:t>
      </w:r>
      <w:r>
        <w:rPr>
          <w:b/>
          <w:bCs/>
        </w:rPr>
        <w:t>academic dialogue can help bridge sectarian misunderstandings</w:t>
      </w:r>
      <w:r>
        <w:t xml:space="preserve">. By examining the actual texts and early </w:t>
      </w:r>
      <w:r>
        <w:t>history, one finds that some differences arose from historical-political circumstances rather than explicit religious mandates. Ghamidi’s portrayal of the Companions’ consensus and the Quranic accolades for them</w:t>
      </w:r>
      <w:hyperlink r:id="rId117" w:anchor=":~:text=Allah%20subhanahu%20wa%20ta%20%E2%80%98ala,participants%20of%20the%20Hudaybiyyah%20campaign">
        <w:r>
          <w:rPr>
            <w:rStyle w:val="Hyperlink"/>
          </w:rPr>
          <w:t>[45]</w:t>
        </w:r>
      </w:hyperlink>
      <w:hyperlink r:id="rId118" w:anchor=":~:text=Allah%20subhanahu%20wa%20ta%20%E2%80%98ala,Muhajirin%20and%20the%20Ansar%20states">
        <w:r>
          <w:rPr>
            <w:rStyle w:val="Hyperlink"/>
          </w:rPr>
          <w:t>[46]</w:t>
        </w:r>
      </w:hyperlink>
      <w:r>
        <w:t xml:space="preserve"> urges Shiʿi Muslims to perhaps reassess overly negative views of figures like Abū Bakr or ʿUmar – men whom the Sunnis see as instrumental in preserving Islam right after the Prophet. On the other ha</w:t>
      </w:r>
      <w:r>
        <w:t>nd, by highlighting the Prophetic hadith that enjoin care for the Ahl al-Bayt</w:t>
      </w:r>
      <w:hyperlink r:id="rId119" w:anchor=":~:text=Ghamidi%20Sahab%20has%20briefly%20commented,Thaqlain">
        <w:r>
          <w:rPr>
            <w:rStyle w:val="Hyperlink"/>
          </w:rPr>
          <w:t>[23]</w:t>
        </w:r>
      </w:hyperlink>
      <w:r>
        <w:t>, it reminds Sunnis to never downplay the</w:t>
      </w:r>
      <w:r>
        <w:t xml:space="preserve"> suffering and contributions of ʿAli and his descendants. The </w:t>
      </w:r>
      <w:r>
        <w:rPr>
          <w:b/>
          <w:bCs/>
        </w:rPr>
        <w:t>middle path</w:t>
      </w:r>
      <w:r>
        <w:t xml:space="preserve"> championed by Ghamidi is to “follow the Qur’an and Sunnah” as the ultimate criterion, </w:t>
      </w:r>
      <w:r>
        <w:rPr>
          <w:i/>
          <w:iCs/>
        </w:rPr>
        <w:t>while giving all due respect to those who carried and embodied that Qur’an and Sunnah in the first generations</w:t>
      </w:r>
      <w:hyperlink r:id="rId120" w:anchor=":~:text=2,written%20by%20any%20of%20them">
        <w:r>
          <w:rPr>
            <w:rStyle w:val="Hyperlink"/>
          </w:rPr>
          <w:t>[54]</w:t>
        </w:r>
      </w:hyperlink>
      <w:hyperlink r:id="rId121" w:anchor=":~:text=Khilafah%20of%20Abu%20Bakr%20Siddique,it%20needs%20to%20be%20appreciated">
        <w:r>
          <w:rPr>
            <w:rStyle w:val="Hyperlink"/>
          </w:rPr>
          <w:t>[38]</w:t>
        </w:r>
      </w:hyperlink>
      <w:r>
        <w:t>. There is, in fact, a Sunni hadith where the Prophet likened his Companio</w:t>
      </w:r>
      <w:r>
        <w:t xml:space="preserve">ns to stars by which one can navigate – each contributing to guidance – and nowhere does he single out a subset as the only guides. In the end, both Sunnism and Shiʿism aim to </w:t>
      </w:r>
      <w:r>
        <w:rPr>
          <w:b/>
          <w:bCs/>
        </w:rPr>
        <w:t>please God and His Messenger</w:t>
      </w:r>
      <w:r>
        <w:t xml:space="preserve">, and Ghamidi’s plea is that this be done </w:t>
      </w:r>
      <w:r>
        <w:rPr>
          <w:b/>
          <w:bCs/>
        </w:rPr>
        <w:t>through fi</w:t>
      </w:r>
      <w:r>
        <w:rPr>
          <w:b/>
          <w:bCs/>
        </w:rPr>
        <w:t>delity to the Prophet’s actual teachings, not through inherited sectarian narratives</w:t>
      </w:r>
      <w:r>
        <w:t>.</w:t>
      </w:r>
    </w:p>
    <w:p w:rsidR="00F06E50" w:rsidRDefault="00590880">
      <w:pPr>
        <w:pStyle w:val="BodyText"/>
      </w:pPr>
      <w:r>
        <w:lastRenderedPageBreak/>
        <w:t xml:space="preserve">In closing, Ghamidi’s reasoned refutation of Shiʿi claims, supported by Qur’anic verses and Prophetic traditions, reaffirms core Sunni principles: the finality and sufficiency of the Prophet Muhammad’s message, the integrity of the generation he nurtured, </w:t>
      </w:r>
      <w:r>
        <w:t xml:space="preserve">and the avoidance of extremes in religious love or hate. As Muslims engage with such intra-faith discussions, the goal should not be victory of one sect over another, but the </w:t>
      </w:r>
      <w:r>
        <w:rPr>
          <w:b/>
          <w:bCs/>
        </w:rPr>
        <w:t>triumph of truth and understanding</w:t>
      </w:r>
      <w:r>
        <w:t xml:space="preserve">. Both communities can learn from each other’s </w:t>
      </w:r>
      <w:r>
        <w:t>emphasis – Shiʿa can appreciate the Sunni insistence on Qur’anic primacy and historical context, while Sunnis can appreciate the Shiʿi emphasis on remembering the Prophet’s family – transforming these from points of contention into complementary strengths.</w:t>
      </w:r>
      <w:r>
        <w:t xml:space="preserve"> Ultimately, as Ghamidi often prays, </w:t>
      </w:r>
      <w:r>
        <w:rPr>
          <w:i/>
          <w:iCs/>
        </w:rPr>
        <w:t>“May God guide all of us – Shia and Sunni – to understand our religion from the Qur’an and then to evaluate our beliefs accordingly, rather than the other way around.”</w:t>
      </w:r>
      <w:hyperlink r:id="rId122" w:anchor=":~:text=what%20I%20have%20seen%20from,rather%20than%20the%20other%20way">
        <w:r>
          <w:rPr>
            <w:rStyle w:val="Hyperlink"/>
          </w:rPr>
          <w:t>[61]</w:t>
        </w:r>
      </w:hyperlink>
      <w:r>
        <w:t xml:space="preserve"> Such an approach, grounded in knowledge and empathy, is the surest way to heal a 14-century rift and to ensure that our love for the</w:t>
      </w:r>
      <w:r>
        <w:t xml:space="preserve"> Messenger of Allah (pbuh) and his Ahl al-Bayt unites rather than divides us.</w:t>
      </w:r>
    </w:p>
    <w:bookmarkEnd w:id="1"/>
    <w:bookmarkEnd w:id="9"/>
    <w:p w:rsidR="00F06E50" w:rsidRDefault="00590880">
      <w:r>
        <w:pict>
          <v:rect id="_x0000_i1025" style="width:0;height:1.5pt" o:hralign="center" o:hrstd="t" o:hr="t"/>
        </w:pict>
      </w:r>
    </w:p>
    <w:bookmarkStart w:id="10" w:name="citations"/>
    <w:p w:rsidR="00F06E50" w:rsidRDefault="00590880">
      <w:pPr>
        <w:pStyle w:val="FirstParagraph"/>
      </w:pPr>
      <w:r>
        <w:fldChar w:fldCharType="begin"/>
      </w:r>
      <w:r>
        <w:instrText xml:space="preserve"> HYPERLINK "https://islamanddiversity.org/2020/05/13/javed-ghamidis-problematic-views/" \l ":~:text=,This" \h </w:instrText>
      </w:r>
      <w:r>
        <w:fldChar w:fldCharType="separate"/>
      </w:r>
      <w:r>
        <w:rPr>
          <w:rStyle w:val="Hyperlink"/>
        </w:rPr>
        <w:t>[1]</w:t>
      </w:r>
      <w:r>
        <w:rPr>
          <w:rStyle w:val="Hyperlink"/>
        </w:rPr>
        <w:fldChar w:fldCharType="end"/>
      </w:r>
      <w:r>
        <w:t xml:space="preserve"> </w:t>
      </w:r>
      <w:hyperlink r:id="rId123" w:anchor=":~:text=,to%20confuse%20or%20misguide%20people">
        <w:r>
          <w:rPr>
            <w:rStyle w:val="Hyperlink"/>
          </w:rPr>
          <w:t>[2]</w:t>
        </w:r>
      </w:hyperlink>
      <w:r>
        <w:t xml:space="preserve"> </w:t>
      </w:r>
      <w:hyperlink r:id="rId124" w:anchor=":~:text=,of%20the%20Qur%E2%80%99an%20that%20all">
        <w:r>
          <w:rPr>
            <w:rStyle w:val="Hyperlink"/>
          </w:rPr>
          <w:t>[3]</w:t>
        </w:r>
      </w:hyperlink>
      <w:r>
        <w:t xml:space="preserve"> </w:t>
      </w:r>
      <w:hyperlink r:id="rId125" w:anchor=":~:text=,as%20I">
        <w:r>
          <w:rPr>
            <w:rStyle w:val="Hyperlink"/>
          </w:rPr>
          <w:t>[4]</w:t>
        </w:r>
      </w:hyperlink>
      <w:r>
        <w:t xml:space="preserve"> </w:t>
      </w:r>
      <w:hyperlink r:id="rId126" w:anchor=":~:text=religious%20concepts,">
        <w:r>
          <w:rPr>
            <w:rStyle w:val="Hyperlink"/>
          </w:rPr>
          <w:t>[5]</w:t>
        </w:r>
      </w:hyperlink>
      <w:r>
        <w:t xml:space="preserve"> </w:t>
      </w:r>
      <w:hyperlink r:id="rId127" w:anchor=":~:text=,is%20inline%20with%20its%20context">
        <w:r>
          <w:rPr>
            <w:rStyle w:val="Hyperlink"/>
          </w:rPr>
          <w:t>[6]</w:t>
        </w:r>
      </w:hyperlink>
      <w:r>
        <w:t xml:space="preserve"> </w:t>
      </w:r>
      <w:hyperlink r:id="rId128" w:anchor=":~:text=,then%20try%20to%20understand%20the">
        <w:r>
          <w:rPr>
            <w:rStyle w:val="Hyperlink"/>
          </w:rPr>
          <w:t>[7]</w:t>
        </w:r>
      </w:hyperlink>
      <w:r>
        <w:t xml:space="preserve"> </w:t>
      </w:r>
      <w:hyperlink r:id="rId129" w:anchor=":~:text=,">
        <w:r>
          <w:rPr>
            <w:rStyle w:val="Hyperlink"/>
          </w:rPr>
          <w:t>[8]</w:t>
        </w:r>
      </w:hyperlink>
      <w:r>
        <w:t xml:space="preserve"> </w:t>
      </w:r>
      <w:hyperlink r:id="rId130" w:anchor=":~:text=,Albayt%20and%20the%20Hadith%20that">
        <w:r>
          <w:rPr>
            <w:rStyle w:val="Hyperlink"/>
          </w:rPr>
          <w:t>[9]</w:t>
        </w:r>
      </w:hyperlink>
      <w:r>
        <w:t xml:space="preserve"> </w:t>
      </w:r>
      <w:hyperlink r:id="rId131" w:anchor=":~:text=,while%20Wasila%20Ibn%20Al%E2%80%99Asqa%20is">
        <w:r>
          <w:rPr>
            <w:rStyle w:val="Hyperlink"/>
          </w:rPr>
          <w:t>[10]</w:t>
        </w:r>
      </w:hyperlink>
      <w:r>
        <w:t xml:space="preserve"> </w:t>
      </w:r>
      <w:hyperlink r:id="rId132" w:anchor=":~:text=,35%20and%20not%20vice%20versa">
        <w:r>
          <w:rPr>
            <w:rStyle w:val="Hyperlink"/>
          </w:rPr>
          <w:t>[11]</w:t>
        </w:r>
      </w:hyperlink>
      <w:r>
        <w:t xml:space="preserve"> </w:t>
      </w:r>
      <w:hyperlink r:id="rId133" w:anchor=":~:text=,of%20the%20verse%2033%3A33%20to">
        <w:r>
          <w:rPr>
            <w:rStyle w:val="Hyperlink"/>
          </w:rPr>
          <w:t>[12]</w:t>
        </w:r>
      </w:hyperlink>
      <w:r>
        <w:t xml:space="preserve"> </w:t>
      </w:r>
      <w:hyperlink r:id="rId134" w:anchor=":~:text=daughter%2C%20son%20in%20law%20and,%E2%80%9Cyes%20you%20are%20also%20from">
        <w:r>
          <w:rPr>
            <w:rStyle w:val="Hyperlink"/>
          </w:rPr>
          <w:t>[13]</w:t>
        </w:r>
      </w:hyperlink>
      <w:r>
        <w:t xml:space="preserve"> </w:t>
      </w:r>
      <w:hyperlink r:id="rId135" w:anchor=":~:text=,This%20version%20is">
        <w:r>
          <w:rPr>
            <w:rStyle w:val="Hyperlink"/>
          </w:rPr>
          <w:t>[14]</w:t>
        </w:r>
      </w:hyperlink>
      <w:r>
        <w:t xml:space="preserve"> </w:t>
      </w:r>
      <w:hyperlink r:id="rId136" w:anchor=":~:text=own%20position.%20Termezi%203205,although%20through%20Musnade%20Ahmad">
        <w:r>
          <w:rPr>
            <w:rStyle w:val="Hyperlink"/>
          </w:rPr>
          <w:t>[15]</w:t>
        </w:r>
      </w:hyperlink>
      <w:r>
        <w:t xml:space="preserve"> </w:t>
      </w:r>
      <w:hyperlink r:id="rId137" w:anchor=":~:text=,Sahih%20Ibn%20Haban%2C%206976%20also">
        <w:r>
          <w:rPr>
            <w:rStyle w:val="Hyperlink"/>
          </w:rPr>
          <w:t>[16]</w:t>
        </w:r>
      </w:hyperlink>
      <w:r>
        <w:t xml:space="preserve"> </w:t>
      </w:r>
      <w:hyperlink r:id="rId138" w:anchor=":~:text=,revealed%20primarily%20for%20these%20personalities">
        <w:r>
          <w:rPr>
            <w:rStyle w:val="Hyperlink"/>
          </w:rPr>
          <w:t>[17]</w:t>
        </w:r>
      </w:hyperlink>
      <w:r>
        <w:t xml:space="preserve"> </w:t>
      </w:r>
      <w:hyperlink r:id="rId139" w:anchor=":~:text=,not%20indicate%20that%20Ahl%20Albayt">
        <w:r>
          <w:rPr>
            <w:rStyle w:val="Hyperlink"/>
          </w:rPr>
          <w:t>[18]</w:t>
        </w:r>
      </w:hyperlink>
      <w:r>
        <w:t xml:space="preserve"> </w:t>
      </w:r>
      <w:hyperlink r:id="rId140" w:anchor=":~:text=,needed%20correct%20our%20belief%20accordingly">
        <w:r>
          <w:rPr>
            <w:rStyle w:val="Hyperlink"/>
          </w:rPr>
          <w:t>[19]</w:t>
        </w:r>
      </w:hyperlink>
      <w:r>
        <w:t xml:space="preserve"> </w:t>
      </w:r>
      <w:hyperlink r:id="rId141" w:anchor=":~:text=,ahadith%20it%20is%20suggested%20that">
        <w:r>
          <w:rPr>
            <w:rStyle w:val="Hyperlink"/>
          </w:rPr>
          <w:t>[20]</w:t>
        </w:r>
      </w:hyperlink>
      <w:r>
        <w:t xml:space="preserve"> </w:t>
      </w:r>
      <w:hyperlink r:id="rId142" w:anchor=":~:text=My%20dear%20brother%2C%20understanding%20Islam,and%20paradise%20in%20the%20hereafter">
        <w:r>
          <w:rPr>
            <w:rStyle w:val="Hyperlink"/>
          </w:rPr>
          <w:t>[21]</w:t>
        </w:r>
      </w:hyperlink>
      <w:r>
        <w:t xml:space="preserve"> </w:t>
      </w:r>
      <w:hyperlink r:id="rId143" w:anchor=":~:text=When%20I%20checked%20Ghamidi%20Sahib%E2%80%99s,provide%20the%20basis%20for%20every">
        <w:r>
          <w:rPr>
            <w:rStyle w:val="Hyperlink"/>
          </w:rPr>
          <w:t>[22]</w:t>
        </w:r>
      </w:hyperlink>
      <w:r>
        <w:t xml:space="preserve"> </w:t>
      </w:r>
      <w:hyperlink r:id="rId144" w:anchor=":~:text=Sh%C4%AB%E2%80%98%C4%AB%20are%20those%20Muslims%20who,used%20to%20interpret%20these%20reliable">
        <w:r>
          <w:rPr>
            <w:rStyle w:val="Hyperlink"/>
          </w:rPr>
          <w:t>[24]</w:t>
        </w:r>
      </w:hyperlink>
      <w:r>
        <w:t xml:space="preserve"> </w:t>
      </w:r>
      <w:hyperlink r:id="rId145" w:anchor=":~:text=If%20unlike%20all%20the%20Sh%C4%AB%E2%80%98%C4%AB,us%20to%20the%20correct%20belief">
        <w:r>
          <w:rPr>
            <w:rStyle w:val="Hyperlink"/>
          </w:rPr>
          <w:t>[27]</w:t>
        </w:r>
      </w:hyperlink>
      <w:r>
        <w:t xml:space="preserve"> </w:t>
      </w:r>
      <w:hyperlink r:id="rId146" w:anchor=":~:text=The%20verse%20has%20no%20indication,the%20coming%20of%20the%20Messengers">
        <w:r>
          <w:rPr>
            <w:rStyle w:val="Hyperlink"/>
          </w:rPr>
          <w:t>[28]</w:t>
        </w:r>
      </w:hyperlink>
      <w:r>
        <w:t xml:space="preserve"> </w:t>
      </w:r>
      <w:hyperlink r:id="rId147" w:anchor=":~:text=match%20at%20L217%20According%20to,has%20no%20basis%20in%20Islam">
        <w:r>
          <w:rPr>
            <w:rStyle w:val="Hyperlink"/>
          </w:rPr>
          <w:t>[29]</w:t>
        </w:r>
      </w:hyperlink>
      <w:r>
        <w:t xml:space="preserve"> </w:t>
      </w:r>
      <w:hyperlink r:id="rId148" w:anchor=":~:text=Thank%20you%20for%20writing%20to,In">
        <w:r>
          <w:rPr>
            <w:rStyle w:val="Hyperlink"/>
          </w:rPr>
          <w:t>[30]</w:t>
        </w:r>
      </w:hyperlink>
      <w:r>
        <w:t xml:space="preserve"> </w:t>
      </w:r>
      <w:hyperlink r:id="rId149" w:anchor=":~:text=than%20letting%20the%20Qur%E2%80%99%C4%81n%20leading,us%20to%20the%20correct%20belief">
        <w:r>
          <w:rPr>
            <w:rStyle w:val="Hyperlink"/>
          </w:rPr>
          <w:t>[31]</w:t>
        </w:r>
      </w:hyperlink>
      <w:r>
        <w:t xml:space="preserve"> </w:t>
      </w:r>
      <w:hyperlink r:id="rId150" w:anchor=":~:text=Hadith%20of%20Ghadeer%20is%20a,to%20me%20are%20not%20true">
        <w:r>
          <w:rPr>
            <w:rStyle w:val="Hyperlink"/>
          </w:rPr>
          <w:t>[32]</w:t>
        </w:r>
      </w:hyperlink>
      <w:r>
        <w:t xml:space="preserve"> </w:t>
      </w:r>
      <w:hyperlink r:id="rId151" w:anchor=":~:text=reliable%20however%20the%20narration%20of,to%20me%20are%20not%20true">
        <w:r>
          <w:rPr>
            <w:rStyle w:val="Hyperlink"/>
          </w:rPr>
          <w:t>[33]</w:t>
        </w:r>
      </w:hyperlink>
      <w:r>
        <w:t xml:space="preserve"> </w:t>
      </w:r>
      <w:hyperlink r:id="rId152" w:anchor=":~:text=1,in%20Mecca%20and%20during%20the">
        <w:r>
          <w:rPr>
            <w:rStyle w:val="Hyperlink"/>
          </w:rPr>
          <w:t>[34]</w:t>
        </w:r>
      </w:hyperlink>
      <w:r>
        <w:t xml:space="preserve"> </w:t>
      </w:r>
      <w:hyperlink r:id="rId153" w:anchor=":~:text=2,ra">
        <w:r>
          <w:rPr>
            <w:rStyle w:val="Hyperlink"/>
          </w:rPr>
          <w:t>[35]</w:t>
        </w:r>
      </w:hyperlink>
      <w:r>
        <w:t xml:space="preserve"> </w:t>
      </w:r>
      <w:hyperlink r:id="rId154" w:anchor=":~:text=4,see%20point%201%20above">
        <w:r>
          <w:rPr>
            <w:rStyle w:val="Hyperlink"/>
          </w:rPr>
          <w:t>[36]</w:t>
        </w:r>
      </w:hyperlink>
      <w:r>
        <w:t xml:space="preserve"> </w:t>
      </w:r>
      <w:hyperlink r:id="rId155" w:anchor=":~:text=5,some%20Muslims%20see%20it%20today">
        <w:r>
          <w:rPr>
            <w:rStyle w:val="Hyperlink"/>
          </w:rPr>
          <w:t>[37]</w:t>
        </w:r>
      </w:hyperlink>
      <w:r>
        <w:t xml:space="preserve"> </w:t>
      </w:r>
      <w:hyperlink r:id="rId156" w:anchor=":~:text=Khilafah%20of%20Abu%20Bakr%20Siddique,it%20needs%20to%20be%20appreciated">
        <w:r>
          <w:rPr>
            <w:rStyle w:val="Hyperlink"/>
          </w:rPr>
          <w:t>[38]</w:t>
        </w:r>
      </w:hyperlink>
      <w:r>
        <w:t xml:space="preserve"> </w:t>
      </w:r>
      <w:hyperlink r:id="rId157" w:anchor=":~:text=confirmed%20by%20the%20Book%20of,did%20not%20appoint%20anybody">
        <w:r>
          <w:rPr>
            <w:rStyle w:val="Hyperlink"/>
          </w:rPr>
          <w:t>[39]</w:t>
        </w:r>
      </w:hyperlink>
      <w:r>
        <w:t xml:space="preserve"> </w:t>
      </w:r>
      <w:hyperlink r:id="rId158" w:anchor=":~:text=match%20at%20L185%20Ghamidi%20rationalizes,use%20similar%20logic%20to%20exonerate">
        <w:r>
          <w:rPr>
            <w:rStyle w:val="Hyperlink"/>
          </w:rPr>
          <w:t>[40]</w:t>
        </w:r>
      </w:hyperlink>
      <w:r>
        <w:t xml:space="preserve"> </w:t>
      </w:r>
      <w:hyperlink r:id="rId159" w:anchor=":~:text=Hazrat%20Ali%20and%20Muaviya%20and,use%20similar%20logic%20to%20exonerate">
        <w:r>
          <w:rPr>
            <w:rStyle w:val="Hyperlink"/>
          </w:rPr>
          <w:t>[41]</w:t>
        </w:r>
      </w:hyperlink>
      <w:r>
        <w:t xml:space="preserve"> </w:t>
      </w:r>
      <w:hyperlink r:id="rId160" w:anchor=":~:text=I%20am%20going%20to%20answer,versus%20Mu%E2%80%99%C4%81wiah%20and%20Yaz%C4%ABd">
        <w:r>
          <w:rPr>
            <w:rStyle w:val="Hyperlink"/>
          </w:rPr>
          <w:t>[42]</w:t>
        </w:r>
      </w:hyperlink>
      <w:r>
        <w:t xml:space="preserve"> </w:t>
      </w:r>
      <w:hyperlink r:id="rId161" w:anchor=":~:text=Let%E2%80%99s%20assume%20that%20based%20on,B%20is%20with%20the%20truth">
        <w:r>
          <w:rPr>
            <w:rStyle w:val="Hyperlink"/>
          </w:rPr>
          <w:t>[43]</w:t>
        </w:r>
      </w:hyperlink>
      <w:r>
        <w:t xml:space="preserve"> </w:t>
      </w:r>
      <w:hyperlink r:id="rId162" w:anchor=":~:text=I%20am%20sorry%20I%20cannot,sws">
        <w:r>
          <w:rPr>
            <w:rStyle w:val="Hyperlink"/>
          </w:rPr>
          <w:t>[47]</w:t>
        </w:r>
      </w:hyperlink>
      <w:r>
        <w:t xml:space="preserve"> </w:t>
      </w:r>
      <w:hyperlink r:id="rId163" w:anchor=":~:text=Most%20of%20people%20who%20were,population%20of%20Muslims%20around%20him">
        <w:r>
          <w:rPr>
            <w:rStyle w:val="Hyperlink"/>
          </w:rPr>
          <w:t>[48]</w:t>
        </w:r>
      </w:hyperlink>
      <w:r>
        <w:t xml:space="preserve"> </w:t>
      </w:r>
      <w:hyperlink r:id="rId164" w:anchor=":~:text=of%20following%20fiqh,or%20recommend%20following%20this%20fiqh">
        <w:r>
          <w:rPr>
            <w:rStyle w:val="Hyperlink"/>
          </w:rPr>
          <w:t>[49]</w:t>
        </w:r>
      </w:hyperlink>
      <w:r>
        <w:t xml:space="preserve"> </w:t>
      </w:r>
      <w:hyperlink r:id="rId165" w:anchor=":~:text=,You%20can%20find%20it%20here">
        <w:r>
          <w:rPr>
            <w:rStyle w:val="Hyperlink"/>
          </w:rPr>
          <w:t>[50]</w:t>
        </w:r>
      </w:hyperlink>
      <w:r>
        <w:t xml:space="preserve"> </w:t>
      </w:r>
      <w:hyperlink r:id="rId166" w:anchor=":~:text=According%20to%20Ghamidi%2C%20those%20who,mushrik%29%20and%20fools">
        <w:r>
          <w:rPr>
            <w:rStyle w:val="Hyperlink"/>
          </w:rPr>
          <w:t>[51]</w:t>
        </w:r>
      </w:hyperlink>
      <w:r>
        <w:t xml:space="preserve"> </w:t>
      </w:r>
      <w:hyperlink r:id="rId167" w:anchor=":~:text=%E2%80%9CYa%20Ali%20Madad%20kehna%20Shirk,aur%20aik%20ahmaqana%20baat%20hai%E2%80%9D">
        <w:r>
          <w:rPr>
            <w:rStyle w:val="Hyperlink"/>
          </w:rPr>
          <w:t>[52]</w:t>
        </w:r>
      </w:hyperlink>
      <w:r>
        <w:t xml:space="preserve"> </w:t>
      </w:r>
      <w:hyperlink r:id="rId168" w:anchor=":~:text=3,to%20deny">
        <w:r>
          <w:rPr>
            <w:rStyle w:val="Hyperlink"/>
          </w:rPr>
          <w:t>[53]</w:t>
        </w:r>
      </w:hyperlink>
      <w:r>
        <w:t xml:space="preserve"> </w:t>
      </w:r>
      <w:hyperlink r:id="rId169" w:anchor=":~:text=2,written%20by%20any%20of%20them">
        <w:r>
          <w:rPr>
            <w:rStyle w:val="Hyperlink"/>
          </w:rPr>
          <w:t>[54]</w:t>
        </w:r>
      </w:hyperlink>
      <w:r>
        <w:t xml:space="preserve"> </w:t>
      </w:r>
      <w:hyperlink r:id="rId170" w:anchor=":~:text=This%20however%20is%20not%20the,be%20a%20matter%20of%20opinion">
        <w:r>
          <w:rPr>
            <w:rStyle w:val="Hyperlink"/>
          </w:rPr>
          <w:t>[55]</w:t>
        </w:r>
      </w:hyperlink>
      <w:r>
        <w:t xml:space="preserve"> </w:t>
      </w:r>
      <w:hyperlink r:id="rId171" w:anchor=":~:text=%E2%80%9CI%20am%20totally%20confused%20about,%E2%80%9D">
        <w:r>
          <w:rPr>
            <w:rStyle w:val="Hyperlink"/>
          </w:rPr>
          <w:t>[56]</w:t>
        </w:r>
      </w:hyperlink>
      <w:r>
        <w:t xml:space="preserve"> </w:t>
      </w:r>
      <w:hyperlink r:id="rId172" w:anchor=":~:text=Like%20every%20other%20interested%20Muslim%2C,that%20it%20might%20not%20be">
        <w:r>
          <w:rPr>
            <w:rStyle w:val="Hyperlink"/>
          </w:rPr>
          <w:t>[57]</w:t>
        </w:r>
      </w:hyperlink>
      <w:r>
        <w:t xml:space="preserve"> </w:t>
      </w:r>
      <w:hyperlink r:id="rId173" w:anchor=":~:text=after%201400%20years%20has%20come,a%20good%20example%20of%20this">
        <w:r>
          <w:rPr>
            <w:rStyle w:val="Hyperlink"/>
          </w:rPr>
          <w:t>[58]</w:t>
        </w:r>
      </w:hyperlink>
      <w:r>
        <w:t xml:space="preserve"> </w:t>
      </w:r>
      <w:hyperlink r:id="rId174" w:anchor=":~:text=Please%20note%20that%20I%20am,influence%20the%20flow%20of%20events">
        <w:r>
          <w:rPr>
            <w:rStyle w:val="Hyperlink"/>
          </w:rPr>
          <w:t>[59]</w:t>
        </w:r>
      </w:hyperlink>
      <w:r>
        <w:t xml:space="preserve"> </w:t>
      </w:r>
      <w:hyperlink r:id="rId175" w:anchor=":~:text=3,some%20Muslims%20believe%20it%20had">
        <w:r>
          <w:rPr>
            <w:rStyle w:val="Hyperlink"/>
          </w:rPr>
          <w:t>[60]</w:t>
        </w:r>
      </w:hyperlink>
      <w:r>
        <w:t xml:space="preserve"> </w:t>
      </w:r>
      <w:hyperlink r:id="rId176" w:anchor=":~:text=what%20I%20have%20seen%20from,rather%20than%20the%20other%20way">
        <w:r>
          <w:rPr>
            <w:rStyle w:val="Hyperlink"/>
          </w:rPr>
          <w:t>[61]</w:t>
        </w:r>
      </w:hyperlink>
      <w:r>
        <w:t xml:space="preserve"> Javed Gha</w:t>
      </w:r>
      <w:r>
        <w:t>midi’s problematic views about Sufi Sunnis and Shias – Islam and Diversity</w:t>
      </w:r>
    </w:p>
    <w:p w:rsidR="00F06E50" w:rsidRDefault="00590880">
      <w:pPr>
        <w:pStyle w:val="BodyText"/>
      </w:pPr>
      <w:hyperlink r:id="rId177">
        <w:r>
          <w:rPr>
            <w:rStyle w:val="Hyperlink"/>
          </w:rPr>
          <w:t>https://islamanddiversity.org/2020/05/13/javed-ghamidis-problematic-views/</w:t>
        </w:r>
      </w:hyperlink>
    </w:p>
    <w:p w:rsidR="00F06E50" w:rsidRDefault="00590880">
      <w:pPr>
        <w:pStyle w:val="BodyText"/>
      </w:pPr>
      <w:hyperlink r:id="rId178" w:anchor=":~:text=Ghamidi%20Sahab%20has%20briefly%20commented,Thaqlain">
        <w:r>
          <w:rPr>
            <w:rStyle w:val="Hyperlink"/>
          </w:rPr>
          <w:t>[23]</w:t>
        </w:r>
      </w:hyperlink>
      <w:r>
        <w:t xml:space="preserve"> Hadith Of The Thaqalayn (Hadith-e-Thaqlain) - Ask Ghamidi</w:t>
      </w:r>
    </w:p>
    <w:p w:rsidR="00F06E50" w:rsidRDefault="00590880">
      <w:pPr>
        <w:pStyle w:val="BodyText"/>
      </w:pPr>
      <w:hyperlink r:id="rId179">
        <w:r>
          <w:rPr>
            <w:rStyle w:val="Hyperlink"/>
          </w:rPr>
          <w:t>htt</w:t>
        </w:r>
        <w:r>
          <w:rPr>
            <w:rStyle w:val="Hyperlink"/>
          </w:rPr>
          <w:t>ps://ask.ghamidi.org/forums/discussion/98729/</w:t>
        </w:r>
      </w:hyperlink>
    </w:p>
    <w:p w:rsidR="00F06E50" w:rsidRDefault="00590880">
      <w:pPr>
        <w:pStyle w:val="BodyText"/>
      </w:pPr>
      <w:hyperlink r:id="rId180" w:anchor=":~:text=I%20refer%20in%20particular%20to,book%20which%20He%20described%20as">
        <w:r>
          <w:rPr>
            <w:rStyle w:val="Hyperlink"/>
          </w:rPr>
          <w:t>[25]</w:t>
        </w:r>
      </w:hyperlink>
      <w:r>
        <w:t xml:space="preserve"> </w:t>
      </w:r>
      <w:hyperlink r:id="rId181" w:anchor=":~:text=Certainly%20was%20Allah%20pleased%20with,3">
        <w:r>
          <w:rPr>
            <w:rStyle w:val="Hyperlink"/>
          </w:rPr>
          <w:t>[26]</w:t>
        </w:r>
      </w:hyperlink>
      <w:r>
        <w:t xml:space="preserve"> </w:t>
      </w:r>
      <w:hyperlink r:id="rId182" w:anchor=":~:text=%D9%84%D9%8E%D9%82%D9%8E%D8%AF%D9%92%20%D8%AA%D9%8E%D8%A7%D8%A8%D9%8E%20%D8%A7%D9%84%D9%84%D9%91%D9%B0%D9%87%D9%8F%20%D8%B9%D9%8E%D9%84%D9%8E%D9%89%20%D8%A7%D9%84%D9%86%D9%91%D9%8E%D8%A8%D9%90%D9%8A%D9%91%D9%90,%D8%B9%D9%8E%D9%84%D9%8E%D9%8A%D9%92">
        <w:r>
          <w:rPr>
            <w:rStyle w:val="Hyperlink"/>
          </w:rPr>
          <w:t>[44]</w:t>
        </w:r>
      </w:hyperlink>
      <w:r>
        <w:t xml:space="preserve"> </w:t>
      </w:r>
      <w:hyperlink r:id="rId183" w:anchor=":~:text=Allah%20subhanahu%20wa%20ta%20%E2%80%98ala,participants%20of%20the%20Hudaybiyyah%20campaign">
        <w:r>
          <w:rPr>
            <w:rStyle w:val="Hyperlink"/>
          </w:rPr>
          <w:t>[45]</w:t>
        </w:r>
      </w:hyperlink>
      <w:r>
        <w:t xml:space="preserve"> </w:t>
      </w:r>
      <w:hyperlink r:id="rId184" w:anchor=":~:text=Allah%20subhanahu%20wa%20ta%20%E2%80%98ala,Muhajirin%20and%20the%20Ansar%20states">
        <w:r>
          <w:rPr>
            <w:rStyle w:val="Hyperlink"/>
          </w:rPr>
          <w:t>[46]</w:t>
        </w:r>
      </w:hyperlink>
      <w:r>
        <w:t xml:space="preserve"> Shia opposition to the Ahlul Bayt – Mahajjah</w:t>
      </w:r>
    </w:p>
    <w:p w:rsidR="00F06E50" w:rsidRDefault="00590880">
      <w:pPr>
        <w:pStyle w:val="BodyText"/>
      </w:pPr>
      <w:hyperlink r:id="rId185">
        <w:r>
          <w:rPr>
            <w:rStyle w:val="Hyperlink"/>
          </w:rPr>
          <w:t>https://mahajjah.com/shia-opposition-to-the-ahlul-bayt/</w:t>
        </w:r>
      </w:hyperlink>
      <w:bookmarkEnd w:id="10"/>
    </w:p>
    <w:sectPr w:rsidR="00F06E50">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A990"/>
    <w:multiLevelType w:val="multilevel"/>
    <w:tmpl w:val="4D4CB77E"/>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nsid w:val="0000A991"/>
    <w:multiLevelType w:val="multilevel"/>
    <w:tmpl w:val="FFB8CFEE"/>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06E50"/>
    <w:rsid w:val="001F3F52"/>
    <w:rsid w:val="00590880"/>
    <w:rsid w:val="00F06E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267">
    <w:lsdException w:name="Normal (Web)" w:uiPriority="99"/>
  </w:latentStyles>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 w:type="paragraph" w:styleId="NormalWeb">
    <w:name w:val="Normal (Web)"/>
    <w:basedOn w:val="Normal"/>
    <w:uiPriority w:val="99"/>
    <w:unhideWhenUsed/>
    <w:rsid w:val="00590880"/>
    <w:pPr>
      <w:spacing w:before="100" w:beforeAutospacing="1" w:after="100" w:afterAutospacing="1"/>
    </w:pPr>
    <w:rPr>
      <w:rFonts w:ascii="Times New Roman" w:eastAsia="Times New Roman" w:hAnsi="Times New Roman" w:cs="Times New Roman"/>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267">
    <w:lsdException w:name="Normal (Web)" w:uiPriority="99"/>
  </w:latentStyles>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 w:type="paragraph" w:styleId="NormalWeb">
    <w:name w:val="Normal (Web)"/>
    <w:basedOn w:val="Normal"/>
    <w:uiPriority w:val="99"/>
    <w:unhideWhenUsed/>
    <w:rsid w:val="00590880"/>
    <w:pPr>
      <w:spacing w:before="100" w:beforeAutospacing="1" w:after="100" w:afterAutospacing="1"/>
    </w:pPr>
    <w:rPr>
      <w:rFonts w:ascii="Times New Roman" w:eastAsia="Times New Roman" w:hAnsi="Times New Roman" w:cs="Times New Roman"/>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6692923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ahajjah.com/shia-opposition-to-the-ahlul-bayt/" TargetMode="External"/><Relationship Id="rId21" Type="http://schemas.openxmlformats.org/officeDocument/2006/relationships/hyperlink" Target="https://islamanddiversity.org/2020/05/13/javed-ghamidis-problematic-views/" TargetMode="External"/><Relationship Id="rId42" Type="http://schemas.openxmlformats.org/officeDocument/2006/relationships/hyperlink" Target="https://islamanddiversity.org/2020/05/13/javed-ghamidis-problematic-views/" TargetMode="External"/><Relationship Id="rId63" Type="http://schemas.openxmlformats.org/officeDocument/2006/relationships/hyperlink" Target="https://islamanddiversity.org/2020/05/13/javed-ghamidis-problematic-views/" TargetMode="External"/><Relationship Id="rId84" Type="http://schemas.openxmlformats.org/officeDocument/2006/relationships/hyperlink" Target="https://islamanddiversity.org/2020/05/13/javed-ghamidis-problematic-views/" TargetMode="External"/><Relationship Id="rId138" Type="http://schemas.openxmlformats.org/officeDocument/2006/relationships/hyperlink" Target="https://islamanddiversity.org/2020/05/13/javed-ghamidis-problematic-views/" TargetMode="External"/><Relationship Id="rId159" Type="http://schemas.openxmlformats.org/officeDocument/2006/relationships/hyperlink" Target="https://islamanddiversity.org/2020/05/13/javed-ghamidis-problematic-views/" TargetMode="External"/><Relationship Id="rId170" Type="http://schemas.openxmlformats.org/officeDocument/2006/relationships/hyperlink" Target="https://islamanddiversity.org/2020/05/13/javed-ghamidis-problematic-views/" TargetMode="External"/><Relationship Id="rId107" Type="http://schemas.openxmlformats.org/officeDocument/2006/relationships/hyperlink" Target="https://mahajjah.com/shia-opposition-to-the-ahlul-bayt/" TargetMode="External"/><Relationship Id="rId11" Type="http://schemas.openxmlformats.org/officeDocument/2006/relationships/hyperlink" Target="https://islamanddiversity.org/2020/05/13/javed-ghamidis-problematic-views/" TargetMode="External"/><Relationship Id="rId32" Type="http://schemas.openxmlformats.org/officeDocument/2006/relationships/hyperlink" Target="https://islamanddiversity.org/2020/05/13/javed-ghamidis-problematic-views/" TargetMode="External"/><Relationship Id="rId53" Type="http://schemas.openxmlformats.org/officeDocument/2006/relationships/hyperlink" Target="https://islamanddiversity.org/2020/05/13/javed-ghamidis-problematic-views/" TargetMode="External"/><Relationship Id="rId74" Type="http://schemas.openxmlformats.org/officeDocument/2006/relationships/hyperlink" Target="https://islamanddiversity.org/2020/05/13/javed-ghamidis-problematic-views/" TargetMode="External"/><Relationship Id="rId128" Type="http://schemas.openxmlformats.org/officeDocument/2006/relationships/hyperlink" Target="https://islamanddiversity.org/2020/05/13/javed-ghamidis-problematic-views/" TargetMode="External"/><Relationship Id="rId149" Type="http://schemas.openxmlformats.org/officeDocument/2006/relationships/hyperlink" Target="https://islamanddiversity.org/2020/05/13/javed-ghamidis-problematic-views/" TargetMode="External"/><Relationship Id="rId5" Type="http://schemas.openxmlformats.org/officeDocument/2006/relationships/webSettings" Target="webSettings.xml"/><Relationship Id="rId95" Type="http://schemas.openxmlformats.org/officeDocument/2006/relationships/hyperlink" Target="https://islamanddiversity.org/2020/05/13/javed-ghamidis-problematic-views/" TargetMode="External"/><Relationship Id="rId160" Type="http://schemas.openxmlformats.org/officeDocument/2006/relationships/hyperlink" Target="https://islamanddiversity.org/2020/05/13/javed-ghamidis-problematic-views/" TargetMode="External"/><Relationship Id="rId181" Type="http://schemas.openxmlformats.org/officeDocument/2006/relationships/hyperlink" Target="https://mahajjah.com/shia-opposition-to-the-ahlul-bayt/" TargetMode="External"/><Relationship Id="rId22" Type="http://schemas.openxmlformats.org/officeDocument/2006/relationships/hyperlink" Target="https://islamanddiversity.org/2020/05/13/javed-ghamidis-problematic-views/" TargetMode="External"/><Relationship Id="rId43" Type="http://schemas.openxmlformats.org/officeDocument/2006/relationships/hyperlink" Target="https://islamanddiversity.org/2020/05/13/javed-ghamidis-problematic-views/" TargetMode="External"/><Relationship Id="rId64" Type="http://schemas.openxmlformats.org/officeDocument/2006/relationships/hyperlink" Target="https://islamanddiversity.org/2020/05/13/javed-ghamidis-problematic-views/" TargetMode="External"/><Relationship Id="rId118" Type="http://schemas.openxmlformats.org/officeDocument/2006/relationships/hyperlink" Target="https://mahajjah.com/shia-opposition-to-the-ahlul-bayt/" TargetMode="External"/><Relationship Id="rId139" Type="http://schemas.openxmlformats.org/officeDocument/2006/relationships/hyperlink" Target="https://islamanddiversity.org/2020/05/13/javed-ghamidis-problematic-views/" TargetMode="External"/><Relationship Id="rId85" Type="http://schemas.openxmlformats.org/officeDocument/2006/relationships/hyperlink" Target="https://islamanddiversity.org/2020/05/13/javed-ghamidis-problematic-views/" TargetMode="External"/><Relationship Id="rId150" Type="http://schemas.openxmlformats.org/officeDocument/2006/relationships/hyperlink" Target="https://islamanddiversity.org/2020/05/13/javed-ghamidis-problematic-views/" TargetMode="External"/><Relationship Id="rId171" Type="http://schemas.openxmlformats.org/officeDocument/2006/relationships/hyperlink" Target="https://islamanddiversity.org/2020/05/13/javed-ghamidis-problematic-views/" TargetMode="External"/><Relationship Id="rId12" Type="http://schemas.openxmlformats.org/officeDocument/2006/relationships/hyperlink" Target="https://islamanddiversity.org/2020/05/13/javed-ghamidis-problematic-views/" TargetMode="External"/><Relationship Id="rId33" Type="http://schemas.openxmlformats.org/officeDocument/2006/relationships/hyperlink" Target="https://islamanddiversity.org/2020/05/13/javed-ghamidis-problematic-views/" TargetMode="External"/><Relationship Id="rId108" Type="http://schemas.openxmlformats.org/officeDocument/2006/relationships/hyperlink" Target="https://islamanddiversity.org/2020/05/13/javed-ghamidis-problematic-views/" TargetMode="External"/><Relationship Id="rId129" Type="http://schemas.openxmlformats.org/officeDocument/2006/relationships/hyperlink" Target="https://islamanddiversity.org/2020/05/13/javed-ghamidis-problematic-views/" TargetMode="External"/><Relationship Id="rId54" Type="http://schemas.openxmlformats.org/officeDocument/2006/relationships/hyperlink" Target="https://islamanddiversity.org/2020/05/13/javed-ghamidis-problematic-views/" TargetMode="External"/><Relationship Id="rId75" Type="http://schemas.openxmlformats.org/officeDocument/2006/relationships/hyperlink" Target="https://islamanddiversity.org/2020/05/13/javed-ghamidis-problematic-views/" TargetMode="External"/><Relationship Id="rId96" Type="http://schemas.openxmlformats.org/officeDocument/2006/relationships/hyperlink" Target="https://islamanddiversity.org/2020/05/13/javed-ghamidis-problematic-views/" TargetMode="External"/><Relationship Id="rId140" Type="http://schemas.openxmlformats.org/officeDocument/2006/relationships/hyperlink" Target="https://islamanddiversity.org/2020/05/13/javed-ghamidis-problematic-views/" TargetMode="External"/><Relationship Id="rId161" Type="http://schemas.openxmlformats.org/officeDocument/2006/relationships/hyperlink" Target="https://islamanddiversity.org/2020/05/13/javed-ghamidis-problematic-views/" TargetMode="External"/><Relationship Id="rId182" Type="http://schemas.openxmlformats.org/officeDocument/2006/relationships/hyperlink" Target="https://mahajjah.com/shia-opposition-to-the-ahlul-bayt/" TargetMode="External"/><Relationship Id="rId6" Type="http://schemas.openxmlformats.org/officeDocument/2006/relationships/hyperlink" Target="https://islamanddiversity.org/2020/05/13/javed-ghamidis-problematic-views/" TargetMode="External"/><Relationship Id="rId23" Type="http://schemas.openxmlformats.org/officeDocument/2006/relationships/hyperlink" Target="https://islamanddiversity.org/2020/05/13/javed-ghamidis-problematic-views/" TargetMode="External"/><Relationship Id="rId119" Type="http://schemas.openxmlformats.org/officeDocument/2006/relationships/hyperlink" Target="https://ask.ghamidi.org/forums/discussion/98729/" TargetMode="External"/><Relationship Id="rId44" Type="http://schemas.openxmlformats.org/officeDocument/2006/relationships/hyperlink" Target="https://ask.ghamidi.org/forums/discussion/98729/" TargetMode="External"/><Relationship Id="rId65" Type="http://schemas.openxmlformats.org/officeDocument/2006/relationships/hyperlink" Target="https://islamanddiversity.org/2020/05/13/javed-ghamidis-problematic-views/" TargetMode="External"/><Relationship Id="rId86" Type="http://schemas.openxmlformats.org/officeDocument/2006/relationships/hyperlink" Target="https://islamanddiversity.org/2020/05/13/javed-ghamidis-problematic-views/" TargetMode="External"/><Relationship Id="rId130" Type="http://schemas.openxmlformats.org/officeDocument/2006/relationships/hyperlink" Target="https://islamanddiversity.org/2020/05/13/javed-ghamidis-problematic-views/" TargetMode="External"/><Relationship Id="rId151" Type="http://schemas.openxmlformats.org/officeDocument/2006/relationships/hyperlink" Target="https://islamanddiversity.org/2020/05/13/javed-ghamidis-problematic-views/" TargetMode="External"/><Relationship Id="rId172" Type="http://schemas.openxmlformats.org/officeDocument/2006/relationships/hyperlink" Target="https://islamanddiversity.org/2020/05/13/javed-ghamidis-problematic-views/" TargetMode="External"/><Relationship Id="rId13" Type="http://schemas.openxmlformats.org/officeDocument/2006/relationships/hyperlink" Target="https://islamanddiversity.org/2020/05/13/javed-ghamidis-problematic-views/" TargetMode="External"/><Relationship Id="rId18" Type="http://schemas.openxmlformats.org/officeDocument/2006/relationships/hyperlink" Target="https://islamanddiversity.org/2020/05/13/javed-ghamidis-problematic-views/" TargetMode="External"/><Relationship Id="rId39" Type="http://schemas.openxmlformats.org/officeDocument/2006/relationships/hyperlink" Target="https://islamanddiversity.org/2020/05/13/javed-ghamidis-problematic-views/" TargetMode="External"/><Relationship Id="rId109" Type="http://schemas.openxmlformats.org/officeDocument/2006/relationships/hyperlink" Target="https://islamanddiversity.org/2020/05/13/javed-ghamidis-problematic-views/" TargetMode="External"/><Relationship Id="rId34" Type="http://schemas.openxmlformats.org/officeDocument/2006/relationships/hyperlink" Target="https://islamanddiversity.org/2020/05/13/javed-ghamidis-problematic-views/" TargetMode="External"/><Relationship Id="rId50" Type="http://schemas.openxmlformats.org/officeDocument/2006/relationships/hyperlink" Target="https://islamanddiversity.org/2020/05/13/javed-ghamidis-problematic-views/" TargetMode="External"/><Relationship Id="rId55" Type="http://schemas.openxmlformats.org/officeDocument/2006/relationships/hyperlink" Target="https://islamanddiversity.org/2020/05/13/javed-ghamidis-problematic-views/" TargetMode="External"/><Relationship Id="rId76" Type="http://schemas.openxmlformats.org/officeDocument/2006/relationships/hyperlink" Target="https://islamanddiversity.org/2020/05/13/javed-ghamidis-problematic-views/" TargetMode="External"/><Relationship Id="rId97" Type="http://schemas.openxmlformats.org/officeDocument/2006/relationships/hyperlink" Target="https://islamanddiversity.org/2020/05/13/javed-ghamidis-problematic-views/" TargetMode="External"/><Relationship Id="rId104" Type="http://schemas.openxmlformats.org/officeDocument/2006/relationships/hyperlink" Target="https://islamanddiversity.org/2020/05/13/javed-ghamidis-problematic-views/" TargetMode="External"/><Relationship Id="rId120" Type="http://schemas.openxmlformats.org/officeDocument/2006/relationships/hyperlink" Target="https://islamanddiversity.org/2020/05/13/javed-ghamidis-problematic-views/" TargetMode="External"/><Relationship Id="rId125" Type="http://schemas.openxmlformats.org/officeDocument/2006/relationships/hyperlink" Target="https://islamanddiversity.org/2020/05/13/javed-ghamidis-problematic-views/" TargetMode="External"/><Relationship Id="rId141" Type="http://schemas.openxmlformats.org/officeDocument/2006/relationships/hyperlink" Target="https://islamanddiversity.org/2020/05/13/javed-ghamidis-problematic-views/" TargetMode="External"/><Relationship Id="rId146" Type="http://schemas.openxmlformats.org/officeDocument/2006/relationships/hyperlink" Target="https://islamanddiversity.org/2020/05/13/javed-ghamidis-problematic-views/" TargetMode="External"/><Relationship Id="rId167" Type="http://schemas.openxmlformats.org/officeDocument/2006/relationships/hyperlink" Target="https://islamanddiversity.org/2020/05/13/javed-ghamidis-problematic-views/" TargetMode="External"/><Relationship Id="rId7" Type="http://schemas.openxmlformats.org/officeDocument/2006/relationships/hyperlink" Target="https://islamanddiversity.org/2020/05/13/javed-ghamidis-problematic-views/" TargetMode="External"/><Relationship Id="rId71" Type="http://schemas.openxmlformats.org/officeDocument/2006/relationships/hyperlink" Target="https://islamanddiversity.org/2020/05/13/javed-ghamidis-problematic-views/" TargetMode="External"/><Relationship Id="rId92" Type="http://schemas.openxmlformats.org/officeDocument/2006/relationships/hyperlink" Target="https://islamanddiversity.org/2020/05/13/javed-ghamidis-problematic-views/" TargetMode="External"/><Relationship Id="rId162" Type="http://schemas.openxmlformats.org/officeDocument/2006/relationships/hyperlink" Target="https://islamanddiversity.org/2020/05/13/javed-ghamidis-problematic-views/" TargetMode="External"/><Relationship Id="rId183" Type="http://schemas.openxmlformats.org/officeDocument/2006/relationships/hyperlink" Target="https://mahajjah.com/shia-opposition-to-the-ahlul-bayt/" TargetMode="External"/><Relationship Id="rId2" Type="http://schemas.openxmlformats.org/officeDocument/2006/relationships/styles" Target="styles.xml"/><Relationship Id="rId29" Type="http://schemas.openxmlformats.org/officeDocument/2006/relationships/hyperlink" Target="https://islamanddiversity.org/2020/05/13/javed-ghamidis-problematic-views/" TargetMode="External"/><Relationship Id="rId24" Type="http://schemas.openxmlformats.org/officeDocument/2006/relationships/hyperlink" Target="https://islamanddiversity.org/2020/05/13/javed-ghamidis-problematic-views/" TargetMode="External"/><Relationship Id="rId40" Type="http://schemas.openxmlformats.org/officeDocument/2006/relationships/hyperlink" Target="https://islamanddiversity.org/2020/05/13/javed-ghamidis-problematic-views/" TargetMode="External"/><Relationship Id="rId45" Type="http://schemas.openxmlformats.org/officeDocument/2006/relationships/hyperlink" Target="https://islamanddiversity.org/2020/05/13/javed-ghamidis-problematic-views/" TargetMode="External"/><Relationship Id="rId66" Type="http://schemas.openxmlformats.org/officeDocument/2006/relationships/hyperlink" Target="https://islamanddiversity.org/2020/05/13/javed-ghamidis-problematic-views/" TargetMode="External"/><Relationship Id="rId87" Type="http://schemas.openxmlformats.org/officeDocument/2006/relationships/hyperlink" Target="https://islamanddiversity.org/2020/05/13/javed-ghamidis-problematic-views/" TargetMode="External"/><Relationship Id="rId110" Type="http://schemas.openxmlformats.org/officeDocument/2006/relationships/hyperlink" Target="https://islamanddiversity.org/2020/05/13/javed-ghamidis-problematic-views/" TargetMode="External"/><Relationship Id="rId115" Type="http://schemas.openxmlformats.org/officeDocument/2006/relationships/hyperlink" Target="https://islamanddiversity.org/2020/05/13/javed-ghamidis-problematic-views/" TargetMode="External"/><Relationship Id="rId131" Type="http://schemas.openxmlformats.org/officeDocument/2006/relationships/hyperlink" Target="https://islamanddiversity.org/2020/05/13/javed-ghamidis-problematic-views/" TargetMode="External"/><Relationship Id="rId136" Type="http://schemas.openxmlformats.org/officeDocument/2006/relationships/hyperlink" Target="https://islamanddiversity.org/2020/05/13/javed-ghamidis-problematic-views/" TargetMode="External"/><Relationship Id="rId157" Type="http://schemas.openxmlformats.org/officeDocument/2006/relationships/hyperlink" Target="https://islamanddiversity.org/2020/05/13/javed-ghamidis-problematic-views/" TargetMode="External"/><Relationship Id="rId178" Type="http://schemas.openxmlformats.org/officeDocument/2006/relationships/hyperlink" Target="https://ask.ghamidi.org/forums/discussion/98729/" TargetMode="External"/><Relationship Id="rId61" Type="http://schemas.openxmlformats.org/officeDocument/2006/relationships/hyperlink" Target="https://islamanddiversity.org/2020/05/13/javed-ghamidis-problematic-views/" TargetMode="External"/><Relationship Id="rId82" Type="http://schemas.openxmlformats.org/officeDocument/2006/relationships/hyperlink" Target="https://islamanddiversity.org/2020/05/13/javed-ghamidis-problematic-views/" TargetMode="External"/><Relationship Id="rId152" Type="http://schemas.openxmlformats.org/officeDocument/2006/relationships/hyperlink" Target="https://islamanddiversity.org/2020/05/13/javed-ghamidis-problematic-views/" TargetMode="External"/><Relationship Id="rId173" Type="http://schemas.openxmlformats.org/officeDocument/2006/relationships/hyperlink" Target="https://islamanddiversity.org/2020/05/13/javed-ghamidis-problematic-views/" TargetMode="External"/><Relationship Id="rId19" Type="http://schemas.openxmlformats.org/officeDocument/2006/relationships/hyperlink" Target="https://islamanddiversity.org/2020/05/13/javed-ghamidis-problematic-views/" TargetMode="External"/><Relationship Id="rId14" Type="http://schemas.openxmlformats.org/officeDocument/2006/relationships/hyperlink" Target="https://islamanddiversity.org/2020/05/13/javed-ghamidis-problematic-views/" TargetMode="External"/><Relationship Id="rId30" Type="http://schemas.openxmlformats.org/officeDocument/2006/relationships/hyperlink" Target="https://islamanddiversity.org/2020/05/13/javed-ghamidis-problematic-views/" TargetMode="External"/><Relationship Id="rId35" Type="http://schemas.openxmlformats.org/officeDocument/2006/relationships/hyperlink" Target="https://islamanddiversity.org/2020/05/13/javed-ghamidis-problematic-views/" TargetMode="External"/><Relationship Id="rId56" Type="http://schemas.openxmlformats.org/officeDocument/2006/relationships/hyperlink" Target="https://islamanddiversity.org/2020/05/13/javed-ghamidis-problematic-views/" TargetMode="External"/><Relationship Id="rId77" Type="http://schemas.openxmlformats.org/officeDocument/2006/relationships/hyperlink" Target="https://islamanddiversity.org/2020/05/13/javed-ghamidis-problematic-views/" TargetMode="External"/><Relationship Id="rId100" Type="http://schemas.openxmlformats.org/officeDocument/2006/relationships/hyperlink" Target="https://islamanddiversity.org/2020/05/13/javed-ghamidis-problematic-views/" TargetMode="External"/><Relationship Id="rId105" Type="http://schemas.openxmlformats.org/officeDocument/2006/relationships/hyperlink" Target="https://islamanddiversity.org/2020/05/13/javed-ghamidis-problematic-views/" TargetMode="External"/><Relationship Id="rId126" Type="http://schemas.openxmlformats.org/officeDocument/2006/relationships/hyperlink" Target="https://islamanddiversity.org/2020/05/13/javed-ghamidis-problematic-views/" TargetMode="External"/><Relationship Id="rId147" Type="http://schemas.openxmlformats.org/officeDocument/2006/relationships/hyperlink" Target="https://islamanddiversity.org/2020/05/13/javed-ghamidis-problematic-views/" TargetMode="External"/><Relationship Id="rId168" Type="http://schemas.openxmlformats.org/officeDocument/2006/relationships/hyperlink" Target="https://islamanddiversity.org/2020/05/13/javed-ghamidis-problematic-views/" TargetMode="External"/><Relationship Id="rId8" Type="http://schemas.openxmlformats.org/officeDocument/2006/relationships/hyperlink" Target="https://islamanddiversity.org/2020/05/13/javed-ghamidis-problematic-views/" TargetMode="External"/><Relationship Id="rId51" Type="http://schemas.openxmlformats.org/officeDocument/2006/relationships/hyperlink" Target="https://islamanddiversity.org/2020/05/13/javed-ghamidis-problematic-views/" TargetMode="External"/><Relationship Id="rId72" Type="http://schemas.openxmlformats.org/officeDocument/2006/relationships/hyperlink" Target="https://islamanddiversity.org/2020/05/13/javed-ghamidis-problematic-views/" TargetMode="External"/><Relationship Id="rId93" Type="http://schemas.openxmlformats.org/officeDocument/2006/relationships/hyperlink" Target="https://mahajjah.com/shia-opposition-to-the-ahlul-bayt/" TargetMode="External"/><Relationship Id="rId98" Type="http://schemas.openxmlformats.org/officeDocument/2006/relationships/hyperlink" Target="https://islamanddiversity.org/2020/05/13/javed-ghamidis-problematic-views/" TargetMode="External"/><Relationship Id="rId121" Type="http://schemas.openxmlformats.org/officeDocument/2006/relationships/hyperlink" Target="https://islamanddiversity.org/2020/05/13/javed-ghamidis-problematic-views/" TargetMode="External"/><Relationship Id="rId142" Type="http://schemas.openxmlformats.org/officeDocument/2006/relationships/hyperlink" Target="https://islamanddiversity.org/2020/05/13/javed-ghamidis-problematic-views/" TargetMode="External"/><Relationship Id="rId163" Type="http://schemas.openxmlformats.org/officeDocument/2006/relationships/hyperlink" Target="https://islamanddiversity.org/2020/05/13/javed-ghamidis-problematic-views/" TargetMode="External"/><Relationship Id="rId184" Type="http://schemas.openxmlformats.org/officeDocument/2006/relationships/hyperlink" Target="https://mahajjah.com/shia-opposition-to-the-ahlul-bayt/" TargetMode="External"/><Relationship Id="rId3" Type="http://schemas.microsoft.com/office/2007/relationships/stylesWithEffects" Target="stylesWithEffects.xml"/><Relationship Id="rId25" Type="http://schemas.openxmlformats.org/officeDocument/2006/relationships/hyperlink" Target="https://islamanddiversity.org/2020/05/13/javed-ghamidis-problematic-views/" TargetMode="External"/><Relationship Id="rId46" Type="http://schemas.openxmlformats.org/officeDocument/2006/relationships/hyperlink" Target="https://mahajjah.com/shia-opposition-to-the-ahlul-bayt/" TargetMode="External"/><Relationship Id="rId67" Type="http://schemas.openxmlformats.org/officeDocument/2006/relationships/hyperlink" Target="https://islamanddiversity.org/2020/05/13/javed-ghamidis-problematic-views/" TargetMode="External"/><Relationship Id="rId116" Type="http://schemas.openxmlformats.org/officeDocument/2006/relationships/hyperlink" Target="https://islamanddiversity.org/2020/05/13/javed-ghamidis-problematic-views/" TargetMode="External"/><Relationship Id="rId137" Type="http://schemas.openxmlformats.org/officeDocument/2006/relationships/hyperlink" Target="https://islamanddiversity.org/2020/05/13/javed-ghamidis-problematic-views/" TargetMode="External"/><Relationship Id="rId158" Type="http://schemas.openxmlformats.org/officeDocument/2006/relationships/hyperlink" Target="https://islamanddiversity.org/2020/05/13/javed-ghamidis-problematic-views/" TargetMode="External"/><Relationship Id="rId20" Type="http://schemas.openxmlformats.org/officeDocument/2006/relationships/hyperlink" Target="https://islamanddiversity.org/2020/05/13/javed-ghamidis-problematic-views/" TargetMode="External"/><Relationship Id="rId41" Type="http://schemas.openxmlformats.org/officeDocument/2006/relationships/hyperlink" Target="https://islamanddiversity.org/2020/05/13/javed-ghamidis-problematic-views/" TargetMode="External"/><Relationship Id="rId62" Type="http://schemas.openxmlformats.org/officeDocument/2006/relationships/hyperlink" Target="https://islamanddiversity.org/2020/05/13/javed-ghamidis-problematic-views/" TargetMode="External"/><Relationship Id="rId83" Type="http://schemas.openxmlformats.org/officeDocument/2006/relationships/hyperlink" Target="https://islamanddiversity.org/2020/05/13/javed-ghamidis-problematic-views/" TargetMode="External"/><Relationship Id="rId88" Type="http://schemas.openxmlformats.org/officeDocument/2006/relationships/hyperlink" Target="https://islamanddiversity.org/2020/05/13/javed-ghamidis-problematic-views/" TargetMode="External"/><Relationship Id="rId111" Type="http://schemas.openxmlformats.org/officeDocument/2006/relationships/hyperlink" Target="https://islamanddiversity.org/2020/05/13/javed-ghamidis-problematic-views/" TargetMode="External"/><Relationship Id="rId132" Type="http://schemas.openxmlformats.org/officeDocument/2006/relationships/hyperlink" Target="https://islamanddiversity.org/2020/05/13/javed-ghamidis-problematic-views/" TargetMode="External"/><Relationship Id="rId153" Type="http://schemas.openxmlformats.org/officeDocument/2006/relationships/hyperlink" Target="https://islamanddiversity.org/2020/05/13/javed-ghamidis-problematic-views/" TargetMode="External"/><Relationship Id="rId174" Type="http://schemas.openxmlformats.org/officeDocument/2006/relationships/hyperlink" Target="https://islamanddiversity.org/2020/05/13/javed-ghamidis-problematic-views/" TargetMode="External"/><Relationship Id="rId179" Type="http://schemas.openxmlformats.org/officeDocument/2006/relationships/hyperlink" Target="https://ask.ghamidi.org/forums/discussion/98729/" TargetMode="External"/><Relationship Id="rId15" Type="http://schemas.openxmlformats.org/officeDocument/2006/relationships/hyperlink" Target="https://islamanddiversity.org/2020/05/13/javed-ghamidis-problematic-views/" TargetMode="External"/><Relationship Id="rId36" Type="http://schemas.openxmlformats.org/officeDocument/2006/relationships/hyperlink" Target="https://islamanddiversity.org/2020/05/13/javed-ghamidis-problematic-views/" TargetMode="External"/><Relationship Id="rId57" Type="http://schemas.openxmlformats.org/officeDocument/2006/relationships/hyperlink" Target="https://islamanddiversity.org/2020/05/13/javed-ghamidis-problematic-views/" TargetMode="External"/><Relationship Id="rId106" Type="http://schemas.openxmlformats.org/officeDocument/2006/relationships/hyperlink" Target="https://mahajjah.com/shia-opposition-to-the-ahlul-bayt/" TargetMode="External"/><Relationship Id="rId127" Type="http://schemas.openxmlformats.org/officeDocument/2006/relationships/hyperlink" Target="https://islamanddiversity.org/2020/05/13/javed-ghamidis-problematic-views/" TargetMode="External"/><Relationship Id="rId10" Type="http://schemas.openxmlformats.org/officeDocument/2006/relationships/hyperlink" Target="https://islamanddiversity.org/2020/05/13/javed-ghamidis-problematic-views/" TargetMode="External"/><Relationship Id="rId31" Type="http://schemas.openxmlformats.org/officeDocument/2006/relationships/hyperlink" Target="https://islamanddiversity.org/2020/05/13/javed-ghamidis-problematic-views/" TargetMode="External"/><Relationship Id="rId52" Type="http://schemas.openxmlformats.org/officeDocument/2006/relationships/hyperlink" Target="https://ask.ghamidi.org/forums/discussion/98729/" TargetMode="External"/><Relationship Id="rId73" Type="http://schemas.openxmlformats.org/officeDocument/2006/relationships/hyperlink" Target="https://islamanddiversity.org/2020/05/13/javed-ghamidis-problematic-views/" TargetMode="External"/><Relationship Id="rId78" Type="http://schemas.openxmlformats.org/officeDocument/2006/relationships/hyperlink" Target="https://mahajjah.com/shia-opposition-to-the-ahlul-bayt/" TargetMode="External"/><Relationship Id="rId94" Type="http://schemas.openxmlformats.org/officeDocument/2006/relationships/hyperlink" Target="https://mahajjah.com/shia-opposition-to-the-ahlul-bayt/" TargetMode="External"/><Relationship Id="rId99" Type="http://schemas.openxmlformats.org/officeDocument/2006/relationships/hyperlink" Target="https://islamanddiversity.org/2020/05/13/javed-ghamidis-problematic-views/" TargetMode="External"/><Relationship Id="rId101" Type="http://schemas.openxmlformats.org/officeDocument/2006/relationships/hyperlink" Target="https://islamanddiversity.org/2020/05/13/javed-ghamidis-problematic-views/" TargetMode="External"/><Relationship Id="rId122" Type="http://schemas.openxmlformats.org/officeDocument/2006/relationships/hyperlink" Target="https://islamanddiversity.org/2020/05/13/javed-ghamidis-problematic-views/" TargetMode="External"/><Relationship Id="rId143" Type="http://schemas.openxmlformats.org/officeDocument/2006/relationships/hyperlink" Target="https://islamanddiversity.org/2020/05/13/javed-ghamidis-problematic-views/" TargetMode="External"/><Relationship Id="rId148" Type="http://schemas.openxmlformats.org/officeDocument/2006/relationships/hyperlink" Target="https://islamanddiversity.org/2020/05/13/javed-ghamidis-problematic-views/" TargetMode="External"/><Relationship Id="rId164" Type="http://schemas.openxmlformats.org/officeDocument/2006/relationships/hyperlink" Target="https://islamanddiversity.org/2020/05/13/javed-ghamidis-problematic-views/" TargetMode="External"/><Relationship Id="rId169" Type="http://schemas.openxmlformats.org/officeDocument/2006/relationships/hyperlink" Target="https://islamanddiversity.org/2020/05/13/javed-ghamidis-problematic-views/" TargetMode="External"/><Relationship Id="rId185" Type="http://schemas.openxmlformats.org/officeDocument/2006/relationships/hyperlink" Target="https://mahajjah.com/shia-opposition-to-the-ahlul-bayt/" TargetMode="External"/><Relationship Id="rId4" Type="http://schemas.openxmlformats.org/officeDocument/2006/relationships/settings" Target="settings.xml"/><Relationship Id="rId9" Type="http://schemas.openxmlformats.org/officeDocument/2006/relationships/hyperlink" Target="https://islamanddiversity.org/2020/05/13/javed-ghamidis-problematic-views/" TargetMode="External"/><Relationship Id="rId180" Type="http://schemas.openxmlformats.org/officeDocument/2006/relationships/hyperlink" Target="https://mahajjah.com/shia-opposition-to-the-ahlul-bayt/" TargetMode="External"/><Relationship Id="rId26" Type="http://schemas.openxmlformats.org/officeDocument/2006/relationships/hyperlink" Target="https://islamanddiversity.org/2020/05/13/javed-ghamidis-problematic-views/" TargetMode="External"/><Relationship Id="rId47" Type="http://schemas.openxmlformats.org/officeDocument/2006/relationships/hyperlink" Target="https://mahajjah.com/shia-opposition-to-the-ahlul-bayt/" TargetMode="External"/><Relationship Id="rId68" Type="http://schemas.openxmlformats.org/officeDocument/2006/relationships/hyperlink" Target="https://islamanddiversity.org/2020/05/13/javed-ghamidis-problematic-views/" TargetMode="External"/><Relationship Id="rId89" Type="http://schemas.openxmlformats.org/officeDocument/2006/relationships/hyperlink" Target="https://islamanddiversity.org/2020/05/13/javed-ghamidis-problematic-views/" TargetMode="External"/><Relationship Id="rId112" Type="http://schemas.openxmlformats.org/officeDocument/2006/relationships/hyperlink" Target="https://islamanddiversity.org/2020/05/13/javed-ghamidis-problematic-views/" TargetMode="External"/><Relationship Id="rId133" Type="http://schemas.openxmlformats.org/officeDocument/2006/relationships/hyperlink" Target="https://islamanddiversity.org/2020/05/13/javed-ghamidis-problematic-views/" TargetMode="External"/><Relationship Id="rId154" Type="http://schemas.openxmlformats.org/officeDocument/2006/relationships/hyperlink" Target="https://islamanddiversity.org/2020/05/13/javed-ghamidis-problematic-views/" TargetMode="External"/><Relationship Id="rId175" Type="http://schemas.openxmlformats.org/officeDocument/2006/relationships/hyperlink" Target="https://islamanddiversity.org/2020/05/13/javed-ghamidis-problematic-views/" TargetMode="External"/><Relationship Id="rId16" Type="http://schemas.openxmlformats.org/officeDocument/2006/relationships/hyperlink" Target="https://islamanddiversity.org/2020/05/13/javed-ghamidis-problematic-views/" TargetMode="External"/><Relationship Id="rId37" Type="http://schemas.openxmlformats.org/officeDocument/2006/relationships/hyperlink" Target="https://islamanddiversity.org/2020/05/13/javed-ghamidis-problematic-views/" TargetMode="External"/><Relationship Id="rId58" Type="http://schemas.openxmlformats.org/officeDocument/2006/relationships/hyperlink" Target="https://islamanddiversity.org/2020/05/13/javed-ghamidis-problematic-views/" TargetMode="External"/><Relationship Id="rId79" Type="http://schemas.openxmlformats.org/officeDocument/2006/relationships/hyperlink" Target="https://mahajjah.com/shia-opposition-to-the-ahlul-bayt/" TargetMode="External"/><Relationship Id="rId102" Type="http://schemas.openxmlformats.org/officeDocument/2006/relationships/hyperlink" Target="https://islamanddiversity.org/2020/05/13/javed-ghamidis-problematic-views/" TargetMode="External"/><Relationship Id="rId123" Type="http://schemas.openxmlformats.org/officeDocument/2006/relationships/hyperlink" Target="https://islamanddiversity.org/2020/05/13/javed-ghamidis-problematic-views/" TargetMode="External"/><Relationship Id="rId144" Type="http://schemas.openxmlformats.org/officeDocument/2006/relationships/hyperlink" Target="https://islamanddiversity.org/2020/05/13/javed-ghamidis-problematic-views/" TargetMode="External"/><Relationship Id="rId90" Type="http://schemas.openxmlformats.org/officeDocument/2006/relationships/hyperlink" Target="https://islamanddiversity.org/2020/05/13/javed-ghamidis-problematic-views/" TargetMode="External"/><Relationship Id="rId165" Type="http://schemas.openxmlformats.org/officeDocument/2006/relationships/hyperlink" Target="https://islamanddiversity.org/2020/05/13/javed-ghamidis-problematic-views/" TargetMode="External"/><Relationship Id="rId186" Type="http://schemas.openxmlformats.org/officeDocument/2006/relationships/fontTable" Target="fontTable.xml"/><Relationship Id="rId27" Type="http://schemas.openxmlformats.org/officeDocument/2006/relationships/hyperlink" Target="https://islamanddiversity.org/2020/05/13/javed-ghamidis-problematic-views/" TargetMode="External"/><Relationship Id="rId48" Type="http://schemas.openxmlformats.org/officeDocument/2006/relationships/hyperlink" Target="https://islamanddiversity.org/2020/05/13/javed-ghamidis-problematic-views/" TargetMode="External"/><Relationship Id="rId69" Type="http://schemas.openxmlformats.org/officeDocument/2006/relationships/hyperlink" Target="https://islamanddiversity.org/2020/05/13/javed-ghamidis-problematic-views/" TargetMode="External"/><Relationship Id="rId113" Type="http://schemas.openxmlformats.org/officeDocument/2006/relationships/hyperlink" Target="https://islamanddiversity.org/2020/05/13/javed-ghamidis-problematic-views/" TargetMode="External"/><Relationship Id="rId134" Type="http://schemas.openxmlformats.org/officeDocument/2006/relationships/hyperlink" Target="https://islamanddiversity.org/2020/05/13/javed-ghamidis-problematic-views/" TargetMode="External"/><Relationship Id="rId80" Type="http://schemas.openxmlformats.org/officeDocument/2006/relationships/hyperlink" Target="https://mahajjah.com/shia-opposition-to-the-ahlul-bayt/" TargetMode="External"/><Relationship Id="rId155" Type="http://schemas.openxmlformats.org/officeDocument/2006/relationships/hyperlink" Target="https://islamanddiversity.org/2020/05/13/javed-ghamidis-problematic-views/" TargetMode="External"/><Relationship Id="rId176" Type="http://schemas.openxmlformats.org/officeDocument/2006/relationships/hyperlink" Target="https://islamanddiversity.org/2020/05/13/javed-ghamidis-problematic-views/" TargetMode="External"/><Relationship Id="rId17" Type="http://schemas.openxmlformats.org/officeDocument/2006/relationships/hyperlink" Target="https://islamanddiversity.org/2020/05/13/javed-ghamidis-problematic-views/" TargetMode="External"/><Relationship Id="rId38" Type="http://schemas.openxmlformats.org/officeDocument/2006/relationships/hyperlink" Target="https://islamanddiversity.org/2020/05/13/javed-ghamidis-problematic-views/" TargetMode="External"/><Relationship Id="rId59" Type="http://schemas.openxmlformats.org/officeDocument/2006/relationships/hyperlink" Target="https://islamanddiversity.org/2020/05/13/javed-ghamidis-problematic-views/" TargetMode="External"/><Relationship Id="rId103" Type="http://schemas.openxmlformats.org/officeDocument/2006/relationships/hyperlink" Target="https://islamanddiversity.org/2020/05/13/javed-ghamidis-problematic-views/" TargetMode="External"/><Relationship Id="rId124" Type="http://schemas.openxmlformats.org/officeDocument/2006/relationships/hyperlink" Target="https://islamanddiversity.org/2020/05/13/javed-ghamidis-problematic-views/" TargetMode="External"/><Relationship Id="rId70" Type="http://schemas.openxmlformats.org/officeDocument/2006/relationships/hyperlink" Target="https://islamanddiversity.org/2020/05/13/javed-ghamidis-problematic-views/" TargetMode="External"/><Relationship Id="rId91" Type="http://schemas.openxmlformats.org/officeDocument/2006/relationships/hyperlink" Target="https://islamanddiversity.org/2020/05/13/javed-ghamidis-problematic-views/" TargetMode="External"/><Relationship Id="rId145" Type="http://schemas.openxmlformats.org/officeDocument/2006/relationships/hyperlink" Target="https://islamanddiversity.org/2020/05/13/javed-ghamidis-problematic-views/" TargetMode="External"/><Relationship Id="rId166" Type="http://schemas.openxmlformats.org/officeDocument/2006/relationships/hyperlink" Target="https://islamanddiversity.org/2020/05/13/javed-ghamidis-problematic-views/" TargetMode="External"/><Relationship Id="rId187" Type="http://schemas.openxmlformats.org/officeDocument/2006/relationships/theme" Target="theme/theme1.xml"/><Relationship Id="rId1" Type="http://schemas.openxmlformats.org/officeDocument/2006/relationships/numbering" Target="numbering.xml"/><Relationship Id="rId28" Type="http://schemas.openxmlformats.org/officeDocument/2006/relationships/hyperlink" Target="https://islamanddiversity.org/2020/05/13/javed-ghamidis-problematic-views/" TargetMode="External"/><Relationship Id="rId49" Type="http://schemas.openxmlformats.org/officeDocument/2006/relationships/hyperlink" Target="https://islamanddiversity.org/2020/05/13/javed-ghamidis-problematic-views/" TargetMode="External"/><Relationship Id="rId114" Type="http://schemas.openxmlformats.org/officeDocument/2006/relationships/hyperlink" Target="https://islamanddiversity.org/2020/05/13/javed-ghamidis-problematic-views/" TargetMode="External"/><Relationship Id="rId60" Type="http://schemas.openxmlformats.org/officeDocument/2006/relationships/hyperlink" Target="https://islamanddiversity.org/2020/05/13/javed-ghamidis-problematic-views/" TargetMode="External"/><Relationship Id="rId81" Type="http://schemas.openxmlformats.org/officeDocument/2006/relationships/hyperlink" Target="https://mahajjah.com/shia-opposition-to-the-ahlul-bayt/" TargetMode="External"/><Relationship Id="rId135" Type="http://schemas.openxmlformats.org/officeDocument/2006/relationships/hyperlink" Target="https://islamanddiversity.org/2020/05/13/javed-ghamidis-problematic-views/" TargetMode="External"/><Relationship Id="rId156" Type="http://schemas.openxmlformats.org/officeDocument/2006/relationships/hyperlink" Target="https://islamanddiversity.org/2020/05/13/javed-ghamidis-problematic-views/" TargetMode="External"/><Relationship Id="rId177" Type="http://schemas.openxmlformats.org/officeDocument/2006/relationships/hyperlink" Target="https://islamanddiversity.org/2020/05/13/javed-ghamidis-problematic-view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15</Pages>
  <Words>12179</Words>
  <Characters>69423</Characters>
  <Application>Microsoft Office Word</Application>
  <DocSecurity>0</DocSecurity>
  <Lines>578</Lines>
  <Paragraphs>162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81440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Zia H Shah MD</dc:creator>
  <cp:lastModifiedBy>Zia H Shah MD</cp:lastModifiedBy>
  <cp:revision>3</cp:revision>
  <dcterms:created xsi:type="dcterms:W3CDTF">2025-09-28T17:12:00Z</dcterms:created>
  <dcterms:modified xsi:type="dcterms:W3CDTF">2025-09-28T17:13:00Z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